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CFB6D" w14:textId="77777777" w:rsidR="006C4DDE" w:rsidRPr="007337CC" w:rsidRDefault="006C4DDE" w:rsidP="006C4DDE">
      <w:pPr>
        <w:ind w:left="99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it-IT"/>
        </w:rPr>
        <w:drawing>
          <wp:anchor distT="0" distB="0" distL="114300" distR="114300" simplePos="0" relativeHeight="251659264" behindDoc="1" locked="0" layoutInCell="1" allowOverlap="1" wp14:anchorId="71ED940B" wp14:editId="42556A20">
            <wp:simplePos x="0" y="0"/>
            <wp:positionH relativeFrom="margin">
              <wp:posOffset>-190500</wp:posOffset>
            </wp:positionH>
            <wp:positionV relativeFrom="paragraph">
              <wp:posOffset>-7620</wp:posOffset>
            </wp:positionV>
            <wp:extent cx="1028700" cy="1057275"/>
            <wp:effectExtent l="0" t="0" r="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7CC">
        <w:rPr>
          <w:rFonts w:ascii="Times New Roman" w:hAnsi="Times New Roman" w:cs="Times New Roman"/>
          <w:b/>
          <w:sz w:val="44"/>
          <w:szCs w:val="44"/>
        </w:rPr>
        <w:t>COMUNE DI POLLENA TROCCHIA</w:t>
      </w:r>
    </w:p>
    <w:p w14:paraId="3B563214" w14:textId="77777777" w:rsidR="006C4DDE" w:rsidRDefault="006C4DDE" w:rsidP="006C4DDE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CITTA’ METROPOLITANA</w:t>
      </w:r>
      <w:r w:rsidRPr="00DA4F68">
        <w:rPr>
          <w:rFonts w:ascii="Times New Roman" w:hAnsi="Times New Roman" w:cs="Times New Roman"/>
          <w:b/>
          <w:sz w:val="24"/>
          <w:szCs w:val="24"/>
        </w:rPr>
        <w:t xml:space="preserve"> DI NAPOLI</w:t>
      </w:r>
    </w:p>
    <w:p w14:paraId="74CC0CEB" w14:textId="77777777" w:rsidR="006C4DDE" w:rsidRDefault="006C4DDE" w:rsidP="006C4DDE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53189A8A" w14:textId="77777777" w:rsidR="006C4DDE" w:rsidRDefault="006C4DDE" w:rsidP="006C4DD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E3D9316" w14:textId="3F5B2DA5" w:rsidR="00F46866" w:rsidRDefault="00F46866" w:rsidP="006E7C8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</w:p>
    <w:p w14:paraId="27F2ED75" w14:textId="2D8C652A" w:rsidR="007504B2" w:rsidRPr="007504B2" w:rsidRDefault="007504B2" w:rsidP="00750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it-IT"/>
        </w:rPr>
      </w:pPr>
    </w:p>
    <w:p w14:paraId="6FDC37B9" w14:textId="77777777" w:rsidR="007504B2" w:rsidRDefault="007504B2" w:rsidP="00750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it-IT"/>
        </w:rPr>
      </w:pPr>
    </w:p>
    <w:p w14:paraId="7461B0CD" w14:textId="77777777" w:rsidR="007504B2" w:rsidRDefault="007504B2" w:rsidP="00750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it-IT"/>
        </w:rPr>
      </w:pPr>
    </w:p>
    <w:p w14:paraId="45411A83" w14:textId="77777777" w:rsidR="007504B2" w:rsidRDefault="007504B2" w:rsidP="00750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it-IT"/>
        </w:rPr>
      </w:pPr>
    </w:p>
    <w:p w14:paraId="7E11D6EB" w14:textId="00F731EE" w:rsidR="007504B2" w:rsidRPr="007504B2" w:rsidRDefault="005A47F9" w:rsidP="00750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it-IT"/>
        </w:rPr>
        <w:t xml:space="preserve">SCHEDA </w:t>
      </w:r>
      <w:r w:rsidR="007504B2" w:rsidRPr="007504B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it-IT"/>
        </w:rPr>
        <w:t>TECNICA</w:t>
      </w:r>
    </w:p>
    <w:p w14:paraId="683A3849" w14:textId="1C8E4534" w:rsidR="007504B2" w:rsidRPr="007504B2" w:rsidRDefault="007504B2" w:rsidP="00750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it-IT"/>
        </w:rPr>
      </w:pPr>
    </w:p>
    <w:p w14:paraId="7AB3AC9B" w14:textId="77777777" w:rsidR="006C4DDE" w:rsidRDefault="005A47F9" w:rsidP="00750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it-IT"/>
        </w:rPr>
      </w:pPr>
      <w:bookmarkStart w:id="0" w:name="_Hlk128325490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it-IT"/>
        </w:rPr>
        <w:t>DESCRIZIONE SOMMARIA</w:t>
      </w:r>
      <w:r w:rsidR="006C4DDE">
        <w:rPr>
          <w:rFonts w:ascii="Times New Roman" w:eastAsia="Times New Roman" w:hAnsi="Times New Roman" w:cs="Times New Roman"/>
          <w:color w:val="333333"/>
          <w:sz w:val="32"/>
          <w:szCs w:val="32"/>
          <w:lang w:eastAsia="it-IT"/>
        </w:rPr>
        <w:t xml:space="preserve"> DELLA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it-IT"/>
        </w:rPr>
        <w:t xml:space="preserve"> CONSISTENZA </w:t>
      </w:r>
    </w:p>
    <w:p w14:paraId="3A6A76D5" w14:textId="5F2C6DA5" w:rsidR="006C4DDE" w:rsidRDefault="006C4DDE" w:rsidP="00750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it-IT"/>
        </w:rPr>
        <w:t xml:space="preserve">DEL COMPENDIO </w:t>
      </w:r>
      <w:r w:rsidR="00F32087">
        <w:rPr>
          <w:rFonts w:ascii="Times New Roman" w:eastAsia="Times New Roman" w:hAnsi="Times New Roman" w:cs="Times New Roman"/>
          <w:color w:val="333333"/>
          <w:sz w:val="32"/>
          <w:szCs w:val="32"/>
          <w:lang w:eastAsia="it-IT"/>
        </w:rPr>
        <w:t xml:space="preserve">IMMOBILIARE </w:t>
      </w:r>
    </w:p>
    <w:p w14:paraId="1DC4AA1E" w14:textId="3B22C4A5" w:rsidR="006C4DDE" w:rsidRDefault="005A47F9" w:rsidP="00750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it-IT"/>
        </w:rPr>
        <w:t xml:space="preserve">OGGETTO DI </w:t>
      </w:r>
      <w:r w:rsidR="00F32087">
        <w:rPr>
          <w:rFonts w:ascii="Times New Roman" w:eastAsia="Times New Roman" w:hAnsi="Times New Roman" w:cs="Times New Roman"/>
          <w:color w:val="333333"/>
          <w:sz w:val="32"/>
          <w:szCs w:val="32"/>
          <w:lang w:eastAsia="it-IT"/>
        </w:rPr>
        <w:t>PUBBLICO INCANTO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it-IT"/>
        </w:rPr>
        <w:t xml:space="preserve"> </w:t>
      </w:r>
      <w:r w:rsidR="00F32087">
        <w:rPr>
          <w:rFonts w:ascii="Times New Roman" w:eastAsia="Times New Roman" w:hAnsi="Times New Roman" w:cs="Times New Roman"/>
          <w:color w:val="333333"/>
          <w:sz w:val="32"/>
          <w:szCs w:val="32"/>
          <w:lang w:eastAsia="it-IT"/>
        </w:rPr>
        <w:t>ED</w:t>
      </w:r>
    </w:p>
    <w:p w14:paraId="6364F915" w14:textId="79896A1D" w:rsidR="005371E7" w:rsidRDefault="006C4DDE" w:rsidP="00750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it-IT"/>
        </w:rPr>
        <w:t>UBICAT</w:t>
      </w:r>
      <w:r w:rsidR="00F32087">
        <w:rPr>
          <w:rFonts w:ascii="Times New Roman" w:eastAsia="Times New Roman" w:hAnsi="Times New Roman" w:cs="Times New Roman"/>
          <w:color w:val="333333"/>
          <w:sz w:val="32"/>
          <w:szCs w:val="32"/>
          <w:lang w:eastAsia="it-IT"/>
        </w:rPr>
        <w:t>O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it-IT"/>
        </w:rPr>
        <w:t xml:space="preserve"> NELL’AREA P</w:t>
      </w:r>
      <w:r w:rsidR="005371E7">
        <w:rPr>
          <w:rFonts w:ascii="Times New Roman" w:eastAsia="Times New Roman" w:hAnsi="Times New Roman" w:cs="Times New Roman"/>
          <w:color w:val="333333"/>
          <w:sz w:val="32"/>
          <w:szCs w:val="32"/>
          <w:lang w:eastAsia="it-IT"/>
        </w:rPr>
        <w:t>IP</w:t>
      </w:r>
      <w:bookmarkEnd w:id="0"/>
      <w:r w:rsidR="005371E7">
        <w:rPr>
          <w:rFonts w:ascii="Times New Roman" w:eastAsia="Times New Roman" w:hAnsi="Times New Roman" w:cs="Times New Roman"/>
          <w:color w:val="333333"/>
          <w:sz w:val="32"/>
          <w:szCs w:val="32"/>
          <w:lang w:eastAsia="it-IT"/>
        </w:rPr>
        <w:t xml:space="preserve"> DI VIA GUINDAZZI</w:t>
      </w:r>
    </w:p>
    <w:p w14:paraId="28E96E23" w14:textId="2488DC60" w:rsidR="00F32087" w:rsidRDefault="005371E7" w:rsidP="00750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it-IT"/>
        </w:rPr>
        <w:t>NE</w:t>
      </w:r>
      <w:r w:rsidR="00F32087">
        <w:rPr>
          <w:rFonts w:ascii="Times New Roman" w:eastAsia="Times New Roman" w:hAnsi="Times New Roman" w:cs="Times New Roman"/>
          <w:color w:val="333333"/>
          <w:sz w:val="32"/>
          <w:szCs w:val="32"/>
          <w:lang w:eastAsia="it-IT"/>
        </w:rPr>
        <w:t>L COMUNE DI POLLENA TROCCHIA</w:t>
      </w:r>
    </w:p>
    <w:p w14:paraId="1CB6307A" w14:textId="146E6F2C" w:rsidR="007504B2" w:rsidRDefault="007504B2" w:rsidP="00750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it-IT"/>
        </w:rPr>
      </w:pPr>
    </w:p>
    <w:p w14:paraId="6BAB9CF6" w14:textId="31B16920" w:rsidR="007504B2" w:rsidRDefault="007504B2" w:rsidP="00750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it-IT"/>
        </w:rPr>
      </w:pPr>
    </w:p>
    <w:p w14:paraId="7E1ACFDB" w14:textId="65A4FF97" w:rsidR="007504B2" w:rsidRDefault="007504B2" w:rsidP="00750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it-IT"/>
        </w:rPr>
      </w:pPr>
    </w:p>
    <w:p w14:paraId="05EE2797" w14:textId="1C717644" w:rsidR="007504B2" w:rsidRDefault="007504B2" w:rsidP="00750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it-IT"/>
        </w:rPr>
      </w:pPr>
    </w:p>
    <w:p w14:paraId="47D2E133" w14:textId="77777777" w:rsidR="007504B2" w:rsidRPr="007504B2" w:rsidRDefault="007504B2" w:rsidP="00750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it-IT"/>
        </w:rPr>
      </w:pPr>
    </w:p>
    <w:p w14:paraId="5555C88F" w14:textId="77777777" w:rsidR="007504B2" w:rsidRDefault="007504B2" w:rsidP="007504B2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</w:p>
    <w:p w14:paraId="43AD187A" w14:textId="67335691" w:rsidR="00F46866" w:rsidRPr="007504B2" w:rsidRDefault="007504B2" w:rsidP="007504B2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7504B2">
        <w:rPr>
          <w:rFonts w:ascii="Times New Roman" w:eastAsia="Times New Roman" w:hAnsi="Times New Roman" w:cs="Times New Roman"/>
          <w:lang w:eastAsia="it-IT"/>
        </w:rPr>
        <w:br w:type="page"/>
      </w:r>
    </w:p>
    <w:p w14:paraId="585126C3" w14:textId="77777777" w:rsidR="007504B2" w:rsidRDefault="007504B2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</w:p>
    <w:p w14:paraId="3A83486A" w14:textId="125CAA80" w:rsidR="006E7C8D" w:rsidRPr="006E7C8D" w:rsidRDefault="006C4DDE" w:rsidP="006E7C8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SCHEDA TECNICA</w:t>
      </w:r>
    </w:p>
    <w:p w14:paraId="492C1F7F" w14:textId="3CC12B6C" w:rsidR="006E7C8D" w:rsidRPr="006E7C8D" w:rsidRDefault="006E7C8D" w:rsidP="006E7C8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</w:p>
    <w:p w14:paraId="59AB915E" w14:textId="77777777" w:rsidR="006E7C8D" w:rsidRPr="006E7C8D" w:rsidRDefault="006E7C8D" w:rsidP="006E7C8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</w:p>
    <w:p w14:paraId="3FD0E824" w14:textId="7B0546E2" w:rsidR="00DD6064" w:rsidRPr="006E7C8D" w:rsidRDefault="001A2DAE" w:rsidP="006C4DDE">
      <w:pPr>
        <w:shd w:val="clear" w:color="auto" w:fill="FFFFFF"/>
        <w:tabs>
          <w:tab w:val="left" w:pos="1134"/>
        </w:tabs>
        <w:spacing w:after="0" w:line="360" w:lineRule="auto"/>
        <w:ind w:left="1134" w:hanging="113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6E7C8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Oggetto: </w:t>
      </w:r>
      <w:r w:rsidR="006E7C8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ab/>
      </w:r>
      <w:r w:rsidR="006C4DDE" w:rsidRPr="006C4DDE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DESCRIZIONE SOMMARIA DELLA CONSISTENZA </w:t>
      </w:r>
      <w:r w:rsidR="006C4DDE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DEL COMPENDIO IMMOBILIARE </w:t>
      </w:r>
      <w:r w:rsidR="006C4DDE" w:rsidRPr="006C4DDE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OGGETTO DI PUBBLIC</w:t>
      </w:r>
      <w:r w:rsidR="006C4DDE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O INCANTO, </w:t>
      </w:r>
      <w:r w:rsidR="006C4DDE" w:rsidRPr="006C4DDE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UBICAT</w:t>
      </w:r>
      <w:r w:rsidR="006C4DDE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O</w:t>
      </w:r>
      <w:r w:rsidR="006C4DDE" w:rsidRPr="006C4DDE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NELL’AREA P</w:t>
      </w:r>
      <w:r w:rsidR="005371E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IP DI VIA GUINDAZZI</w:t>
      </w:r>
      <w:r w:rsidR="00F3208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="005371E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N</w:t>
      </w:r>
      <w:r w:rsidR="006C4DDE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EL COMUNE DI POLLENA TROCCHIA</w:t>
      </w:r>
    </w:p>
    <w:p w14:paraId="0C71B5E5" w14:textId="77777777" w:rsidR="00F32087" w:rsidRPr="006C04BD" w:rsidRDefault="00F32087" w:rsidP="00F46866">
      <w:pPr>
        <w:shd w:val="clear" w:color="auto" w:fill="FFFFFF"/>
        <w:spacing w:after="12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14:paraId="104A24E7" w14:textId="51A0698F" w:rsidR="00707ACD" w:rsidRPr="006C04BD" w:rsidRDefault="00707ACD" w:rsidP="006C04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4BD">
        <w:rPr>
          <w:rFonts w:ascii="Times New Roman" w:hAnsi="Times New Roman" w:cs="Times New Roman"/>
          <w:b/>
          <w:sz w:val="24"/>
          <w:szCs w:val="24"/>
        </w:rPr>
        <w:t>OGGETTO DELL’ALIENAZIONE E IDENTIFICAZIONE CATASTALE</w:t>
      </w:r>
    </w:p>
    <w:p w14:paraId="07766C11" w14:textId="77777777" w:rsidR="00707ACD" w:rsidRPr="006C04BD" w:rsidRDefault="00707ACD" w:rsidP="00707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BD">
        <w:rPr>
          <w:rFonts w:ascii="Times New Roman" w:hAnsi="Times New Roman" w:cs="Times New Roman"/>
          <w:sz w:val="24"/>
          <w:szCs w:val="24"/>
        </w:rPr>
        <w:t xml:space="preserve">Il procedimento in oggetto attiene all’alienazione della piena ed esclusiva proprietà </w:t>
      </w:r>
      <w:r w:rsidRPr="006C04BD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dei suoli in Pollena Trocchia - </w:t>
      </w:r>
      <w:r w:rsidRPr="006C04BD">
        <w:rPr>
          <w:rFonts w:ascii="Times New Roman" w:hAnsi="Times New Roman" w:cs="Times New Roman"/>
          <w:sz w:val="24"/>
          <w:szCs w:val="24"/>
        </w:rPr>
        <w:t>località “Guindazzi”, ricadenti nel Piano Urbanistico Attuativo (PUA) di Iniziativa Pubblica - Zona Omogenea “D” del vigente P.R.G., approvato con deliberazione della Giunta comunale n. 160 del 29.10.2014 e successivo Decreto Sindacale n. 29 del 4.11.2014 pubblicato sul BURC n. 78 del 17.11.2014.</w:t>
      </w:r>
    </w:p>
    <w:p w14:paraId="51A75103" w14:textId="5150CDAB" w:rsidR="00707ACD" w:rsidRPr="006C04BD" w:rsidRDefault="00707ACD" w:rsidP="00707ACD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04BD">
        <w:rPr>
          <w:rFonts w:ascii="Times New Roman" w:hAnsi="Times New Roman" w:cs="Times New Roman"/>
          <w:sz w:val="24"/>
          <w:szCs w:val="24"/>
        </w:rPr>
        <w:t xml:space="preserve">I suoli in parola sono riportati in Catasto al foglio 2, </w:t>
      </w:r>
      <w:proofErr w:type="spellStart"/>
      <w:r w:rsidRPr="006C04BD">
        <w:rPr>
          <w:rFonts w:ascii="Times New Roman" w:hAnsi="Times New Roman" w:cs="Times New Roman"/>
          <w:color w:val="000000"/>
          <w:sz w:val="24"/>
          <w:szCs w:val="24"/>
        </w:rPr>
        <w:t>p.lle</w:t>
      </w:r>
      <w:proofErr w:type="spellEnd"/>
      <w:r w:rsidRPr="006C04BD">
        <w:rPr>
          <w:rFonts w:ascii="Times New Roman" w:hAnsi="Times New Roman" w:cs="Times New Roman"/>
          <w:color w:val="000000"/>
          <w:sz w:val="24"/>
          <w:szCs w:val="24"/>
        </w:rPr>
        <w:t xml:space="preserve"> 593, 594, 596, 598, 600, 234, 317, 318, 120, 316, 134, 133, 119, 188, 187, 235, 13, 241, 370, per la superficie catastale complessiva di </w:t>
      </w:r>
      <w:r w:rsidRPr="002C3DFC">
        <w:rPr>
          <w:rFonts w:ascii="Times New Roman" w:hAnsi="Times New Roman" w:cs="Times New Roman"/>
          <w:color w:val="000000"/>
          <w:sz w:val="24"/>
          <w:szCs w:val="24"/>
        </w:rPr>
        <w:t xml:space="preserve">mq </w:t>
      </w:r>
      <w:r w:rsidRPr="001375F2">
        <w:rPr>
          <w:rFonts w:ascii="Times New Roman" w:hAnsi="Times New Roman" w:cs="Times New Roman"/>
          <w:color w:val="000000"/>
          <w:sz w:val="24"/>
          <w:szCs w:val="24"/>
        </w:rPr>
        <w:t>97.</w:t>
      </w:r>
      <w:r w:rsidR="000D43B3">
        <w:rPr>
          <w:rFonts w:ascii="Times New Roman" w:hAnsi="Times New Roman" w:cs="Times New Roman"/>
          <w:color w:val="000000"/>
          <w:sz w:val="24"/>
          <w:szCs w:val="24"/>
        </w:rPr>
        <w:t>685 circa</w:t>
      </w:r>
      <w:r w:rsidRPr="002C3DFC">
        <w:rPr>
          <w:rFonts w:ascii="Times New Roman" w:hAnsi="Times New Roman" w:cs="Times New Roman"/>
          <w:color w:val="000000"/>
          <w:sz w:val="24"/>
          <w:szCs w:val="24"/>
        </w:rPr>
        <w:t xml:space="preserve">, compresa la superficie della </w:t>
      </w:r>
      <w:proofErr w:type="spellStart"/>
      <w:r w:rsidRPr="002C3DFC">
        <w:rPr>
          <w:rFonts w:ascii="Times New Roman" w:hAnsi="Times New Roman" w:cs="Times New Roman"/>
          <w:color w:val="000000"/>
          <w:sz w:val="24"/>
          <w:szCs w:val="24"/>
        </w:rPr>
        <w:t>p.lla</w:t>
      </w:r>
      <w:proofErr w:type="spellEnd"/>
      <w:r w:rsidRPr="002C3DFC">
        <w:rPr>
          <w:rFonts w:ascii="Times New Roman" w:hAnsi="Times New Roman" w:cs="Times New Roman"/>
          <w:color w:val="000000"/>
          <w:sz w:val="24"/>
          <w:szCs w:val="24"/>
        </w:rPr>
        <w:t xml:space="preserve"> 593</w:t>
      </w:r>
      <w:r w:rsidRPr="006C04BD">
        <w:rPr>
          <w:rFonts w:ascii="Times New Roman" w:hAnsi="Times New Roman" w:cs="Times New Roman"/>
          <w:color w:val="000000"/>
          <w:sz w:val="24"/>
          <w:szCs w:val="24"/>
        </w:rPr>
        <w:t xml:space="preserve"> attualmente occupata dall’Isola Ecologica e dalla relativa strada di accesso</w:t>
      </w:r>
      <w:r w:rsidRPr="006C04BD">
        <w:rPr>
          <w:rFonts w:ascii="Times New Roman" w:hAnsi="Times New Roman" w:cs="Times New Roman"/>
          <w:sz w:val="24"/>
          <w:szCs w:val="24"/>
        </w:rPr>
        <w:t>, il tutto meglio rappresentato nell’allegata planimetria (all.1).</w:t>
      </w:r>
    </w:p>
    <w:p w14:paraId="4594524F" w14:textId="7C1A349C" w:rsidR="00FD6577" w:rsidRPr="006C04BD" w:rsidRDefault="00FD6577" w:rsidP="00F32087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6C04BD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Il dettaglio la consistenza immobiliare è quella evincibile dallo stralcio catastale del foglio 2 allegato alla presente nonché dalla tabella che segue: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842"/>
        <w:gridCol w:w="2552"/>
      </w:tblGrid>
      <w:tr w:rsidR="00FD6577" w14:paraId="5DD5DFDF" w14:textId="77777777" w:rsidTr="00961255">
        <w:trPr>
          <w:jc w:val="center"/>
        </w:trPr>
        <w:tc>
          <w:tcPr>
            <w:tcW w:w="1555" w:type="dxa"/>
          </w:tcPr>
          <w:p w14:paraId="094713E2" w14:textId="50EDCEAD" w:rsidR="00FD6577" w:rsidRPr="00FD6577" w:rsidRDefault="00FD6577" w:rsidP="00FD6577">
            <w:pPr>
              <w:spacing w:after="1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  <w:r w:rsidRPr="00FD6577">
              <w:rPr>
                <w:rFonts w:ascii="Times New Roman" w:eastAsia="Times New Roman" w:hAnsi="Times New Roman" w:cs="Times New Roman"/>
                <w:color w:val="333333"/>
                <w:lang w:eastAsia="it-IT"/>
              </w:rPr>
              <w:t>FOGLIO</w:t>
            </w:r>
          </w:p>
        </w:tc>
        <w:tc>
          <w:tcPr>
            <w:tcW w:w="1842" w:type="dxa"/>
          </w:tcPr>
          <w:p w14:paraId="06D28DC9" w14:textId="5316367E" w:rsidR="00FD6577" w:rsidRPr="00FD6577" w:rsidRDefault="00FD6577" w:rsidP="00FD6577">
            <w:pPr>
              <w:spacing w:after="1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  <w:r w:rsidRPr="00FD6577">
              <w:rPr>
                <w:rFonts w:ascii="Times New Roman" w:eastAsia="Times New Roman" w:hAnsi="Times New Roman" w:cs="Times New Roman"/>
                <w:color w:val="333333"/>
                <w:lang w:eastAsia="it-IT"/>
              </w:rPr>
              <w:t>PARTICELLA</w:t>
            </w:r>
          </w:p>
        </w:tc>
        <w:tc>
          <w:tcPr>
            <w:tcW w:w="2552" w:type="dxa"/>
          </w:tcPr>
          <w:p w14:paraId="569612D6" w14:textId="1D92342C" w:rsidR="00FD6577" w:rsidRPr="00FD6577" w:rsidRDefault="00FD6577" w:rsidP="00FD6577">
            <w:pPr>
              <w:spacing w:after="1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it-IT"/>
              </w:rPr>
            </w:pPr>
            <w:r w:rsidRPr="00FD6577">
              <w:rPr>
                <w:rFonts w:ascii="Times New Roman" w:eastAsia="Times New Roman" w:hAnsi="Times New Roman" w:cs="Times New Roman"/>
                <w:color w:val="333333"/>
                <w:lang w:eastAsia="it-IT"/>
              </w:rPr>
              <w:t>MQ CATASTALI</w:t>
            </w:r>
          </w:p>
        </w:tc>
      </w:tr>
      <w:tr w:rsidR="00FD6577" w14:paraId="12D20B9E" w14:textId="77777777" w:rsidTr="00961255">
        <w:trPr>
          <w:jc w:val="center"/>
        </w:trPr>
        <w:tc>
          <w:tcPr>
            <w:tcW w:w="1555" w:type="dxa"/>
            <w:vMerge w:val="restart"/>
            <w:vAlign w:val="center"/>
          </w:tcPr>
          <w:p w14:paraId="76EA4329" w14:textId="1F146951" w:rsidR="00FD6577" w:rsidRDefault="00FD6577" w:rsidP="00FD657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842" w:type="dxa"/>
          </w:tcPr>
          <w:p w14:paraId="141F6A1E" w14:textId="01A9949A" w:rsidR="00FD6577" w:rsidRDefault="00FD6577" w:rsidP="00FD657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593</w:t>
            </w:r>
          </w:p>
        </w:tc>
        <w:tc>
          <w:tcPr>
            <w:tcW w:w="2552" w:type="dxa"/>
          </w:tcPr>
          <w:p w14:paraId="1436BBDF" w14:textId="116391B1" w:rsidR="00FD6577" w:rsidRDefault="00707ACD" w:rsidP="00FD6577">
            <w:pPr>
              <w:spacing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11.106,00</w:t>
            </w:r>
          </w:p>
        </w:tc>
      </w:tr>
      <w:tr w:rsidR="00FD6577" w14:paraId="078B3106" w14:textId="77777777" w:rsidTr="00961255">
        <w:trPr>
          <w:jc w:val="center"/>
        </w:trPr>
        <w:tc>
          <w:tcPr>
            <w:tcW w:w="1555" w:type="dxa"/>
            <w:vMerge/>
          </w:tcPr>
          <w:p w14:paraId="7D8E3AE0" w14:textId="77777777" w:rsidR="00FD6577" w:rsidRDefault="00FD6577" w:rsidP="00FD657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</w:tcPr>
          <w:p w14:paraId="54758E5F" w14:textId="2BF11E80" w:rsidR="00FD6577" w:rsidRDefault="00FD6577" w:rsidP="00FD657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594</w:t>
            </w:r>
          </w:p>
        </w:tc>
        <w:tc>
          <w:tcPr>
            <w:tcW w:w="2552" w:type="dxa"/>
          </w:tcPr>
          <w:p w14:paraId="3CE3BB0A" w14:textId="57B030A5" w:rsidR="00FD6577" w:rsidRDefault="00707ACD" w:rsidP="00FD6577">
            <w:pPr>
              <w:spacing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693,00</w:t>
            </w:r>
          </w:p>
        </w:tc>
      </w:tr>
      <w:tr w:rsidR="00FD6577" w14:paraId="5D817BF6" w14:textId="77777777" w:rsidTr="00961255">
        <w:trPr>
          <w:jc w:val="center"/>
        </w:trPr>
        <w:tc>
          <w:tcPr>
            <w:tcW w:w="1555" w:type="dxa"/>
            <w:vMerge/>
          </w:tcPr>
          <w:p w14:paraId="3F9437A6" w14:textId="77777777" w:rsidR="00FD6577" w:rsidRDefault="00FD6577" w:rsidP="00FD657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</w:tcPr>
          <w:p w14:paraId="3427C016" w14:textId="3A64C5F8" w:rsidR="00FD6577" w:rsidRDefault="00FD6577" w:rsidP="00FD657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596</w:t>
            </w:r>
          </w:p>
        </w:tc>
        <w:tc>
          <w:tcPr>
            <w:tcW w:w="2552" w:type="dxa"/>
          </w:tcPr>
          <w:p w14:paraId="7400CB3B" w14:textId="15EEA985" w:rsidR="00FD6577" w:rsidRDefault="00707ACD" w:rsidP="00FD6577">
            <w:pPr>
              <w:spacing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2.293,00</w:t>
            </w:r>
          </w:p>
        </w:tc>
      </w:tr>
      <w:tr w:rsidR="00FD6577" w14:paraId="0ECF71D3" w14:textId="77777777" w:rsidTr="00961255">
        <w:trPr>
          <w:jc w:val="center"/>
        </w:trPr>
        <w:tc>
          <w:tcPr>
            <w:tcW w:w="1555" w:type="dxa"/>
            <w:vMerge/>
          </w:tcPr>
          <w:p w14:paraId="3F76D4F3" w14:textId="77777777" w:rsidR="00FD6577" w:rsidRDefault="00FD6577" w:rsidP="00FD657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</w:tcPr>
          <w:p w14:paraId="4CD44F62" w14:textId="56938E45" w:rsidR="00FD6577" w:rsidRDefault="00707ACD" w:rsidP="00FD657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598</w:t>
            </w:r>
          </w:p>
        </w:tc>
        <w:tc>
          <w:tcPr>
            <w:tcW w:w="2552" w:type="dxa"/>
          </w:tcPr>
          <w:p w14:paraId="07F64C08" w14:textId="10E447FE" w:rsidR="00FD6577" w:rsidRDefault="00707ACD" w:rsidP="00FD6577">
            <w:pPr>
              <w:spacing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5.180,00</w:t>
            </w:r>
          </w:p>
        </w:tc>
      </w:tr>
      <w:tr w:rsidR="00FD6577" w14:paraId="20C41AE5" w14:textId="77777777" w:rsidTr="00961255">
        <w:trPr>
          <w:jc w:val="center"/>
        </w:trPr>
        <w:tc>
          <w:tcPr>
            <w:tcW w:w="1555" w:type="dxa"/>
            <w:vMerge/>
          </w:tcPr>
          <w:p w14:paraId="0D36A960" w14:textId="77777777" w:rsidR="00FD6577" w:rsidRDefault="00FD6577" w:rsidP="00FD657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</w:tcPr>
          <w:p w14:paraId="050C72E3" w14:textId="7088B6E5" w:rsidR="00FD6577" w:rsidRDefault="00FD6577" w:rsidP="00FD657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600</w:t>
            </w:r>
          </w:p>
        </w:tc>
        <w:tc>
          <w:tcPr>
            <w:tcW w:w="2552" w:type="dxa"/>
          </w:tcPr>
          <w:p w14:paraId="49A02BFB" w14:textId="3C904891" w:rsidR="00FD6577" w:rsidRDefault="00707ACD" w:rsidP="00FD6577">
            <w:pPr>
              <w:spacing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1.740,00</w:t>
            </w:r>
          </w:p>
        </w:tc>
      </w:tr>
      <w:tr w:rsidR="00FD6577" w14:paraId="3F919EB2" w14:textId="77777777" w:rsidTr="00961255">
        <w:trPr>
          <w:jc w:val="center"/>
        </w:trPr>
        <w:tc>
          <w:tcPr>
            <w:tcW w:w="1555" w:type="dxa"/>
            <w:vMerge/>
          </w:tcPr>
          <w:p w14:paraId="14CCBDE7" w14:textId="77777777" w:rsidR="00FD6577" w:rsidRDefault="00FD6577" w:rsidP="00FD657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</w:tcPr>
          <w:p w14:paraId="0D9E070F" w14:textId="211993FF" w:rsidR="00FD6577" w:rsidRDefault="00FD6577" w:rsidP="00FD657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234</w:t>
            </w:r>
          </w:p>
        </w:tc>
        <w:tc>
          <w:tcPr>
            <w:tcW w:w="2552" w:type="dxa"/>
          </w:tcPr>
          <w:p w14:paraId="02819083" w14:textId="41FDD2B1" w:rsidR="00FD6577" w:rsidRDefault="00707ACD" w:rsidP="00FD6577">
            <w:pPr>
              <w:spacing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2.360,00</w:t>
            </w:r>
          </w:p>
        </w:tc>
      </w:tr>
      <w:tr w:rsidR="00FD6577" w14:paraId="0B822839" w14:textId="77777777" w:rsidTr="00961255">
        <w:trPr>
          <w:jc w:val="center"/>
        </w:trPr>
        <w:tc>
          <w:tcPr>
            <w:tcW w:w="1555" w:type="dxa"/>
            <w:vMerge/>
          </w:tcPr>
          <w:p w14:paraId="2AC0C89E" w14:textId="77777777" w:rsidR="00FD6577" w:rsidRDefault="00FD6577" w:rsidP="00FD657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</w:tcPr>
          <w:p w14:paraId="40DD0EB8" w14:textId="223078FA" w:rsidR="00FD6577" w:rsidRDefault="00FD6577" w:rsidP="00FD657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317</w:t>
            </w:r>
          </w:p>
        </w:tc>
        <w:tc>
          <w:tcPr>
            <w:tcW w:w="2552" w:type="dxa"/>
          </w:tcPr>
          <w:p w14:paraId="7B8A80F5" w14:textId="560A1846" w:rsidR="00FD6577" w:rsidRDefault="00707ACD" w:rsidP="00FD6577">
            <w:pPr>
              <w:spacing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3.530,00</w:t>
            </w:r>
          </w:p>
        </w:tc>
      </w:tr>
      <w:tr w:rsidR="00FD6577" w14:paraId="5DA981D2" w14:textId="77777777" w:rsidTr="00961255">
        <w:trPr>
          <w:jc w:val="center"/>
        </w:trPr>
        <w:tc>
          <w:tcPr>
            <w:tcW w:w="1555" w:type="dxa"/>
            <w:vMerge/>
          </w:tcPr>
          <w:p w14:paraId="68FDB749" w14:textId="77777777" w:rsidR="00FD6577" w:rsidRDefault="00FD6577" w:rsidP="00FD657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</w:tcPr>
          <w:p w14:paraId="686D5A1D" w14:textId="20A32043" w:rsidR="00FD6577" w:rsidRDefault="00FD6577" w:rsidP="00FD657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318</w:t>
            </w:r>
          </w:p>
        </w:tc>
        <w:tc>
          <w:tcPr>
            <w:tcW w:w="2552" w:type="dxa"/>
          </w:tcPr>
          <w:p w14:paraId="4626E845" w14:textId="32C23AC2" w:rsidR="00FD6577" w:rsidRDefault="00707ACD" w:rsidP="00FD6577">
            <w:pPr>
              <w:spacing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660,00</w:t>
            </w:r>
          </w:p>
        </w:tc>
      </w:tr>
      <w:tr w:rsidR="00FD6577" w14:paraId="7A9D39E0" w14:textId="77777777" w:rsidTr="00961255">
        <w:trPr>
          <w:jc w:val="center"/>
        </w:trPr>
        <w:tc>
          <w:tcPr>
            <w:tcW w:w="1555" w:type="dxa"/>
            <w:vMerge/>
          </w:tcPr>
          <w:p w14:paraId="58BC627D" w14:textId="77777777" w:rsidR="00FD6577" w:rsidRDefault="00FD6577" w:rsidP="00FD657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</w:tcPr>
          <w:p w14:paraId="4E1B37A4" w14:textId="2D76F8DA" w:rsidR="00FD6577" w:rsidRDefault="00FD6577" w:rsidP="00FD657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120</w:t>
            </w:r>
          </w:p>
        </w:tc>
        <w:tc>
          <w:tcPr>
            <w:tcW w:w="2552" w:type="dxa"/>
          </w:tcPr>
          <w:p w14:paraId="05326D71" w14:textId="590D6081" w:rsidR="00FD6577" w:rsidRDefault="00707ACD" w:rsidP="00FD6577">
            <w:pPr>
              <w:spacing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6.921,00</w:t>
            </w:r>
          </w:p>
        </w:tc>
      </w:tr>
      <w:tr w:rsidR="00FD6577" w14:paraId="2C6FE112" w14:textId="77777777" w:rsidTr="00961255">
        <w:trPr>
          <w:jc w:val="center"/>
        </w:trPr>
        <w:tc>
          <w:tcPr>
            <w:tcW w:w="1555" w:type="dxa"/>
            <w:vMerge/>
          </w:tcPr>
          <w:p w14:paraId="63FCB38A" w14:textId="77777777" w:rsidR="00FD6577" w:rsidRDefault="00FD6577" w:rsidP="00FD657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</w:tcPr>
          <w:p w14:paraId="70809FAE" w14:textId="67FDC5DC" w:rsidR="00FD6577" w:rsidRDefault="00FD6577" w:rsidP="00FD657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316</w:t>
            </w:r>
          </w:p>
        </w:tc>
        <w:tc>
          <w:tcPr>
            <w:tcW w:w="2552" w:type="dxa"/>
          </w:tcPr>
          <w:p w14:paraId="117ABB4B" w14:textId="03FC37DA" w:rsidR="00FD6577" w:rsidRDefault="00707ACD" w:rsidP="00FD6577">
            <w:pPr>
              <w:spacing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6.810,00</w:t>
            </w:r>
          </w:p>
        </w:tc>
      </w:tr>
      <w:tr w:rsidR="00FD6577" w14:paraId="1E56EAD4" w14:textId="77777777" w:rsidTr="00961255">
        <w:trPr>
          <w:jc w:val="center"/>
        </w:trPr>
        <w:tc>
          <w:tcPr>
            <w:tcW w:w="1555" w:type="dxa"/>
            <w:vMerge/>
          </w:tcPr>
          <w:p w14:paraId="49C1C732" w14:textId="77777777" w:rsidR="00FD6577" w:rsidRDefault="00FD6577" w:rsidP="00FD657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</w:tcPr>
          <w:p w14:paraId="2A03B822" w14:textId="553F427E" w:rsidR="00FD6577" w:rsidRDefault="00FD6577" w:rsidP="00FD657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134</w:t>
            </w:r>
          </w:p>
        </w:tc>
        <w:tc>
          <w:tcPr>
            <w:tcW w:w="2552" w:type="dxa"/>
          </w:tcPr>
          <w:p w14:paraId="6BBBCA90" w14:textId="38DFAADC" w:rsidR="00FD6577" w:rsidRDefault="00707ACD" w:rsidP="00FD6577">
            <w:pPr>
              <w:spacing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5.190,00</w:t>
            </w:r>
          </w:p>
        </w:tc>
      </w:tr>
      <w:tr w:rsidR="00FD6577" w14:paraId="50AC8262" w14:textId="77777777" w:rsidTr="00961255">
        <w:trPr>
          <w:jc w:val="center"/>
        </w:trPr>
        <w:tc>
          <w:tcPr>
            <w:tcW w:w="1555" w:type="dxa"/>
            <w:vMerge/>
          </w:tcPr>
          <w:p w14:paraId="4E4BBF1A" w14:textId="77777777" w:rsidR="00FD6577" w:rsidRDefault="00FD6577" w:rsidP="00FD657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</w:tcPr>
          <w:p w14:paraId="4AEF2F2C" w14:textId="7428518F" w:rsidR="00FD6577" w:rsidRDefault="00FD6577" w:rsidP="00FD657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133</w:t>
            </w:r>
          </w:p>
        </w:tc>
        <w:tc>
          <w:tcPr>
            <w:tcW w:w="2552" w:type="dxa"/>
          </w:tcPr>
          <w:p w14:paraId="54F185F2" w14:textId="76E6C4D7" w:rsidR="00FD6577" w:rsidRDefault="00707ACD" w:rsidP="00FD6577">
            <w:pPr>
              <w:spacing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10.721,00</w:t>
            </w:r>
          </w:p>
        </w:tc>
      </w:tr>
      <w:tr w:rsidR="00FD6577" w14:paraId="74A0D01D" w14:textId="77777777" w:rsidTr="00961255">
        <w:trPr>
          <w:jc w:val="center"/>
        </w:trPr>
        <w:tc>
          <w:tcPr>
            <w:tcW w:w="1555" w:type="dxa"/>
            <w:vMerge/>
          </w:tcPr>
          <w:p w14:paraId="552FD689" w14:textId="77777777" w:rsidR="00FD6577" w:rsidRDefault="00FD6577" w:rsidP="00FD657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</w:tcPr>
          <w:p w14:paraId="27463198" w14:textId="306481F9" w:rsidR="00FD6577" w:rsidRDefault="00FD6577" w:rsidP="00FD657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119</w:t>
            </w:r>
          </w:p>
        </w:tc>
        <w:tc>
          <w:tcPr>
            <w:tcW w:w="2552" w:type="dxa"/>
          </w:tcPr>
          <w:p w14:paraId="4AE9564E" w14:textId="453E9D39" w:rsidR="00FD6577" w:rsidRDefault="00707ACD" w:rsidP="00FD6577">
            <w:pPr>
              <w:spacing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7.507,00</w:t>
            </w:r>
          </w:p>
        </w:tc>
      </w:tr>
      <w:tr w:rsidR="00FD6577" w14:paraId="07BF5721" w14:textId="77777777" w:rsidTr="00961255">
        <w:trPr>
          <w:jc w:val="center"/>
        </w:trPr>
        <w:tc>
          <w:tcPr>
            <w:tcW w:w="1555" w:type="dxa"/>
            <w:vMerge/>
          </w:tcPr>
          <w:p w14:paraId="6F7CB659" w14:textId="77777777" w:rsidR="00FD6577" w:rsidRDefault="00FD6577" w:rsidP="00FD657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</w:tcPr>
          <w:p w14:paraId="1E6C7609" w14:textId="5A148555" w:rsidR="00FD6577" w:rsidRDefault="00FD6577" w:rsidP="00FD657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188</w:t>
            </w:r>
          </w:p>
        </w:tc>
        <w:tc>
          <w:tcPr>
            <w:tcW w:w="2552" w:type="dxa"/>
          </w:tcPr>
          <w:p w14:paraId="41F8FAEE" w14:textId="4EBD3B42" w:rsidR="00FD6577" w:rsidRDefault="00707ACD" w:rsidP="00FD6577">
            <w:pPr>
              <w:spacing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874,00</w:t>
            </w:r>
          </w:p>
        </w:tc>
      </w:tr>
      <w:tr w:rsidR="00FD6577" w14:paraId="20F59A7D" w14:textId="77777777" w:rsidTr="00961255">
        <w:trPr>
          <w:jc w:val="center"/>
        </w:trPr>
        <w:tc>
          <w:tcPr>
            <w:tcW w:w="1555" w:type="dxa"/>
            <w:vMerge/>
          </w:tcPr>
          <w:p w14:paraId="3D7072E0" w14:textId="77777777" w:rsidR="00FD6577" w:rsidRDefault="00FD6577" w:rsidP="00FD657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</w:tcPr>
          <w:p w14:paraId="1DF3E2A1" w14:textId="2A8F852D" w:rsidR="00FD6577" w:rsidRDefault="00FD6577" w:rsidP="00FD657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187</w:t>
            </w:r>
          </w:p>
        </w:tc>
        <w:tc>
          <w:tcPr>
            <w:tcW w:w="2552" w:type="dxa"/>
          </w:tcPr>
          <w:p w14:paraId="3049F981" w14:textId="78EC13FB" w:rsidR="00FD6577" w:rsidRDefault="00707ACD" w:rsidP="00FD6577">
            <w:pPr>
              <w:spacing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13.820,00</w:t>
            </w:r>
          </w:p>
        </w:tc>
      </w:tr>
      <w:tr w:rsidR="00FD6577" w14:paraId="1B99E822" w14:textId="77777777" w:rsidTr="00961255">
        <w:trPr>
          <w:jc w:val="center"/>
        </w:trPr>
        <w:tc>
          <w:tcPr>
            <w:tcW w:w="1555" w:type="dxa"/>
            <w:vMerge/>
          </w:tcPr>
          <w:p w14:paraId="791311C7" w14:textId="77777777" w:rsidR="00FD6577" w:rsidRDefault="00FD6577" w:rsidP="00FD657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</w:tcPr>
          <w:p w14:paraId="6B9DEF3C" w14:textId="1F7409E6" w:rsidR="00FD6577" w:rsidRDefault="00FD6577" w:rsidP="00FD657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235</w:t>
            </w:r>
          </w:p>
        </w:tc>
        <w:tc>
          <w:tcPr>
            <w:tcW w:w="2552" w:type="dxa"/>
          </w:tcPr>
          <w:p w14:paraId="24EFB906" w14:textId="7F4A0AD3" w:rsidR="00FD6577" w:rsidRDefault="00707ACD" w:rsidP="00FD6577">
            <w:pPr>
              <w:spacing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2.490,00</w:t>
            </w:r>
          </w:p>
        </w:tc>
      </w:tr>
      <w:tr w:rsidR="00FD6577" w14:paraId="2C85FCD7" w14:textId="77777777" w:rsidTr="00961255">
        <w:trPr>
          <w:jc w:val="center"/>
        </w:trPr>
        <w:tc>
          <w:tcPr>
            <w:tcW w:w="1555" w:type="dxa"/>
            <w:vMerge/>
          </w:tcPr>
          <w:p w14:paraId="0B12CA9E" w14:textId="77777777" w:rsidR="00FD6577" w:rsidRDefault="00FD6577" w:rsidP="00FD657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</w:tcPr>
          <w:p w14:paraId="6AF3C9C4" w14:textId="0F18C14E" w:rsidR="00FD6577" w:rsidRDefault="00FD6577" w:rsidP="00FD657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2552" w:type="dxa"/>
          </w:tcPr>
          <w:p w14:paraId="25905127" w14:textId="267847FF" w:rsidR="00FD6577" w:rsidRDefault="00707ACD" w:rsidP="00FD6577">
            <w:pPr>
              <w:spacing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10.854,00</w:t>
            </w:r>
          </w:p>
        </w:tc>
      </w:tr>
      <w:tr w:rsidR="00FD6577" w14:paraId="37166FDE" w14:textId="77777777" w:rsidTr="00961255">
        <w:trPr>
          <w:jc w:val="center"/>
        </w:trPr>
        <w:tc>
          <w:tcPr>
            <w:tcW w:w="1555" w:type="dxa"/>
            <w:vMerge/>
          </w:tcPr>
          <w:p w14:paraId="75316901" w14:textId="77777777" w:rsidR="00FD6577" w:rsidRDefault="00FD6577" w:rsidP="00FD657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</w:tcPr>
          <w:p w14:paraId="039651A4" w14:textId="24E791AB" w:rsidR="00FD6577" w:rsidRDefault="00FD6577" w:rsidP="00FD657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241</w:t>
            </w:r>
          </w:p>
        </w:tc>
        <w:tc>
          <w:tcPr>
            <w:tcW w:w="2552" w:type="dxa"/>
          </w:tcPr>
          <w:p w14:paraId="38C6A0DF" w14:textId="197937C1" w:rsidR="00FD6577" w:rsidRDefault="00707ACD" w:rsidP="00FD6577">
            <w:pPr>
              <w:spacing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4.020,00</w:t>
            </w:r>
          </w:p>
        </w:tc>
      </w:tr>
      <w:tr w:rsidR="00FD6577" w14:paraId="7D9ED680" w14:textId="77777777" w:rsidTr="00961255">
        <w:trPr>
          <w:jc w:val="center"/>
        </w:trPr>
        <w:tc>
          <w:tcPr>
            <w:tcW w:w="1555" w:type="dxa"/>
            <w:vMerge/>
          </w:tcPr>
          <w:p w14:paraId="527450B5" w14:textId="77777777" w:rsidR="00FD6577" w:rsidRDefault="00FD6577" w:rsidP="00FD657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</w:tcPr>
          <w:p w14:paraId="534910EF" w14:textId="03D64C40" w:rsidR="00FD6577" w:rsidRDefault="00F706A6" w:rsidP="00FD657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370</w:t>
            </w:r>
          </w:p>
        </w:tc>
        <w:tc>
          <w:tcPr>
            <w:tcW w:w="2552" w:type="dxa"/>
          </w:tcPr>
          <w:p w14:paraId="351B9138" w14:textId="38E43A7B" w:rsidR="00FD6577" w:rsidRDefault="00707ACD" w:rsidP="00FD6577">
            <w:pPr>
              <w:spacing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926,00</w:t>
            </w:r>
          </w:p>
        </w:tc>
      </w:tr>
    </w:tbl>
    <w:p w14:paraId="6CFB7485" w14:textId="77777777" w:rsidR="00FD6577" w:rsidRPr="006C04BD" w:rsidRDefault="00FD6577" w:rsidP="00F32087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14:paraId="4C46E57A" w14:textId="6AF91806" w:rsidR="00707ACD" w:rsidRPr="006C04BD" w:rsidRDefault="00707ACD" w:rsidP="006C04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4BD">
        <w:rPr>
          <w:rFonts w:ascii="Times New Roman" w:hAnsi="Times New Roman" w:cs="Times New Roman"/>
          <w:b/>
          <w:sz w:val="24"/>
          <w:szCs w:val="24"/>
        </w:rPr>
        <w:t>TITOLO DI PROVENIENZA</w:t>
      </w:r>
    </w:p>
    <w:p w14:paraId="56DE4945" w14:textId="77777777" w:rsidR="00707ACD" w:rsidRPr="006C04BD" w:rsidRDefault="00707ACD" w:rsidP="00707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BD">
        <w:rPr>
          <w:rFonts w:ascii="Times New Roman" w:hAnsi="Times New Roman" w:cs="Times New Roman"/>
          <w:sz w:val="24"/>
          <w:szCs w:val="24"/>
        </w:rPr>
        <w:t>Il Comune di Pollena Trocchia ha acquisito la piena ed esclusiva proprietà delle aree in questione per effetto delle deliberazioni del Consiglio comunale n. 27/1998 e 28/1998, entrambe del 2.7.1998, con cui è stata dichiarata la decadenza, e dunque l’estinzione, del diritto di superficie precedentemente concesso su parte delle stesse, e la risoluzione della cessione del diritto di proprietà, sulla restante parte, precedentemente accordati in forza di convenzioni stipulate ai sensi dell’art. 27 della legge n. 865 del 22.10.1971 .</w:t>
      </w:r>
    </w:p>
    <w:p w14:paraId="48EEA613" w14:textId="77777777" w:rsidR="00707ACD" w:rsidRPr="006C04BD" w:rsidRDefault="00707ACD" w:rsidP="00707A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AE7C18" w14:textId="6EBB9BD8" w:rsidR="00707ACD" w:rsidRPr="006C04BD" w:rsidRDefault="00707ACD" w:rsidP="006C04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4BD">
        <w:rPr>
          <w:rFonts w:ascii="Times New Roman" w:hAnsi="Times New Roman" w:cs="Times New Roman"/>
          <w:b/>
          <w:sz w:val="24"/>
          <w:szCs w:val="24"/>
        </w:rPr>
        <w:t>CONDIZIONI PER L’EDIFICAZIONE</w:t>
      </w:r>
    </w:p>
    <w:p w14:paraId="35DBB050" w14:textId="77777777" w:rsidR="00707ACD" w:rsidRPr="006C04BD" w:rsidRDefault="00707ACD" w:rsidP="00707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BD">
        <w:rPr>
          <w:rFonts w:ascii="Times New Roman" w:hAnsi="Times New Roman" w:cs="Times New Roman"/>
          <w:sz w:val="24"/>
          <w:szCs w:val="24"/>
        </w:rPr>
        <w:t xml:space="preserve">L’edificazione è consentita nel rispetto dei parametri edilizi fissati dall’art. 18 delle Norme Tecniche di Attuazione del “PUA” e secondo le destinazioni d’uso prescritte nel precedente art. 17 delle stesse NTA.  </w:t>
      </w:r>
    </w:p>
    <w:p w14:paraId="0BE9604B" w14:textId="36753C63" w:rsidR="00707ACD" w:rsidRPr="006C04BD" w:rsidRDefault="00707ACD" w:rsidP="00707ACD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C04BD">
        <w:rPr>
          <w:rFonts w:ascii="Times New Roman" w:hAnsi="Times New Roman"/>
          <w:sz w:val="24"/>
          <w:szCs w:val="24"/>
        </w:rPr>
        <w:t xml:space="preserve">Il piano da porre in essere è quello approvato </w:t>
      </w:r>
      <w:r w:rsidRPr="006C04BD">
        <w:rPr>
          <w:rFonts w:ascii="Times New Roman" w:hAnsi="Times New Roman" w:cs="Times New Roman"/>
          <w:sz w:val="24"/>
          <w:szCs w:val="24"/>
        </w:rPr>
        <w:t xml:space="preserve">con deliberazione della Giunta comunale n. 160 del 29.10.2014 e successivo Decreto Sindacale n. 29 del 4.11.2014 pubblicato sul BURC n. 78 del 17.11.2014. </w:t>
      </w:r>
      <w:r w:rsidRPr="006C04BD">
        <w:rPr>
          <w:rFonts w:ascii="Times New Roman" w:hAnsi="Times New Roman"/>
          <w:sz w:val="24"/>
          <w:szCs w:val="24"/>
        </w:rPr>
        <w:t xml:space="preserve">L’acquirente potrà proporre un progetto di variante secondo le procedure previste dalla legislazione regionale in materia. </w:t>
      </w:r>
    </w:p>
    <w:p w14:paraId="131FC6D6" w14:textId="77777777" w:rsidR="00707ACD" w:rsidRPr="006C04BD" w:rsidRDefault="00707ACD" w:rsidP="00707ACD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6C04BD">
        <w:rPr>
          <w:rFonts w:ascii="Times New Roman" w:hAnsi="Times New Roman"/>
          <w:sz w:val="24"/>
          <w:szCs w:val="24"/>
        </w:rPr>
        <w:t xml:space="preserve">In ogni caso è fatta salva </w:t>
      </w:r>
      <w:r w:rsidRPr="006C04BD">
        <w:rPr>
          <w:rFonts w:ascii="Times New Roman" w:eastAsia="Times New Roman" w:hAnsi="Times New Roman" w:cs="Times New Roman"/>
          <w:sz w:val="24"/>
          <w:szCs w:val="24"/>
        </w:rPr>
        <w:t xml:space="preserve">la facoltà dell’acquirente di accorpamento dei comparti “A”, “C” e “D” del PUA, o di altri comparti adiacenti di cui dovesse eventualmente acquisire la titolarità, salvo il rispetto dei parametri previsti dall’art. 18 delle NTA per la costruzione degli edifici e ferme, comunque, le quantità delle aree da destinarsi a </w:t>
      </w:r>
      <w:r w:rsidRPr="006C04BD">
        <w:rPr>
          <w:rFonts w:ascii="Times New Roman" w:eastAsia="Times New Roman" w:hAnsi="Times New Roman" w:cs="Times New Roman"/>
          <w:i/>
          <w:sz w:val="24"/>
          <w:szCs w:val="24"/>
        </w:rPr>
        <w:t>standards</w:t>
      </w:r>
      <w:r w:rsidRPr="006C04BD">
        <w:rPr>
          <w:rFonts w:ascii="Times New Roman" w:eastAsia="Times New Roman" w:hAnsi="Times New Roman" w:cs="Times New Roman"/>
          <w:sz w:val="24"/>
          <w:szCs w:val="24"/>
        </w:rPr>
        <w:t xml:space="preserve"> urbanistici ex DM 1444/1968, così determinando la modifica dell’assetto della viabilità prevista nelle tavole P1, P2, P3 e P5 e riduzione della complessiva superficie destinata alla rete stradale del PUA</w:t>
      </w:r>
    </w:p>
    <w:p w14:paraId="3A5B3EC5" w14:textId="5983E34E" w:rsidR="00707ACD" w:rsidRPr="006C04BD" w:rsidRDefault="00707ACD" w:rsidP="00707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5DE98" w14:textId="4B2115F6" w:rsidR="00707ACD" w:rsidRPr="006C04BD" w:rsidRDefault="00707ACD" w:rsidP="006C04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4BD">
        <w:rPr>
          <w:rFonts w:ascii="Times New Roman" w:hAnsi="Times New Roman" w:cs="Times New Roman"/>
          <w:b/>
          <w:sz w:val="24"/>
          <w:szCs w:val="24"/>
        </w:rPr>
        <w:t>PRECISAZIONI</w:t>
      </w:r>
    </w:p>
    <w:p w14:paraId="395930F4" w14:textId="77777777" w:rsidR="00707ACD" w:rsidRPr="006C04BD" w:rsidRDefault="00707ACD" w:rsidP="00707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BD">
        <w:rPr>
          <w:rFonts w:ascii="Times New Roman" w:hAnsi="Times New Roman" w:cs="Times New Roman"/>
          <w:sz w:val="24"/>
          <w:szCs w:val="24"/>
        </w:rPr>
        <w:t>I suoli oggetto della procedura vengono alienati liberi da cose e persone, nello stato di fatto in cui attualmente si trovano, con le precisazioni che seguono.</w:t>
      </w:r>
    </w:p>
    <w:p w14:paraId="2DB7E246" w14:textId="77777777" w:rsidR="00707ACD" w:rsidRPr="006C04BD" w:rsidRDefault="00707ACD" w:rsidP="00707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BD">
        <w:rPr>
          <w:rFonts w:ascii="Times New Roman" w:hAnsi="Times New Roman" w:cs="Times New Roman"/>
          <w:sz w:val="24"/>
          <w:szCs w:val="24"/>
        </w:rPr>
        <w:lastRenderedPageBreak/>
        <w:t xml:space="preserve">La proprietà della porzione individuata in catasto al foglio 2, </w:t>
      </w:r>
      <w:proofErr w:type="spellStart"/>
      <w:r w:rsidRPr="006C04BD">
        <w:rPr>
          <w:rFonts w:ascii="Times New Roman" w:hAnsi="Times New Roman" w:cs="Times New Roman"/>
          <w:sz w:val="24"/>
          <w:szCs w:val="24"/>
        </w:rPr>
        <w:t>p.lla</w:t>
      </w:r>
      <w:proofErr w:type="spellEnd"/>
      <w:r w:rsidRPr="006C04BD">
        <w:rPr>
          <w:rFonts w:ascii="Times New Roman" w:hAnsi="Times New Roman" w:cs="Times New Roman"/>
          <w:sz w:val="24"/>
          <w:szCs w:val="24"/>
        </w:rPr>
        <w:t xml:space="preserve"> 593, computata nella superficie territoriale Piano urbanistico attuativo, viene trasferita anch’essa nello stato di fatto e diritto in cui si trova, ovvero parzialmente occupata dall’isola ecologica e dalla relativa strada di accesso. Sul punto, in ossequio alle previsioni contenute nell’elaborato “</w:t>
      </w:r>
      <w:r w:rsidRPr="006C04BD">
        <w:rPr>
          <w:rFonts w:ascii="Times New Roman" w:hAnsi="Times New Roman" w:cs="Times New Roman"/>
          <w:i/>
          <w:sz w:val="24"/>
          <w:szCs w:val="24"/>
        </w:rPr>
        <w:t>Relazione Generale”</w:t>
      </w:r>
      <w:r w:rsidRPr="006C04BD">
        <w:rPr>
          <w:rFonts w:ascii="Times New Roman" w:hAnsi="Times New Roman" w:cs="Times New Roman"/>
          <w:sz w:val="24"/>
          <w:szCs w:val="24"/>
        </w:rPr>
        <w:t xml:space="preserve"> del PUA, in accordo con l’amministrazione comunale, tale isola ecologica potrà essere delocalizzata a cura e spese dell’aggiudicatario - acquirente, che, a quel punto, potrà procedere alla trasformazione edilizia della relativa superficie. </w:t>
      </w:r>
    </w:p>
    <w:p w14:paraId="027064E9" w14:textId="77777777" w:rsidR="00707ACD" w:rsidRPr="006C04BD" w:rsidRDefault="00707ACD" w:rsidP="00707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BD">
        <w:rPr>
          <w:rFonts w:ascii="Times New Roman" w:hAnsi="Times New Roman" w:cs="Times New Roman"/>
          <w:sz w:val="24"/>
          <w:szCs w:val="24"/>
        </w:rPr>
        <w:t xml:space="preserve">Parimenti, resta bene inteso che l’amministrazione alienante viene esonerata da qualsivoglia onere in merito all’eventuale demolizione del manufatto insistente sull’area individuata in catasto alla </w:t>
      </w:r>
      <w:proofErr w:type="spellStart"/>
      <w:r w:rsidRPr="006C04BD">
        <w:rPr>
          <w:rFonts w:ascii="Times New Roman" w:hAnsi="Times New Roman" w:cs="Times New Roman"/>
          <w:sz w:val="24"/>
          <w:szCs w:val="24"/>
        </w:rPr>
        <w:t>p.lla</w:t>
      </w:r>
      <w:proofErr w:type="spellEnd"/>
      <w:r w:rsidRPr="006C04BD">
        <w:rPr>
          <w:rFonts w:ascii="Times New Roman" w:hAnsi="Times New Roman" w:cs="Times New Roman"/>
          <w:sz w:val="24"/>
          <w:szCs w:val="24"/>
        </w:rPr>
        <w:t xml:space="preserve"> 596 dello stesso foglio 2, laddove non recuperabile-utilizzabile.</w:t>
      </w:r>
    </w:p>
    <w:p w14:paraId="6A5DA747" w14:textId="1218C1E0" w:rsidR="00553369" w:rsidRPr="006C04BD" w:rsidRDefault="00670ABB" w:rsidP="00670ABB">
      <w:pPr>
        <w:pStyle w:val="Paragrafoelenco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BD">
        <w:rPr>
          <w:rFonts w:ascii="Times New Roman" w:hAnsi="Times New Roman"/>
          <w:color w:val="auto"/>
          <w:sz w:val="24"/>
          <w:szCs w:val="24"/>
          <w:u w:color="FF0000"/>
        </w:rPr>
        <w:t xml:space="preserve">Per quanto riguarda l’eventuale delocalizzazione e conseguente utilizzo della porzione della </w:t>
      </w:r>
      <w:proofErr w:type="spellStart"/>
      <w:r w:rsidRPr="006C04BD">
        <w:rPr>
          <w:rFonts w:ascii="Times New Roman" w:hAnsi="Times New Roman"/>
          <w:color w:val="auto"/>
          <w:sz w:val="24"/>
          <w:szCs w:val="24"/>
          <w:u w:color="FF0000"/>
        </w:rPr>
        <w:t>p.lla</w:t>
      </w:r>
      <w:proofErr w:type="spellEnd"/>
      <w:r w:rsidRPr="006C04BD">
        <w:rPr>
          <w:rFonts w:ascii="Times New Roman" w:hAnsi="Times New Roman"/>
          <w:color w:val="auto"/>
          <w:sz w:val="24"/>
          <w:szCs w:val="24"/>
          <w:u w:color="FF0000"/>
        </w:rPr>
        <w:t xml:space="preserve"> 593 attualmente occupata dall’isola ecologica</w:t>
      </w:r>
      <w:r w:rsidR="00553369" w:rsidRPr="006C04BD">
        <w:rPr>
          <w:rFonts w:ascii="Times New Roman" w:eastAsia="Times New Roman" w:hAnsi="Times New Roman" w:cs="Times New Roman"/>
          <w:sz w:val="24"/>
          <w:szCs w:val="24"/>
        </w:rPr>
        <w:t xml:space="preserve">, l’acquirente potrà proporre la delocalizzazione in altra area ricadente nel territorio comunale, a sue cure e spese (o suoi aventi causa). Il Comune di Pollena Trocchia avrà la facoltà insindacabile di accettare tale proposta o proporre una localizzazione alternativa entro 180 giorni. Il tutto come meglio precisato nello schema di convenzione approvato con deliberazione di C.C. n. </w:t>
      </w:r>
      <w:r w:rsidR="00BD0FA1" w:rsidRPr="006C04BD">
        <w:rPr>
          <w:rFonts w:ascii="Times New Roman" w:eastAsia="Times New Roman" w:hAnsi="Times New Roman" w:cs="Times New Roman"/>
          <w:sz w:val="24"/>
          <w:szCs w:val="24"/>
        </w:rPr>
        <w:t>49</w:t>
      </w:r>
      <w:r w:rsidR="00553369" w:rsidRPr="006C04BD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r w:rsidR="00BD0FA1" w:rsidRPr="006C04BD">
        <w:rPr>
          <w:rFonts w:ascii="Times New Roman" w:eastAsia="Times New Roman" w:hAnsi="Times New Roman" w:cs="Times New Roman"/>
          <w:sz w:val="24"/>
          <w:szCs w:val="24"/>
        </w:rPr>
        <w:t>27.10.2022 e</w:t>
      </w:r>
      <w:r w:rsidR="00553369" w:rsidRPr="006C04BD">
        <w:rPr>
          <w:rFonts w:ascii="Times New Roman" w:eastAsia="Times New Roman" w:hAnsi="Times New Roman" w:cs="Times New Roman"/>
          <w:sz w:val="24"/>
          <w:szCs w:val="24"/>
        </w:rPr>
        <w:t xml:space="preserve"> facente parte integrante del bando.</w:t>
      </w:r>
    </w:p>
    <w:p w14:paraId="6396A8E9" w14:textId="15353104" w:rsidR="00553369" w:rsidRPr="006C04BD" w:rsidRDefault="00553369" w:rsidP="00670ABB">
      <w:pPr>
        <w:pStyle w:val="Paragrafoelenco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BD">
        <w:rPr>
          <w:rFonts w:ascii="Times New Roman" w:eastAsia="Times New Roman" w:hAnsi="Times New Roman" w:cs="Times New Roman"/>
          <w:sz w:val="24"/>
          <w:szCs w:val="24"/>
        </w:rPr>
        <w:t>La esecuzione delle opere di urbanizzazione è subordinata alla sottoscrizione della convenzione urbanistica sopra richiamata.</w:t>
      </w:r>
    </w:p>
    <w:p w14:paraId="0AA4A0DC" w14:textId="5E1C0DB9" w:rsidR="00F46866" w:rsidRPr="00F46866" w:rsidRDefault="00707ACD" w:rsidP="006E7C8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46866" w:rsidRPr="00F46866">
        <w:rPr>
          <w:rFonts w:ascii="Times New Roman" w:hAnsi="Times New Roman" w:cs="Times New Roman"/>
          <w:i/>
          <w:iCs/>
          <w:sz w:val="24"/>
          <w:szCs w:val="24"/>
        </w:rPr>
        <w:t xml:space="preserve">Pollena Trocchia lì, </w:t>
      </w:r>
      <w:r w:rsidR="003D0A69">
        <w:rPr>
          <w:rFonts w:ascii="Times New Roman" w:hAnsi="Times New Roman" w:cs="Times New Roman"/>
          <w:i/>
          <w:iCs/>
          <w:sz w:val="24"/>
          <w:szCs w:val="24"/>
        </w:rPr>
        <w:t>__________</w:t>
      </w:r>
    </w:p>
    <w:p w14:paraId="3E45C430" w14:textId="5541E663" w:rsidR="00F46866" w:rsidRPr="00F46866" w:rsidRDefault="00F46866" w:rsidP="00F46866">
      <w:pPr>
        <w:spacing w:after="0" w:line="360" w:lineRule="auto"/>
        <w:ind w:left="567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46866">
        <w:rPr>
          <w:rFonts w:ascii="Times New Roman" w:hAnsi="Times New Roman" w:cs="Times New Roman"/>
          <w:i/>
          <w:iCs/>
          <w:sz w:val="24"/>
          <w:szCs w:val="24"/>
        </w:rPr>
        <w:t xml:space="preserve">Il </w:t>
      </w:r>
      <w:r w:rsidR="00C90B17">
        <w:rPr>
          <w:rFonts w:ascii="Times New Roman" w:hAnsi="Times New Roman" w:cs="Times New Roman"/>
          <w:i/>
          <w:iCs/>
          <w:sz w:val="24"/>
          <w:szCs w:val="24"/>
        </w:rPr>
        <w:t>Responsabile del III Settore</w:t>
      </w:r>
    </w:p>
    <w:p w14:paraId="4E69BF28" w14:textId="2AEA7664" w:rsidR="00A44B1F" w:rsidRPr="006E7C8D" w:rsidRDefault="00C90B17" w:rsidP="00FE3F02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Ing. Francesco Schiavone</w:t>
      </w:r>
    </w:p>
    <w:sectPr w:rsidR="00A44B1F" w:rsidRPr="006E7C8D" w:rsidSect="00FE3F02">
      <w:headerReference w:type="default" r:id="rId9"/>
      <w:footerReference w:type="default" r:id="rId10"/>
      <w:pgSz w:w="11906" w:h="16838"/>
      <w:pgMar w:top="1276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7C257" w14:textId="77777777" w:rsidR="005748A6" w:rsidRDefault="005748A6" w:rsidP="00F46866">
      <w:pPr>
        <w:spacing w:after="0" w:line="240" w:lineRule="auto"/>
      </w:pPr>
      <w:r>
        <w:separator/>
      </w:r>
    </w:p>
  </w:endnote>
  <w:endnote w:type="continuationSeparator" w:id="0">
    <w:p w14:paraId="13169310" w14:textId="77777777" w:rsidR="005748A6" w:rsidRDefault="005748A6" w:rsidP="00F4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4684" w14:textId="702F5A40" w:rsidR="00F46866" w:rsidRDefault="00F46866" w:rsidP="00F46866">
    <w:pPr>
      <w:pStyle w:val="Pidipagina"/>
      <w:jc w:val="center"/>
      <w:rPr>
        <w:rFonts w:ascii="Bookman Old Style" w:hAnsi="Bookman Old Style"/>
        <w:b/>
        <w:bCs/>
        <w:i/>
        <w:iCs/>
        <w:sz w:val="16"/>
        <w:szCs w:val="16"/>
      </w:rPr>
    </w:pPr>
    <w:r>
      <w:rPr>
        <w:rFonts w:ascii="Bookman Old Style" w:hAnsi="Bookman Old Style"/>
        <w:b/>
        <w:bCs/>
        <w:i/>
        <w:iCs/>
        <w:sz w:val="16"/>
        <w:szCs w:val="16"/>
      </w:rPr>
      <w:t>____________________</w:t>
    </w:r>
  </w:p>
  <w:p w14:paraId="63A629FB" w14:textId="338E75FE" w:rsidR="005279F0" w:rsidRPr="003C3E36" w:rsidRDefault="003C3E36" w:rsidP="00F46866">
    <w:pPr>
      <w:pStyle w:val="Pidipagina"/>
      <w:jc w:val="center"/>
      <w:rPr>
        <w:rFonts w:cstheme="minorHAnsi"/>
        <w:b/>
        <w:bCs/>
        <w:sz w:val="18"/>
        <w:szCs w:val="18"/>
      </w:rPr>
    </w:pPr>
    <w:r w:rsidRPr="003C3E36">
      <w:rPr>
        <w:rFonts w:cstheme="minorHAnsi"/>
        <w:b/>
        <w:bCs/>
        <w:sz w:val="18"/>
        <w:szCs w:val="18"/>
      </w:rPr>
      <w:t>Via Esperanto, 2 – 80040 Pollena Trocchia</w:t>
    </w:r>
  </w:p>
  <w:p w14:paraId="7B515288" w14:textId="71E918E2" w:rsidR="003C3E36" w:rsidRPr="003C3E36" w:rsidRDefault="003C3E36" w:rsidP="00F46866">
    <w:pPr>
      <w:pStyle w:val="Pidipagina"/>
      <w:jc w:val="center"/>
      <w:rPr>
        <w:rFonts w:cstheme="minorHAnsi"/>
        <w:b/>
        <w:bCs/>
        <w:sz w:val="18"/>
        <w:szCs w:val="18"/>
      </w:rPr>
    </w:pPr>
    <w:proofErr w:type="spellStart"/>
    <w:r w:rsidRPr="003C3E36">
      <w:rPr>
        <w:rFonts w:cstheme="minorHAnsi"/>
        <w:b/>
        <w:bCs/>
        <w:sz w:val="18"/>
        <w:szCs w:val="18"/>
      </w:rPr>
      <w:t>Pec</w:t>
    </w:r>
    <w:proofErr w:type="spellEnd"/>
    <w:r w:rsidRPr="003C3E36">
      <w:rPr>
        <w:rFonts w:cstheme="minorHAnsi"/>
        <w:b/>
        <w:bCs/>
        <w:sz w:val="18"/>
        <w:szCs w:val="18"/>
      </w:rPr>
      <w:t>: protocollo@pec.comune.pollenatrocchia.na.it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E1314" w14:textId="77777777" w:rsidR="005748A6" w:rsidRDefault="005748A6" w:rsidP="00F46866">
      <w:pPr>
        <w:spacing w:after="0" w:line="240" w:lineRule="auto"/>
      </w:pPr>
      <w:r>
        <w:separator/>
      </w:r>
    </w:p>
  </w:footnote>
  <w:footnote w:type="continuationSeparator" w:id="0">
    <w:p w14:paraId="1AB8EA37" w14:textId="77777777" w:rsidR="005748A6" w:rsidRDefault="005748A6" w:rsidP="00F46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07F8" w14:textId="77777777" w:rsidR="006C4DDE" w:rsidRPr="006C4DDE" w:rsidRDefault="006C4DDE" w:rsidP="006C4DD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6C4DDE">
      <w:rPr>
        <w:rFonts w:ascii="Times New Roman" w:hAnsi="Times New Roman" w:cs="Times New Roman"/>
        <w:b/>
        <w:sz w:val="24"/>
        <w:szCs w:val="24"/>
      </w:rPr>
      <w:t>COMUNE DI POLLENA TROCCHIA</w:t>
    </w:r>
  </w:p>
  <w:p w14:paraId="55BF9A8C" w14:textId="77777777" w:rsidR="006C4DDE" w:rsidRPr="006C4DDE" w:rsidRDefault="006C4DDE" w:rsidP="006C4DDE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6C4DDE">
      <w:rPr>
        <w:rFonts w:ascii="Times New Roman" w:hAnsi="Times New Roman" w:cs="Times New Roman"/>
        <w:b/>
        <w:sz w:val="16"/>
        <w:szCs w:val="16"/>
      </w:rPr>
      <w:t>CITTA’ METROPOLITANA DI NAPOLI</w:t>
    </w:r>
  </w:p>
  <w:p w14:paraId="3298C474" w14:textId="77777777" w:rsidR="006C4DDE" w:rsidRPr="006C4DDE" w:rsidRDefault="006C4DDE" w:rsidP="006C4DDE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6C4DDE">
      <w:rPr>
        <w:rFonts w:ascii="Times New Roman" w:hAnsi="Times New Roman" w:cs="Times New Roman"/>
        <w:b/>
        <w:sz w:val="18"/>
        <w:szCs w:val="18"/>
      </w:rPr>
      <w:t>_______________________________</w:t>
    </w:r>
  </w:p>
  <w:p w14:paraId="50E5DCEA" w14:textId="77777777" w:rsidR="006C4DDE" w:rsidRDefault="006C4DDE" w:rsidP="006C4DD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16ABE"/>
    <w:multiLevelType w:val="multilevel"/>
    <w:tmpl w:val="744A9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3163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064"/>
    <w:rsid w:val="00074E10"/>
    <w:rsid w:val="00086C8F"/>
    <w:rsid w:val="000949C7"/>
    <w:rsid w:val="000D43B3"/>
    <w:rsid w:val="001375F2"/>
    <w:rsid w:val="001A2DAE"/>
    <w:rsid w:val="002B7F02"/>
    <w:rsid w:val="002C3DFC"/>
    <w:rsid w:val="002E37AE"/>
    <w:rsid w:val="002F69FD"/>
    <w:rsid w:val="00396644"/>
    <w:rsid w:val="003B419B"/>
    <w:rsid w:val="003C3E36"/>
    <w:rsid w:val="003D0A69"/>
    <w:rsid w:val="003F4C86"/>
    <w:rsid w:val="00402845"/>
    <w:rsid w:val="004B22A9"/>
    <w:rsid w:val="005279F0"/>
    <w:rsid w:val="0053548E"/>
    <w:rsid w:val="005371E7"/>
    <w:rsid w:val="00553369"/>
    <w:rsid w:val="005748A6"/>
    <w:rsid w:val="005A47F9"/>
    <w:rsid w:val="00650B10"/>
    <w:rsid w:val="00667731"/>
    <w:rsid w:val="00670ABB"/>
    <w:rsid w:val="006C04BD"/>
    <w:rsid w:val="006C4DDE"/>
    <w:rsid w:val="006E7C8D"/>
    <w:rsid w:val="00707ACD"/>
    <w:rsid w:val="007504B2"/>
    <w:rsid w:val="00771BA4"/>
    <w:rsid w:val="00916530"/>
    <w:rsid w:val="00936991"/>
    <w:rsid w:val="00937EE5"/>
    <w:rsid w:val="00961255"/>
    <w:rsid w:val="00977C10"/>
    <w:rsid w:val="00A144DA"/>
    <w:rsid w:val="00A44B1F"/>
    <w:rsid w:val="00AC4505"/>
    <w:rsid w:val="00BD0FA1"/>
    <w:rsid w:val="00C23BE2"/>
    <w:rsid w:val="00C90B17"/>
    <w:rsid w:val="00CD16AD"/>
    <w:rsid w:val="00D13440"/>
    <w:rsid w:val="00D82EAE"/>
    <w:rsid w:val="00DD6064"/>
    <w:rsid w:val="00E233F7"/>
    <w:rsid w:val="00E31979"/>
    <w:rsid w:val="00F32087"/>
    <w:rsid w:val="00F46866"/>
    <w:rsid w:val="00F706A6"/>
    <w:rsid w:val="00FD6577"/>
    <w:rsid w:val="00FE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8AC07"/>
  <w15:chartTrackingRefBased/>
  <w15:docId w15:val="{B491DAFA-FD55-4C6A-BEA4-57EF272B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4D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D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D6064"/>
    <w:rPr>
      <w:b/>
      <w:bCs/>
    </w:rPr>
  </w:style>
  <w:style w:type="character" w:styleId="Enfasicorsivo">
    <w:name w:val="Emphasis"/>
    <w:basedOn w:val="Carpredefinitoparagrafo"/>
    <w:uiPriority w:val="20"/>
    <w:qFormat/>
    <w:rsid w:val="00DD6064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F468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866"/>
  </w:style>
  <w:style w:type="paragraph" w:styleId="Pidipagina">
    <w:name w:val="footer"/>
    <w:basedOn w:val="Normale"/>
    <w:link w:val="PidipaginaCarattere"/>
    <w:uiPriority w:val="99"/>
    <w:unhideWhenUsed/>
    <w:rsid w:val="00F468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866"/>
  </w:style>
  <w:style w:type="character" w:styleId="Collegamentoipertestuale">
    <w:name w:val="Hyperlink"/>
    <w:basedOn w:val="Carpredefinitoparagrafo"/>
    <w:uiPriority w:val="99"/>
    <w:unhideWhenUsed/>
    <w:rsid w:val="00F4686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686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527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uiPriority w:val="34"/>
    <w:qFormat/>
    <w:rsid w:val="00FD657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7409A-0BF0-44AD-8FE7-4557CDA6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dc:description/>
  <cp:lastModifiedBy>Salzano Sarah</cp:lastModifiedBy>
  <cp:revision>12</cp:revision>
  <dcterms:created xsi:type="dcterms:W3CDTF">2023-02-26T17:54:00Z</dcterms:created>
  <dcterms:modified xsi:type="dcterms:W3CDTF">2023-05-09T13:51:00Z</dcterms:modified>
</cp:coreProperties>
</file>