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media/image10.jpeg" ContentType="image/jpeg"/>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2.jpeg" ContentType="image/jpeg"/>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tbl>
      <w:tblPr>
        <w:tblW w:w="11289" w:type="dxa"/>
        <w:jc w:val="center"/>
        <w:tblInd w:w="0" w:type="dxa"/>
        <w:tblBorders>
          <w:bottom w:val="single" w:sz="4" w:space="0" w:color="00000A"/>
          <w:insideH w:val="single" w:sz="4" w:space="0" w:color="00000A"/>
        </w:tblBorders>
        <w:tblCellMar>
          <w:top w:w="0" w:type="dxa"/>
          <w:left w:w="56" w:type="dxa"/>
          <w:bottom w:w="0" w:type="dxa"/>
          <w:right w:w="56" w:type="dxa"/>
        </w:tblCellMar>
        <w:tblLook w:noVBand="0" w:val="0000" w:noHBand="0" w:lastColumn="0" w:firstColumn="0" w:lastRow="0" w:firstRow="0"/>
      </w:tblPr>
      <w:tblGrid>
        <w:gridCol w:w="11114"/>
        <w:gridCol w:w="174"/>
      </w:tblGrid>
      <w:tr>
        <w:trPr>
          <w:trHeight w:val="93" w:hRule="atLeast"/>
          <w:cantSplit w:val="true"/>
        </w:trPr>
        <w:tc>
          <w:tcPr>
            <w:tcW w:w="11114" w:type="dxa"/>
            <w:tcBorders>
              <w:bottom w:val="single" w:sz="4" w:space="0" w:color="00000A"/>
              <w:insideH w:val="single" w:sz="4" w:space="0" w:color="00000A"/>
            </w:tcBorders>
            <w:shd w:color="auto" w:fill="FFFFFF" w:themeFill="background1" w:val="clear"/>
          </w:tcPr>
          <w:p>
            <w:pPr>
              <w:pStyle w:val="Youthaf0part"/>
              <w:tabs>
                <w:tab w:val="left" w:pos="6234" w:leader="none"/>
              </w:tabs>
              <w:spacing w:before="80" w:after="60"/>
              <w:jc w:val="center"/>
              <w:rPr>
                <w:rFonts w:ascii="Times New Roman" w:hAnsi="Times New Roman"/>
                <w:sz w:val="20"/>
              </w:rPr>
            </w:pPr>
            <w:r>
              <w:rPr/>
              <w:drawing>
                <wp:inline distT="0" distB="0" distL="0" distR="0">
                  <wp:extent cx="2060575" cy="601980"/>
                  <wp:effectExtent l="0" t="0" r="0" b="0"/>
                  <wp:docPr id="1" name="Picture 2" descr="Europe for Citiz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urope for Citizens"/>
                          <pic:cNvPicPr>
                            <a:picLocks noChangeAspect="1" noChangeArrowheads="1"/>
                          </pic:cNvPicPr>
                        </pic:nvPicPr>
                        <pic:blipFill>
                          <a:blip r:embed="rId2"/>
                          <a:stretch>
                            <a:fillRect/>
                          </a:stretch>
                        </pic:blipFill>
                        <pic:spPr bwMode="auto">
                          <a:xfrm>
                            <a:off x="0" y="0"/>
                            <a:ext cx="2060575" cy="601980"/>
                          </a:xfrm>
                          <a:prstGeom prst="rect">
                            <a:avLst/>
                          </a:prstGeom>
                          <a:noFill/>
                          <a:ln w="9525">
                            <a:noFill/>
                            <a:miter lim="800000"/>
                            <a:headEnd/>
                            <a:tailEnd/>
                          </a:ln>
                        </pic:spPr>
                      </pic:pic>
                    </a:graphicData>
                  </a:graphic>
                </wp:inline>
              </w:drawing>
            </w:r>
          </w:p>
          <w:p>
            <w:pPr>
              <w:pStyle w:val="Youthaf0part"/>
              <w:tabs>
                <w:tab w:val="left" w:pos="6234" w:leader="none"/>
              </w:tabs>
              <w:spacing w:before="80" w:after="60"/>
              <w:jc w:val="center"/>
              <w:rPr>
                <w:rFonts w:ascii="Times New Roman" w:hAnsi="Times New Roman"/>
                <w:sz w:val="20"/>
              </w:rPr>
            </w:pPr>
            <w:r>
              <w:rPr>
                <w:rFonts w:ascii="Times New Roman" w:hAnsi="Times New Roman"/>
                <w:sz w:val="20"/>
              </w:rPr>
            </w:r>
          </w:p>
        </w:tc>
        <w:tc>
          <w:tcPr>
            <w:tcW w:w="174" w:type="dxa"/>
            <w:tcBorders>
              <w:bottom w:val="single" w:sz="4" w:space="0" w:color="00000A"/>
              <w:insideH w:val="single" w:sz="4" w:space="0" w:color="00000A"/>
            </w:tcBorders>
            <w:shd w:color="auto" w:fill="FFFFFF" w:themeFill="background1" w:val="clear"/>
          </w:tcPr>
          <w:p>
            <w:pPr>
              <w:pStyle w:val="Youthaf0part"/>
              <w:spacing w:before="80" w:after="60"/>
              <w:rPr>
                <w:rFonts w:ascii="Times New Roman" w:hAnsi="Times New Roman"/>
                <w:sz w:val="20"/>
              </w:rPr>
            </w:pPr>
            <w:r>
              <w:rPr>
                <w:rFonts w:ascii="Times New Roman" w:hAnsi="Times New Roman"/>
                <w:sz w:val="20"/>
              </w:rPr>
            </w:r>
          </w:p>
        </w:tc>
      </w:tr>
      <w:tr>
        <w:trPr>
          <w:trHeight w:val="1350" w:hRule="atLeast"/>
          <w:cantSplit w:val="true"/>
        </w:trPr>
        <w:tc>
          <w:tcPr>
            <w:tcW w:w="11114" w:type="dxa"/>
            <w:tcBorders>
              <w:top w:val="single" w:sz="4" w:space="0" w:color="00000A"/>
              <w:left w:val="single" w:sz="4" w:space="0" w:color="00000A"/>
              <w:bottom w:val="single" w:sz="4" w:space="0" w:color="00000A"/>
              <w:insideH w:val="single" w:sz="4" w:space="0" w:color="00000A"/>
            </w:tcBorders>
            <w:shd w:color="auto" w:fill="auto" w:val="pct20"/>
            <w:tcMar>
              <w:left w:w="51" w:type="dxa"/>
            </w:tcMar>
            <w:vAlign w:val="center"/>
          </w:tcPr>
          <w:p>
            <w:pPr>
              <w:pStyle w:val="Normal"/>
              <w:jc w:val="center"/>
              <w:rPr>
                <w:rFonts w:ascii="Arial" w:hAnsi="Arial" w:cs="Arial"/>
                <w:b/>
                <w:b/>
                <w:sz w:val="32"/>
                <w:szCs w:val="32"/>
              </w:rPr>
            </w:pPr>
            <w:r>
              <w:rPr>
                <w:rFonts w:cs="Arial" w:ascii="Arial" w:hAnsi="Arial"/>
                <w:b/>
                <w:sz w:val="32"/>
                <w:szCs w:val="32"/>
              </w:rPr>
              <w:t xml:space="preserve">The project </w:t>
            </w:r>
          </w:p>
          <w:p>
            <w:pPr>
              <w:pStyle w:val="Normal"/>
              <w:jc w:val="center"/>
              <w:rPr>
                <w:rFonts w:ascii="Arial" w:hAnsi="Arial" w:cs="Arial"/>
                <w:b/>
                <w:b/>
                <w:sz w:val="32"/>
                <w:szCs w:val="32"/>
              </w:rPr>
            </w:pPr>
            <w:r>
              <w:rPr>
                <w:rFonts w:cs="Arial" w:ascii="Arial" w:hAnsi="Arial"/>
                <w:b/>
                <w:sz w:val="32"/>
                <w:szCs w:val="32"/>
              </w:rPr>
              <w:t xml:space="preserve">«TWINNING=WINNING» </w:t>
            </w:r>
          </w:p>
          <w:p>
            <w:pPr>
              <w:pStyle w:val="Normal"/>
              <w:jc w:val="center"/>
              <w:rPr>
                <w:rFonts w:ascii="Arial" w:hAnsi="Arial" w:cs="Arial"/>
                <w:b/>
                <w:b/>
                <w:sz w:val="32"/>
                <w:szCs w:val="32"/>
              </w:rPr>
            </w:pPr>
            <w:r>
              <w:rPr>
                <w:rFonts w:cs="Arial" w:ascii="Arial" w:hAnsi="Arial"/>
                <w:b/>
                <w:sz w:val="32"/>
                <w:szCs w:val="32"/>
              </w:rPr>
              <w:t>was funded with the support of the European Union under the Programme "Europe for Citizens"</w:t>
            </w:r>
          </w:p>
        </w:tc>
        <w:tc>
          <w:tcPr>
            <w:tcW w:w="174"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pct20"/>
          </w:tcPr>
          <w:p>
            <w:pPr>
              <w:pStyle w:val="Youthaf0part"/>
              <w:spacing w:before="80" w:after="60"/>
              <w:rPr>
                <w:rFonts w:ascii="Times New Roman" w:hAnsi="Times New Roman"/>
                <w:sz w:val="32"/>
                <w:szCs w:val="32"/>
              </w:rPr>
            </w:pPr>
            <w:r>
              <w:rPr>
                <w:rFonts w:ascii="Times New Roman" w:hAnsi="Times New Roman"/>
                <w:sz w:val="32"/>
                <w:szCs w:val="32"/>
              </w:rPr>
            </w:r>
          </w:p>
        </w:tc>
      </w:tr>
      <w:tr>
        <w:trPr>
          <w:cantSplit w:val="true"/>
        </w:trPr>
        <w:tc>
          <w:tcPr>
            <w:tcW w:w="11288" w:type="dxa"/>
            <w:gridSpan w:val="2"/>
            <w:tcBorders>
              <w:top w:val="single" w:sz="4" w:space="0" w:color="00000A"/>
              <w:bottom w:val="single" w:sz="4" w:space="0" w:color="00000A"/>
              <w:insideH w:val="single" w:sz="4" w:space="0" w:color="00000A"/>
            </w:tcBorders>
            <w:shd w:color="auto" w:fill="FFFFFF" w:themeFill="background1" w:val="clear"/>
            <w:vAlign w:val="center"/>
          </w:tcPr>
          <w:p>
            <w:pPr>
              <w:pStyle w:val="Youthaf2subtopic"/>
              <w:spacing w:before="120" w:after="120"/>
              <w:ind w:left="227" w:right="227" w:hanging="0"/>
              <w:jc w:val="center"/>
              <w:rPr>
                <w:rFonts w:ascii="Times New Roman" w:hAnsi="Times New Roman"/>
                <w:i w:val="false"/>
                <w:i w:val="false"/>
                <w:spacing w:val="0"/>
                <w:sz w:val="22"/>
                <w:szCs w:val="22"/>
              </w:rPr>
            </w:pPr>
            <w:r>
              <w:rPr>
                <w:rFonts w:ascii="Times New Roman" w:hAnsi="Times New Roman"/>
                <w:i w:val="false"/>
                <w:spacing w:val="0"/>
                <w:sz w:val="22"/>
                <w:szCs w:val="22"/>
              </w:rPr>
            </w:r>
          </w:p>
        </w:tc>
      </w:tr>
      <w:tr>
        <w:trPr>
          <w:cantSplit w:val="true"/>
        </w:trPr>
        <w:tc>
          <w:tcPr>
            <w:tcW w:w="1128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tcMar>
              <w:left w:w="51" w:type="dxa"/>
            </w:tcMar>
            <w:vAlign w:val="center"/>
          </w:tcPr>
          <w:p>
            <w:pPr>
              <w:pStyle w:val="Normal"/>
              <w:spacing w:before="120" w:after="0"/>
              <w:jc w:val="center"/>
              <w:textAlignment w:val="top"/>
              <w:rPr>
                <w:rFonts w:ascii="Arial" w:hAnsi="Arial" w:cs="Arial"/>
                <w:b/>
                <w:b/>
                <w:sz w:val="24"/>
                <w:szCs w:val="24"/>
                <w:lang w:eastAsia="en-GB"/>
              </w:rPr>
            </w:pPr>
            <w:r>
              <w:rPr>
                <w:rFonts w:cs="Arial" w:ascii="Arial" w:hAnsi="Arial"/>
                <w:b/>
                <w:sz w:val="24"/>
                <w:szCs w:val="24"/>
              </w:rPr>
              <w:t xml:space="preserve">Applicable to the Strand 2 – Measure 2.1 </w:t>
            </w:r>
            <w:r>
              <w:rPr>
                <w:rFonts w:cs="Arial" w:ascii="Arial" w:hAnsi="Arial"/>
                <w:b/>
                <w:i/>
                <w:sz w:val="24"/>
                <w:szCs w:val="24"/>
              </w:rPr>
              <w:t>"Town-Twinning”</w:t>
            </w:r>
          </w:p>
        </w:tc>
      </w:tr>
    </w:tbl>
    <w:p>
      <w:pPr>
        <w:pStyle w:val="Normal"/>
        <w:rPr>
          <w:rStyle w:val="Hps"/>
          <w:rFonts w:ascii="Arial" w:hAnsi="Arial" w:cs="Arial"/>
          <w:b/>
          <w:b/>
          <w:sz w:val="22"/>
          <w:szCs w:val="22"/>
          <w:lang w:val="en"/>
        </w:rPr>
      </w:pPr>
      <w:r>
        <w:rPr>
          <w:rFonts w:cs="Arial" w:ascii="Arial" w:hAnsi="Arial"/>
          <w:b/>
          <w:sz w:val="22"/>
          <w:szCs w:val="22"/>
          <w:lang w:val="en"/>
        </w:rPr>
      </w:r>
    </w:p>
    <w:p>
      <w:pPr>
        <w:pStyle w:val="Normal"/>
        <w:jc w:val="both"/>
        <w:rPr>
          <w:rFonts w:ascii="Arial" w:hAnsi="Arial" w:cs="Arial"/>
          <w:sz w:val="22"/>
          <w:szCs w:val="22"/>
          <w:lang w:val="en"/>
        </w:rPr>
      </w:pPr>
      <w:r>
        <w:rPr>
          <w:rStyle w:val="Hps"/>
          <w:rFonts w:cs="Arial" w:ascii="Arial" w:hAnsi="Arial"/>
          <w:b/>
          <w:sz w:val="22"/>
          <w:szCs w:val="22"/>
          <w:lang w:val="en"/>
        </w:rPr>
        <w:t>Participation</w:t>
      </w:r>
      <w:r>
        <w:rPr>
          <w:rFonts w:cs="Arial" w:ascii="Arial" w:hAnsi="Arial"/>
          <w:b/>
          <w:sz w:val="22"/>
          <w:szCs w:val="22"/>
          <w:lang w:val="en"/>
        </w:rPr>
        <w:t>:</w:t>
      </w:r>
      <w:r>
        <w:rPr>
          <w:rFonts w:cs="Arial" w:ascii="Arial" w:hAnsi="Arial"/>
          <w:sz w:val="22"/>
          <w:szCs w:val="22"/>
          <w:lang w:val="en"/>
        </w:rPr>
        <w:t xml:space="preserve"> The project involved 171  </w:t>
      </w:r>
      <w:r>
        <w:rPr>
          <w:rStyle w:val="Hps"/>
          <w:rFonts w:cs="Arial" w:ascii="Arial" w:hAnsi="Arial"/>
          <w:sz w:val="22"/>
          <w:szCs w:val="22"/>
          <w:lang w:val="en"/>
        </w:rPr>
        <w:t>citizens, notably 65 participants</w:t>
      </w:r>
      <w:r>
        <w:rPr>
          <w:rFonts w:cs="Arial" w:ascii="Arial" w:hAnsi="Arial"/>
          <w:sz w:val="22"/>
          <w:szCs w:val="22"/>
          <w:lang w:val="en"/>
        </w:rPr>
        <w:t xml:space="preserve"> </w:t>
      </w:r>
      <w:r>
        <w:rPr>
          <w:rStyle w:val="Hps"/>
          <w:rFonts w:cs="Arial" w:ascii="Arial" w:hAnsi="Arial"/>
          <w:sz w:val="22"/>
          <w:szCs w:val="22"/>
          <w:lang w:val="en"/>
        </w:rPr>
        <w:t>from</w:t>
      </w:r>
      <w:r>
        <w:rPr>
          <w:rFonts w:cs="Arial" w:ascii="Arial" w:hAnsi="Arial"/>
          <w:sz w:val="22"/>
          <w:szCs w:val="22"/>
          <w:lang w:val="en"/>
        </w:rPr>
        <w:t xml:space="preserve"> </w:t>
      </w:r>
      <w:r>
        <w:rPr>
          <w:rStyle w:val="Hps"/>
          <w:rFonts w:cs="Arial" w:ascii="Arial" w:hAnsi="Arial"/>
          <w:sz w:val="22"/>
          <w:szCs w:val="22"/>
          <w:lang w:val="en"/>
        </w:rPr>
        <w:t>the Uggiate-Trevano (</w:t>
      </w:r>
      <w:r>
        <w:rPr>
          <w:rStyle w:val="Hps"/>
          <w:rFonts w:cs="Arial" w:ascii="Arial" w:hAnsi="Arial"/>
          <w:b/>
          <w:sz w:val="22"/>
          <w:szCs w:val="22"/>
          <w:lang w:val="en"/>
        </w:rPr>
        <w:t>Italy</w:t>
      </w:r>
      <w:r>
        <w:rPr>
          <w:rFonts w:cs="Arial" w:ascii="Arial" w:hAnsi="Arial"/>
          <w:sz w:val="22"/>
          <w:szCs w:val="22"/>
          <w:lang w:val="en"/>
        </w:rPr>
        <w:t xml:space="preserve">),  </w:t>
      </w:r>
    </w:p>
    <w:p>
      <w:pPr>
        <w:pStyle w:val="Normal"/>
        <w:jc w:val="both"/>
        <w:rPr>
          <w:rFonts w:ascii="Arial" w:hAnsi="Arial" w:cs="Arial"/>
          <w:sz w:val="22"/>
          <w:szCs w:val="22"/>
          <w:lang w:val="en"/>
        </w:rPr>
      </w:pPr>
      <w:r>
        <w:rPr>
          <w:rFonts w:cs="Arial" w:ascii="Arial" w:hAnsi="Arial"/>
          <w:sz w:val="22"/>
          <w:szCs w:val="22"/>
          <w:lang w:val="en"/>
        </w:rPr>
        <w:t xml:space="preserve">52 participants from </w:t>
      </w:r>
      <w:r>
        <w:rPr>
          <w:rStyle w:val="Hps"/>
          <w:rFonts w:cs="Arial" w:ascii="Arial" w:hAnsi="Arial"/>
          <w:sz w:val="22"/>
          <w:szCs w:val="22"/>
          <w:lang w:val="en"/>
        </w:rPr>
        <w:t>Pakruojis</w:t>
      </w:r>
      <w:r>
        <w:rPr>
          <w:rFonts w:cs="Arial" w:ascii="Arial" w:hAnsi="Arial"/>
          <w:sz w:val="22"/>
          <w:szCs w:val="22"/>
          <w:lang w:val="en"/>
        </w:rPr>
        <w:t xml:space="preserve"> </w:t>
      </w:r>
      <w:r>
        <w:rPr>
          <w:rStyle w:val="Hps"/>
          <w:rFonts w:cs="Arial" w:ascii="Arial" w:hAnsi="Arial"/>
          <w:sz w:val="22"/>
          <w:szCs w:val="22"/>
          <w:lang w:val="en"/>
        </w:rPr>
        <w:t>(</w:t>
      </w:r>
      <w:r>
        <w:rPr>
          <w:rStyle w:val="Hps"/>
          <w:rFonts w:cs="Arial" w:ascii="Arial" w:hAnsi="Arial"/>
          <w:b/>
          <w:sz w:val="22"/>
          <w:szCs w:val="22"/>
          <w:lang w:val="en"/>
        </w:rPr>
        <w:t>Lithuania</w:t>
      </w:r>
      <w:r>
        <w:rPr>
          <w:rStyle w:val="Hps"/>
          <w:rFonts w:cs="Arial" w:ascii="Arial" w:hAnsi="Arial"/>
          <w:sz w:val="22"/>
          <w:szCs w:val="22"/>
          <w:lang w:val="en"/>
        </w:rPr>
        <w:t xml:space="preserve">), 19 participants from </w:t>
      </w:r>
      <w:r>
        <w:rPr>
          <w:rStyle w:val="Hps"/>
          <w:rFonts w:cs="Arial" w:ascii="Arial" w:hAnsi="Arial"/>
          <w:iCs/>
          <w:sz w:val="22"/>
          <w:szCs w:val="22"/>
          <w:lang w:val="en"/>
        </w:rPr>
        <w:t>Põhja</w:t>
      </w:r>
      <w:r>
        <w:rPr>
          <w:rStyle w:val="Hps"/>
          <w:rFonts w:cs="Arial" w:ascii="Arial" w:hAnsi="Arial"/>
          <w:sz w:val="22"/>
          <w:szCs w:val="22"/>
          <w:lang w:val="en"/>
        </w:rPr>
        <w:t>-</w:t>
      </w:r>
      <w:r>
        <w:rPr>
          <w:rStyle w:val="Hps"/>
          <w:rFonts w:cs="Arial" w:ascii="Arial" w:hAnsi="Arial"/>
          <w:iCs/>
          <w:sz w:val="22"/>
          <w:szCs w:val="22"/>
          <w:lang w:val="en"/>
        </w:rPr>
        <w:t>Pärnumaa</w:t>
      </w:r>
      <w:r>
        <w:rPr>
          <w:rStyle w:val="Hps"/>
          <w:rStyle w:val="Richiamoallanotaapidipagina"/>
          <w:rFonts w:cs="Arial" w:ascii="Arial" w:hAnsi="Arial"/>
          <w:iCs/>
          <w:sz w:val="22"/>
          <w:szCs w:val="22"/>
          <w:lang w:val="en"/>
        </w:rPr>
        <w:footnoteReference w:id="2"/>
      </w:r>
      <w:r>
        <w:rPr>
          <w:rStyle w:val="Hps"/>
          <w:rFonts w:cs="Arial" w:ascii="Arial" w:hAnsi="Arial"/>
          <w:iCs/>
          <w:sz w:val="22"/>
          <w:szCs w:val="22"/>
          <w:lang w:val="en"/>
        </w:rPr>
        <w:t xml:space="preserve"> (</w:t>
      </w:r>
      <w:r>
        <w:rPr>
          <w:rStyle w:val="Hps"/>
          <w:rFonts w:cs="Arial" w:ascii="Arial" w:hAnsi="Arial"/>
          <w:b/>
          <w:iCs/>
          <w:sz w:val="22"/>
          <w:szCs w:val="22"/>
          <w:lang w:val="en"/>
        </w:rPr>
        <w:t>Estonia</w:t>
      </w:r>
      <w:r>
        <w:rPr>
          <w:rStyle w:val="Hps"/>
          <w:rFonts w:cs="Arial" w:ascii="Arial" w:hAnsi="Arial"/>
          <w:iCs/>
          <w:sz w:val="22"/>
          <w:szCs w:val="22"/>
          <w:lang w:val="en"/>
        </w:rPr>
        <w:t>), 35 participants from Rundāle Municipality (</w:t>
      </w:r>
      <w:r>
        <w:rPr>
          <w:rStyle w:val="Hps"/>
          <w:rFonts w:cs="Arial" w:ascii="Arial" w:hAnsi="Arial"/>
          <w:b/>
          <w:iCs/>
          <w:sz w:val="22"/>
          <w:szCs w:val="22"/>
          <w:lang w:val="en"/>
        </w:rPr>
        <w:t>Latvia</w:t>
      </w:r>
      <w:r>
        <w:rPr>
          <w:rStyle w:val="Hps"/>
          <w:rFonts w:cs="Arial" w:ascii="Arial" w:hAnsi="Arial"/>
          <w:iCs/>
          <w:sz w:val="22"/>
          <w:szCs w:val="22"/>
          <w:lang w:val="en"/>
        </w:rPr>
        <w:t>). Moreover, to extend the twinning network in Project activities participated new possible twinning towns – 6 participants from Ruaudin (</w:t>
      </w:r>
      <w:r>
        <w:rPr>
          <w:rStyle w:val="Hps"/>
          <w:rFonts w:cs="Arial" w:ascii="Arial" w:hAnsi="Arial"/>
          <w:b/>
          <w:iCs/>
          <w:sz w:val="22"/>
          <w:szCs w:val="22"/>
          <w:lang w:val="en"/>
        </w:rPr>
        <w:t>France</w:t>
      </w:r>
      <w:r>
        <w:rPr>
          <w:rStyle w:val="Hps"/>
          <w:rFonts w:cs="Arial" w:ascii="Arial" w:hAnsi="Arial"/>
          <w:iCs/>
          <w:sz w:val="22"/>
          <w:szCs w:val="22"/>
          <w:lang w:val="en"/>
        </w:rPr>
        <w:t>) and 5 participants from Adelsdorf (</w:t>
      </w:r>
      <w:r>
        <w:rPr>
          <w:rStyle w:val="Hps"/>
          <w:rFonts w:cs="Arial" w:ascii="Arial" w:hAnsi="Arial"/>
          <w:b/>
          <w:iCs/>
          <w:sz w:val="22"/>
          <w:szCs w:val="22"/>
          <w:lang w:val="en"/>
        </w:rPr>
        <w:t>Germany</w:t>
      </w:r>
      <w:r>
        <w:rPr>
          <w:rStyle w:val="Hps"/>
          <w:rFonts w:cs="Arial" w:ascii="Arial" w:hAnsi="Arial"/>
          <w:iCs/>
          <w:sz w:val="22"/>
          <w:szCs w:val="22"/>
          <w:lang w:val="en"/>
        </w:rPr>
        <w:t>). Also the EU level experience gained 3 participants from Swisloch (</w:t>
      </w:r>
      <w:r>
        <w:rPr>
          <w:rStyle w:val="Hps"/>
          <w:rFonts w:cs="Arial" w:ascii="Arial" w:hAnsi="Arial"/>
          <w:b/>
          <w:iCs/>
          <w:sz w:val="22"/>
          <w:szCs w:val="22"/>
          <w:lang w:val="en"/>
        </w:rPr>
        <w:t>Belarussia</w:t>
      </w:r>
      <w:r>
        <w:rPr>
          <w:rStyle w:val="Hps"/>
          <w:rFonts w:cs="Arial" w:ascii="Arial" w:hAnsi="Arial"/>
          <w:iCs/>
          <w:sz w:val="22"/>
          <w:szCs w:val="22"/>
          <w:lang w:val="en"/>
        </w:rPr>
        <w:t>).</w:t>
      </w:r>
    </w:p>
    <w:p>
      <w:pPr>
        <w:pStyle w:val="Normal"/>
        <w:jc w:val="both"/>
        <w:rPr>
          <w:rStyle w:val="Hps"/>
          <w:rFonts w:ascii="Arial" w:hAnsi="Arial" w:cs="Arial"/>
          <w:b/>
          <w:b/>
          <w:sz w:val="22"/>
          <w:szCs w:val="22"/>
          <w:lang w:val="en"/>
        </w:rPr>
      </w:pPr>
      <w:r>
        <w:rPr>
          <w:rFonts w:cs="Arial" w:ascii="Arial" w:hAnsi="Arial"/>
          <w:sz w:val="22"/>
          <w:szCs w:val="22"/>
          <w:lang w:val="en"/>
        </w:rPr>
        <w:br/>
      </w:r>
      <w:r>
        <w:rPr>
          <w:rStyle w:val="Hps"/>
          <w:rFonts w:cs="Arial" w:ascii="Arial" w:hAnsi="Arial"/>
          <w:b/>
          <w:sz w:val="22"/>
          <w:szCs w:val="22"/>
          <w:lang w:val="en"/>
        </w:rPr>
        <w:t>Location/ Dates</w:t>
      </w:r>
      <w:r>
        <w:rPr>
          <w:rFonts w:cs="Arial" w:ascii="Arial" w:hAnsi="Arial"/>
          <w:b/>
          <w:sz w:val="22"/>
          <w:szCs w:val="22"/>
          <w:lang w:val="en"/>
        </w:rPr>
        <w:t>:</w:t>
      </w:r>
      <w:r>
        <w:rPr>
          <w:rFonts w:cs="Arial" w:ascii="Arial" w:hAnsi="Arial"/>
          <w:sz w:val="22"/>
          <w:szCs w:val="22"/>
          <w:lang w:val="en"/>
        </w:rPr>
        <w:t xml:space="preserve"> The event </w:t>
      </w:r>
      <w:r>
        <w:rPr>
          <w:rStyle w:val="Hps"/>
          <w:rFonts w:cs="Arial" w:ascii="Arial" w:hAnsi="Arial"/>
          <w:sz w:val="22"/>
          <w:szCs w:val="22"/>
          <w:lang w:val="en"/>
        </w:rPr>
        <w:t>took place in</w:t>
      </w:r>
      <w:r>
        <w:rPr>
          <w:rFonts w:cs="Arial" w:ascii="Arial" w:hAnsi="Arial"/>
          <w:sz w:val="22"/>
          <w:szCs w:val="22"/>
          <w:lang w:val="en"/>
        </w:rPr>
        <w:t xml:space="preserve">  </w:t>
      </w:r>
      <w:r>
        <w:rPr>
          <w:rStyle w:val="Hps"/>
          <w:rFonts w:cs="Arial" w:ascii="Arial" w:hAnsi="Arial"/>
          <w:sz w:val="22"/>
          <w:szCs w:val="22"/>
          <w:lang w:val="en"/>
        </w:rPr>
        <w:t>Rundāle  (</w:t>
      </w:r>
      <w:r>
        <w:rPr>
          <w:rStyle w:val="Hps"/>
          <w:rFonts w:cs="Arial" w:ascii="Arial" w:hAnsi="Arial"/>
          <w:b/>
          <w:sz w:val="22"/>
          <w:szCs w:val="22"/>
          <w:lang w:val="en"/>
        </w:rPr>
        <w:t>Rundāle Municipality</w:t>
      </w:r>
      <w:r>
        <w:rPr>
          <w:rFonts w:cs="Arial" w:ascii="Arial" w:hAnsi="Arial"/>
          <w:sz w:val="22"/>
          <w:szCs w:val="22"/>
          <w:lang w:val="en"/>
        </w:rPr>
        <w:t xml:space="preserve">), from  31.05.2018.  </w:t>
      </w:r>
      <w:r>
        <w:rPr>
          <w:rStyle w:val="Hps"/>
          <w:rFonts w:cs="Arial" w:ascii="Arial" w:hAnsi="Arial"/>
          <w:sz w:val="22"/>
          <w:szCs w:val="22"/>
          <w:lang w:val="en"/>
        </w:rPr>
        <w:t>to  03.06.2018.</w:t>
      </w:r>
      <w:r>
        <w:rPr>
          <w:rFonts w:cs="Arial" w:ascii="Arial" w:hAnsi="Arial"/>
          <w:sz w:val="22"/>
          <w:szCs w:val="22"/>
          <w:lang w:val="en"/>
        </w:rPr>
        <w:br/>
      </w:r>
    </w:p>
    <w:p>
      <w:pPr>
        <w:pStyle w:val="Normal"/>
        <w:jc w:val="both"/>
        <w:rPr>
          <w:rStyle w:val="Hps"/>
          <w:rFonts w:ascii="Arial" w:hAnsi="Arial" w:cs="Arial"/>
          <w:sz w:val="22"/>
          <w:szCs w:val="22"/>
          <w:lang w:val="en"/>
        </w:rPr>
      </w:pPr>
      <w:r>
        <w:rPr>
          <w:rStyle w:val="Hps"/>
          <w:rFonts w:cs="Arial" w:ascii="Arial" w:hAnsi="Arial"/>
          <w:b/>
          <w:sz w:val="22"/>
          <w:szCs w:val="22"/>
          <w:lang w:val="en"/>
        </w:rPr>
        <w:t>Short description:</w:t>
      </w:r>
      <w:r>
        <w:rPr>
          <w:rStyle w:val="Hps"/>
          <w:rFonts w:cs="Arial" w:ascii="Arial" w:hAnsi="Arial"/>
          <w:sz w:val="22"/>
          <w:szCs w:val="22"/>
          <w:lang w:val="en"/>
        </w:rPr>
        <w:t xml:space="preserve">  </w:t>
      </w:r>
    </w:p>
    <w:p>
      <w:pPr>
        <w:pStyle w:val="Normal"/>
        <w:jc w:val="both"/>
        <w:rPr>
          <w:rStyle w:val="Hps"/>
          <w:rFonts w:ascii="Arial" w:hAnsi="Arial" w:cs="Arial"/>
          <w:sz w:val="22"/>
          <w:szCs w:val="22"/>
          <w:lang w:val="en"/>
        </w:rPr>
      </w:pPr>
      <w:r>
        <w:rPr>
          <w:rFonts w:cs="Arial" w:ascii="Arial" w:hAnsi="Arial"/>
          <w:sz w:val="22"/>
          <w:szCs w:val="22"/>
          <w:lang w:val="en"/>
        </w:rPr>
      </w:r>
    </w:p>
    <w:p>
      <w:pPr>
        <w:pStyle w:val="Normal"/>
        <w:shd w:val="clear" w:color="auto" w:fill="C6D9F1" w:themeFill="text2" w:themeFillTint="33"/>
        <w:jc w:val="both"/>
        <w:rPr>
          <w:rStyle w:val="Hps"/>
          <w:rFonts w:ascii="Arial" w:hAnsi="Arial" w:cs="Arial"/>
          <w:b/>
          <w:b/>
          <w:sz w:val="22"/>
          <w:szCs w:val="22"/>
          <w:lang w:val="en"/>
        </w:rPr>
      </w:pPr>
      <w:r>
        <w:rPr>
          <w:rFonts w:cs="Arial" w:ascii="Arial" w:hAnsi="Arial"/>
          <w:b/>
          <w:sz w:val="22"/>
          <w:szCs w:val="22"/>
          <w:lang w:val="en"/>
        </w:rPr>
        <w:t xml:space="preserve">31.05.2018.   </w:t>
      </w:r>
      <w:r>
        <w:rPr>
          <w:rStyle w:val="Hps"/>
          <w:rFonts w:cs="Arial" w:ascii="Arial" w:hAnsi="Arial"/>
          <w:b/>
          <w:sz w:val="22"/>
          <w:szCs w:val="22"/>
          <w:lang w:val="en"/>
        </w:rPr>
        <w:t>Project Opening Event</w:t>
      </w:r>
    </w:p>
    <w:p>
      <w:pPr>
        <w:pStyle w:val="Normal"/>
        <w:jc w:val="both"/>
        <w:rPr>
          <w:rFonts w:ascii="Arial" w:hAnsi="Arial" w:cs="Arial"/>
          <w:sz w:val="22"/>
          <w:szCs w:val="22"/>
          <w:lang w:val="en"/>
        </w:rPr>
      </w:pPr>
      <w:r>
        <w:rPr>
          <w:rStyle w:val="Hps"/>
          <w:rFonts w:cs="Arial" w:ascii="Arial" w:hAnsi="Arial"/>
          <w:b/>
          <w:sz w:val="22"/>
          <w:szCs w:val="22"/>
          <w:lang w:val="en"/>
        </w:rPr>
        <w:t>Short description:</w:t>
      </w:r>
      <w:r>
        <w:rPr>
          <w:rStyle w:val="Hps"/>
          <w:rFonts w:cs="Arial" w:ascii="Arial" w:hAnsi="Arial"/>
          <w:sz w:val="22"/>
          <w:szCs w:val="22"/>
          <w:lang w:val="en"/>
        </w:rPr>
        <w:t xml:space="preserve">  The aim of the event was to get mutually introduced to participating municipalities, to present main objectives of the Project, activities and expected results. Each delegation held introductory speech about participation in the Project. All event long there was possibility to make contacts, to discuss twinning experience and expectations through EU dimension. Potential directions and spheres of further possible cooperation were discussed.</w:t>
      </w:r>
    </w:p>
    <w:p>
      <w:pPr>
        <w:pStyle w:val="Normal"/>
        <w:jc w:val="both"/>
        <w:rPr>
          <w:rFonts w:ascii="Arial" w:hAnsi="Arial" w:cs="Arial"/>
          <w:sz w:val="22"/>
          <w:szCs w:val="22"/>
          <w:lang w:val="en"/>
        </w:rPr>
      </w:pPr>
      <w:r>
        <w:rPr>
          <w:rFonts w:cs="Arial" w:ascii="Arial" w:hAnsi="Arial"/>
          <w:sz w:val="22"/>
          <w:szCs w:val="22"/>
          <w:lang w:val="en"/>
        </w:rPr>
      </w:r>
    </w:p>
    <w:p>
      <w:pPr>
        <w:pStyle w:val="Normal"/>
        <w:shd w:val="clear" w:color="auto" w:fill="C6D9F1" w:themeFill="text2" w:themeFillTint="33"/>
        <w:jc w:val="both"/>
        <w:rPr>
          <w:rFonts w:ascii="Arial" w:hAnsi="Arial" w:cs="Arial"/>
          <w:b/>
          <w:b/>
          <w:sz w:val="22"/>
          <w:szCs w:val="22"/>
          <w:lang w:val="en"/>
        </w:rPr>
      </w:pPr>
      <w:r>
        <w:rPr>
          <w:rFonts w:cs="Arial" w:ascii="Arial" w:hAnsi="Arial"/>
          <w:b/>
          <w:sz w:val="22"/>
          <w:szCs w:val="22"/>
          <w:lang w:val="en"/>
        </w:rPr>
        <w:t xml:space="preserve">01.06.2018. </w:t>
      </w:r>
    </w:p>
    <w:p>
      <w:pPr>
        <w:pStyle w:val="Normal"/>
        <w:jc w:val="both"/>
        <w:rPr>
          <w:rStyle w:val="Hps"/>
          <w:rFonts w:ascii="Arial" w:hAnsi="Arial" w:cs="Arial"/>
          <w:sz w:val="22"/>
          <w:szCs w:val="22"/>
          <w:lang w:val="en"/>
        </w:rPr>
      </w:pPr>
      <w:r>
        <w:rPr>
          <w:rStyle w:val="Hps"/>
          <w:rFonts w:cs="Arial" w:ascii="Arial" w:hAnsi="Arial"/>
          <w:b/>
          <w:sz w:val="22"/>
          <w:szCs w:val="22"/>
          <w:lang w:val="en"/>
        </w:rPr>
        <w:t>Short description: Live History Trip</w:t>
      </w:r>
      <w:r>
        <w:rPr>
          <w:rStyle w:val="Hps"/>
          <w:rFonts w:cs="Arial" w:ascii="Arial" w:hAnsi="Arial"/>
          <w:sz w:val="22"/>
          <w:szCs w:val="22"/>
          <w:lang w:val="en"/>
        </w:rPr>
        <w:t xml:space="preserve">  was realized with the main aim to present history of Latvia and Baltic states by guided trip to Garden of Destiny in Koknese thus increasing understanding about common history of Baltic states and its impact to citizens’ habits and way of thinking. Participants were discussing about ways to decrease Euroscepticism and to promote positive democracy praxis.</w:t>
      </w:r>
    </w:p>
    <w:p>
      <w:pPr>
        <w:pStyle w:val="Normal"/>
        <w:jc w:val="center"/>
        <w:rPr>
          <w:rStyle w:val="Hps"/>
          <w:rFonts w:ascii="Arial" w:hAnsi="Arial" w:cs="Arial"/>
          <w:sz w:val="22"/>
          <w:szCs w:val="22"/>
          <w:lang w:val="en"/>
        </w:rPr>
      </w:pPr>
      <w:r>
        <w:rPr/>
        <w:drawing>
          <wp:inline distT="0" distB="0" distL="0" distR="0">
            <wp:extent cx="5173345" cy="2962910"/>
            <wp:effectExtent l="0" t="0" r="0" b="0"/>
            <wp:docPr id="2" name="Picture 8" descr="http://rundale.lv/uploads/gallery/5b1f5966cc2f-1bc36f17-425b-4d36-8c4f-eac3d1207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http://rundale.lv/uploads/gallery/5b1f5966cc2f-1bc36f17-425b-4d36-8c4f-eac3d1207994.jpg"/>
                    <pic:cNvPicPr>
                      <a:picLocks noChangeAspect="1" noChangeArrowheads="1"/>
                    </pic:cNvPicPr>
                  </pic:nvPicPr>
                  <pic:blipFill>
                    <a:blip r:embed="rId3"/>
                    <a:srcRect l="0" t="8080" r="0" b="8731"/>
                    <a:stretch>
                      <a:fillRect/>
                    </a:stretch>
                  </pic:blipFill>
                  <pic:spPr bwMode="auto">
                    <a:xfrm>
                      <a:off x="0" y="0"/>
                      <a:ext cx="5173345" cy="2962910"/>
                    </a:xfrm>
                    <a:prstGeom prst="rect">
                      <a:avLst/>
                    </a:prstGeom>
                    <a:noFill/>
                    <a:ln w="9525">
                      <a:noFill/>
                      <a:miter lim="800000"/>
                      <a:headEnd/>
                      <a:tailEnd/>
                    </a:ln>
                  </pic:spPr>
                </pic:pic>
              </a:graphicData>
            </a:graphic>
          </wp:inline>
        </w:drawing>
      </w:r>
    </w:p>
    <w:p>
      <w:pPr>
        <w:pStyle w:val="Normal"/>
        <w:jc w:val="both"/>
        <w:rPr>
          <w:rStyle w:val="Hps"/>
          <w:rFonts w:ascii="Arial" w:hAnsi="Arial" w:cs="Arial"/>
          <w:sz w:val="22"/>
          <w:szCs w:val="22"/>
          <w:lang w:val="en"/>
        </w:rPr>
      </w:pPr>
      <w:r>
        <w:rPr>
          <w:rStyle w:val="Hps"/>
          <w:rFonts w:cs="Arial" w:ascii="Arial" w:hAnsi="Arial"/>
          <w:sz w:val="22"/>
          <w:szCs w:val="22"/>
          <w:lang w:val="en"/>
        </w:rPr>
        <w:t xml:space="preserve">The day concluded in </w:t>
      </w:r>
      <w:r>
        <w:rPr>
          <w:rStyle w:val="Hps"/>
          <w:rFonts w:cs="Arial" w:ascii="Arial" w:hAnsi="Arial"/>
          <w:b/>
          <w:sz w:val="22"/>
          <w:szCs w:val="22"/>
          <w:lang w:val="en"/>
        </w:rPr>
        <w:t>National culture evening</w:t>
      </w:r>
      <w:r>
        <w:rPr>
          <w:rStyle w:val="Hps"/>
          <w:rFonts w:cs="Arial" w:ascii="Arial" w:hAnsi="Arial"/>
          <w:sz w:val="22"/>
          <w:szCs w:val="22"/>
          <w:lang w:val="en"/>
        </w:rPr>
        <w:t xml:space="preserve"> “Welcome, Europe!”, participating local folk dance groups from Rundāle (LV), presenting Latvian national costumes as part of its nation strength symbols. Philharmonic band from Uggiate-Trevano (IT) “St.Cecilia” held concert which symbolically began with hymns of Italy and Latvia and concluded with hymn of Europe. Overall the event presented multiculturalism and multilingualism of Europe as common strength and unique value to be preserved and promoted.</w:t>
      </w:r>
    </w:p>
    <w:p>
      <w:pPr>
        <w:pStyle w:val="Normal"/>
        <w:jc w:val="center"/>
        <w:rPr>
          <w:rStyle w:val="Hps"/>
          <w:rFonts w:ascii="Arial" w:hAnsi="Arial" w:cs="Arial"/>
          <w:sz w:val="22"/>
          <w:szCs w:val="22"/>
          <w:lang w:val="en"/>
        </w:rPr>
      </w:pPr>
      <w:r>
        <w:rPr/>
        <w:drawing>
          <wp:inline distT="0" distB="0" distL="0" distR="0">
            <wp:extent cx="4292600" cy="2861945"/>
            <wp:effectExtent l="0" t="0" r="0" b="0"/>
            <wp:docPr id="3" name="Picture 12" descr="C:\Users\Laura\Documents\RUNDALE\TWINNING=WINNING\FOTO\IMG_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C:\Users\Laura\Documents\RUNDALE\TWINNING=WINNING\FOTO\IMG_2718.JPG"/>
                    <pic:cNvPicPr>
                      <a:picLocks noChangeAspect="1" noChangeArrowheads="1"/>
                    </pic:cNvPicPr>
                  </pic:nvPicPr>
                  <pic:blipFill>
                    <a:blip r:embed="rId4"/>
                    <a:stretch>
                      <a:fillRect/>
                    </a:stretch>
                  </pic:blipFill>
                  <pic:spPr bwMode="auto">
                    <a:xfrm>
                      <a:off x="0" y="0"/>
                      <a:ext cx="4292600" cy="2861945"/>
                    </a:xfrm>
                    <a:prstGeom prst="rect">
                      <a:avLst/>
                    </a:prstGeom>
                    <a:noFill/>
                    <a:ln w="9525">
                      <a:noFill/>
                      <a:miter lim="800000"/>
                      <a:headEnd/>
                      <a:tailEnd/>
                    </a:ln>
                  </pic:spPr>
                </pic:pic>
              </a:graphicData>
            </a:graphic>
          </wp:inline>
        </w:drawing>
      </w:r>
    </w:p>
    <w:p>
      <w:pPr>
        <w:pStyle w:val="Normal"/>
        <w:jc w:val="both"/>
        <w:rPr>
          <w:rStyle w:val="Hps"/>
          <w:rFonts w:ascii="Arial" w:hAnsi="Arial" w:cs="Arial"/>
          <w:sz w:val="22"/>
          <w:szCs w:val="22"/>
          <w:lang w:val="en"/>
        </w:rPr>
      </w:pPr>
      <w:r>
        <w:rPr>
          <w:rFonts w:cs="Arial" w:ascii="Arial" w:hAnsi="Arial"/>
          <w:sz w:val="22"/>
          <w:szCs w:val="22"/>
          <w:lang w:val="en"/>
        </w:rPr>
      </w:r>
    </w:p>
    <w:p>
      <w:pPr>
        <w:pStyle w:val="Normal"/>
        <w:shd w:val="clear" w:color="auto" w:fill="C6D9F1" w:themeFill="text2" w:themeFillTint="33"/>
        <w:jc w:val="both"/>
        <w:rPr>
          <w:rFonts w:ascii="Arial" w:hAnsi="Arial" w:cs="Arial"/>
          <w:b/>
          <w:b/>
          <w:sz w:val="22"/>
          <w:szCs w:val="22"/>
        </w:rPr>
      </w:pPr>
      <w:r>
        <w:rPr>
          <w:rFonts w:cs="Arial" w:ascii="Arial" w:hAnsi="Arial"/>
          <w:b/>
          <w:sz w:val="22"/>
          <w:szCs w:val="22"/>
        </w:rPr>
        <w:t xml:space="preserve">02.06.2018. </w:t>
      </w:r>
    </w:p>
    <w:p>
      <w:pPr>
        <w:pStyle w:val="Normal"/>
        <w:jc w:val="both"/>
        <w:rPr>
          <w:rStyle w:val="Hps"/>
          <w:rFonts w:ascii="Arial" w:hAnsi="Arial" w:cs="Arial"/>
          <w:sz w:val="22"/>
          <w:szCs w:val="22"/>
          <w:lang w:val="en"/>
        </w:rPr>
      </w:pPr>
      <w:r>
        <w:rPr>
          <w:rStyle w:val="Hps"/>
          <w:rFonts w:cs="Arial" w:ascii="Arial" w:hAnsi="Arial"/>
          <w:b/>
          <w:sz w:val="22"/>
          <w:szCs w:val="22"/>
          <w:lang w:val="en"/>
        </w:rPr>
        <w:t xml:space="preserve">Short description: </w:t>
      </w:r>
      <w:r>
        <w:rPr>
          <w:rStyle w:val="Hps"/>
          <w:rFonts w:cs="Arial" w:ascii="Arial" w:hAnsi="Arial"/>
          <w:sz w:val="22"/>
          <w:szCs w:val="22"/>
          <w:lang w:val="en"/>
        </w:rPr>
        <w:t>On 1</w:t>
      </w:r>
      <w:r>
        <w:rPr>
          <w:rStyle w:val="Hps"/>
          <w:rFonts w:cs="Arial" w:ascii="Arial" w:hAnsi="Arial"/>
          <w:sz w:val="22"/>
          <w:szCs w:val="22"/>
          <w:vertAlign w:val="superscript"/>
          <w:lang w:val="en"/>
        </w:rPr>
        <w:t>st</w:t>
      </w:r>
      <w:r>
        <w:rPr>
          <w:rStyle w:val="Hps"/>
          <w:rFonts w:cs="Arial" w:ascii="Arial" w:hAnsi="Arial"/>
          <w:sz w:val="22"/>
          <w:szCs w:val="22"/>
          <w:lang w:val="en"/>
        </w:rPr>
        <w:t xml:space="preserve"> part of day of 02.05.2018. official delegations of all participating partnering municipalities – Rundāle (LV), Pakruojis (LT), </w:t>
      </w:r>
      <w:r>
        <w:rPr>
          <w:rStyle w:val="Hps"/>
          <w:rFonts w:cs="Arial" w:ascii="Arial" w:hAnsi="Arial"/>
          <w:iCs/>
          <w:sz w:val="22"/>
          <w:szCs w:val="22"/>
          <w:lang w:val="en"/>
        </w:rPr>
        <w:t>Põhja</w:t>
      </w:r>
      <w:r>
        <w:rPr>
          <w:rStyle w:val="Hps"/>
          <w:rFonts w:cs="Arial" w:ascii="Arial" w:hAnsi="Arial"/>
          <w:sz w:val="22"/>
          <w:szCs w:val="22"/>
          <w:lang w:val="en"/>
        </w:rPr>
        <w:t>-</w:t>
      </w:r>
      <w:r>
        <w:rPr>
          <w:rStyle w:val="Hps"/>
          <w:rFonts w:cs="Arial" w:ascii="Arial" w:hAnsi="Arial"/>
          <w:iCs/>
          <w:sz w:val="22"/>
          <w:szCs w:val="22"/>
          <w:lang w:val="en"/>
        </w:rPr>
        <w:t>Pärnumaa</w:t>
      </w:r>
      <w:r>
        <w:rPr>
          <w:rStyle w:val="Hps"/>
          <w:rFonts w:cs="Arial" w:ascii="Arial" w:hAnsi="Arial"/>
          <w:sz w:val="22"/>
          <w:szCs w:val="22"/>
          <w:lang w:val="en"/>
        </w:rPr>
        <w:t xml:space="preserve">  (EE), Uggiate-Trevano (IT), Adelsdorf (DE), Ruaudin (FR), Swisloch (BY) participated </w:t>
      </w:r>
      <w:r>
        <w:rPr>
          <w:rStyle w:val="Hps"/>
          <w:rFonts w:cs="Arial" w:ascii="Arial" w:hAnsi="Arial"/>
          <w:b/>
          <w:sz w:val="22"/>
          <w:szCs w:val="22"/>
          <w:lang w:val="en"/>
        </w:rPr>
        <w:t xml:space="preserve">international discussion: TWINNING=WINNING, </w:t>
      </w:r>
      <w:r>
        <w:rPr>
          <w:rStyle w:val="Hps"/>
          <w:rFonts w:cs="Arial" w:ascii="Arial" w:hAnsi="Arial"/>
          <w:sz w:val="22"/>
          <w:szCs w:val="22"/>
          <w:lang w:val="en"/>
        </w:rPr>
        <w:t>highlighting existing experience of town twinning, presenting vary of twinning forms and sharing best existing praxis. New possible twinning events were discussed making basis for further cooperation. The discussion made excellent overview of diversity of twinning events and methods, as a way to foster citizens’ involvement in societal and democratic processes, thus decreasing the Euroscepticism and strengthening common sense of EU.</w:t>
      </w:r>
    </w:p>
    <w:p>
      <w:pPr>
        <w:pStyle w:val="Normal"/>
        <w:jc w:val="center"/>
        <w:rPr>
          <w:rStyle w:val="Hps"/>
          <w:rFonts w:ascii="Arial" w:hAnsi="Arial" w:cs="Arial"/>
          <w:sz w:val="22"/>
          <w:szCs w:val="22"/>
          <w:lang w:val="en"/>
        </w:rPr>
      </w:pPr>
      <w:r>
        <w:rPr/>
        <w:drawing>
          <wp:inline distT="0" distB="0" distL="0" distR="0">
            <wp:extent cx="4007485" cy="3005455"/>
            <wp:effectExtent l="0" t="0" r="0" b="0"/>
            <wp:docPr id="4" name="Picture 5" descr="http://rundale.lv/uploads/gallery/5b1f597eda31-0794be23-e4f6-4969-aa22-7091a2200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http://rundale.lv/uploads/gallery/5b1f597eda31-0794be23-e4f6-4969-aa22-7091a2200ede.jpg"/>
                    <pic:cNvPicPr>
                      <a:picLocks noChangeAspect="1" noChangeArrowheads="1"/>
                    </pic:cNvPicPr>
                  </pic:nvPicPr>
                  <pic:blipFill>
                    <a:blip r:embed="rId5"/>
                    <a:stretch>
                      <a:fillRect/>
                    </a:stretch>
                  </pic:blipFill>
                  <pic:spPr bwMode="auto">
                    <a:xfrm>
                      <a:off x="0" y="0"/>
                      <a:ext cx="4007485" cy="3005455"/>
                    </a:xfrm>
                    <a:prstGeom prst="rect">
                      <a:avLst/>
                    </a:prstGeom>
                    <a:noFill/>
                    <a:ln w="9525">
                      <a:noFill/>
                      <a:miter lim="800000"/>
                      <a:headEnd/>
                      <a:tailEnd/>
                    </a:ln>
                  </pic:spPr>
                </pic:pic>
              </a:graphicData>
            </a:graphic>
          </wp:inline>
        </w:drawing>
      </w:r>
    </w:p>
    <w:p>
      <w:pPr>
        <w:pStyle w:val="Normal"/>
        <w:jc w:val="both"/>
        <w:rPr>
          <w:rStyle w:val="Hps"/>
          <w:rFonts w:ascii="Arial" w:hAnsi="Arial" w:cs="Arial"/>
          <w:sz w:val="22"/>
          <w:szCs w:val="22"/>
          <w:lang w:val="en"/>
        </w:rPr>
      </w:pPr>
      <w:r>
        <w:rPr>
          <w:rStyle w:val="Hps"/>
          <w:rFonts w:cs="Arial" w:ascii="Arial" w:hAnsi="Arial"/>
          <w:sz w:val="22"/>
          <w:szCs w:val="22"/>
          <w:lang w:val="en"/>
        </w:rPr>
        <w:t xml:space="preserve">Meanwhile the representatives of Red-cross Italy Uggiate-Trevano committee had </w:t>
      </w:r>
      <w:r>
        <w:rPr>
          <w:rStyle w:val="Hps"/>
          <w:rFonts w:cs="Arial" w:ascii="Arial" w:hAnsi="Arial"/>
          <w:b/>
          <w:sz w:val="22"/>
          <w:szCs w:val="22"/>
          <w:lang w:val="en"/>
        </w:rPr>
        <w:t xml:space="preserve">meeting with Red-cross Latvia </w:t>
      </w:r>
      <w:r>
        <w:rPr>
          <w:rStyle w:val="Hps"/>
          <w:rFonts w:cs="Arial" w:ascii="Arial" w:hAnsi="Arial"/>
          <w:sz w:val="22"/>
          <w:szCs w:val="22"/>
          <w:lang w:val="en"/>
        </w:rPr>
        <w:t xml:space="preserve">Bauska committee sharing experience. Both participating parties found the meeting valuable. </w:t>
      </w:r>
    </w:p>
    <w:p>
      <w:pPr>
        <w:pStyle w:val="Normal"/>
        <w:jc w:val="center"/>
        <w:rPr>
          <w:rStyle w:val="Hps"/>
          <w:rFonts w:ascii="Arial" w:hAnsi="Arial" w:cs="Arial"/>
          <w:sz w:val="22"/>
          <w:szCs w:val="22"/>
          <w:lang w:val="en"/>
        </w:rPr>
      </w:pPr>
      <w:r>
        <w:rPr/>
        <w:drawing>
          <wp:inline distT="0" distB="0" distL="0" distR="0">
            <wp:extent cx="3919855" cy="2940050"/>
            <wp:effectExtent l="0" t="0" r="0" b="0"/>
            <wp:docPr id="5" name="Picture 6" descr="http://rundale.lv/uploads/gallery/5b1f59824917-024fd4f6-1d23-4885-8dd5-e70aa88dc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rundale.lv/uploads/gallery/5b1f59824917-024fd4f6-1d23-4885-8dd5-e70aa88dc6e8.jpg"/>
                    <pic:cNvPicPr>
                      <a:picLocks noChangeAspect="1" noChangeArrowheads="1"/>
                    </pic:cNvPicPr>
                  </pic:nvPicPr>
                  <pic:blipFill>
                    <a:blip r:embed="rId6"/>
                    <a:stretch>
                      <a:fillRect/>
                    </a:stretch>
                  </pic:blipFill>
                  <pic:spPr bwMode="auto">
                    <a:xfrm>
                      <a:off x="0" y="0"/>
                      <a:ext cx="3919855" cy="2940050"/>
                    </a:xfrm>
                    <a:prstGeom prst="rect">
                      <a:avLst/>
                    </a:prstGeom>
                    <a:noFill/>
                    <a:ln w="9525">
                      <a:noFill/>
                      <a:miter lim="800000"/>
                      <a:headEnd/>
                      <a:tailEnd/>
                    </a:ln>
                  </pic:spPr>
                </pic:pic>
              </a:graphicData>
            </a:graphic>
          </wp:inline>
        </w:drawing>
      </w:r>
    </w:p>
    <w:p>
      <w:pPr>
        <w:pStyle w:val="Normal"/>
        <w:jc w:val="both"/>
        <w:rPr>
          <w:rStyle w:val="Hps"/>
          <w:rFonts w:ascii="Arial" w:hAnsi="Arial" w:cs="Arial"/>
          <w:iCs/>
          <w:sz w:val="22"/>
          <w:szCs w:val="22"/>
          <w:lang w:val="en"/>
        </w:rPr>
      </w:pPr>
      <w:r>
        <w:rPr>
          <w:rStyle w:val="Hps"/>
          <w:rFonts w:cs="Arial" w:ascii="Arial" w:hAnsi="Arial"/>
          <w:sz w:val="22"/>
          <w:szCs w:val="22"/>
          <w:lang w:val="en"/>
        </w:rPr>
        <w:t xml:space="preserve">At the same time culture collectives – folk dance collectives  “Reketys” from Pakruojis (LT), “Laieldes” from </w:t>
      </w:r>
      <w:r>
        <w:rPr>
          <w:rStyle w:val="Hps"/>
          <w:rFonts w:cs="Arial" w:ascii="Arial" w:hAnsi="Arial"/>
          <w:iCs/>
          <w:sz w:val="22"/>
          <w:szCs w:val="22"/>
          <w:lang w:val="en"/>
        </w:rPr>
        <w:t>Põhja</w:t>
      </w:r>
      <w:r>
        <w:rPr>
          <w:rStyle w:val="Hps"/>
          <w:rFonts w:cs="Arial" w:ascii="Arial" w:hAnsi="Arial"/>
          <w:sz w:val="22"/>
          <w:szCs w:val="22"/>
          <w:lang w:val="en"/>
        </w:rPr>
        <w:t>-</w:t>
      </w:r>
      <w:r>
        <w:rPr>
          <w:rStyle w:val="Hps"/>
          <w:rFonts w:cs="Arial" w:ascii="Arial" w:hAnsi="Arial"/>
          <w:iCs/>
          <w:sz w:val="22"/>
          <w:szCs w:val="22"/>
          <w:lang w:val="en"/>
        </w:rPr>
        <w:t xml:space="preserve">Pärnumaa (EE) and “Rundāle”, “Šurpu turpu”, “Madaras” from Rundāle (LV) participated </w:t>
      </w:r>
      <w:r>
        <w:rPr>
          <w:rStyle w:val="Hps"/>
          <w:rFonts w:cs="Arial" w:ascii="Arial" w:hAnsi="Arial"/>
          <w:b/>
          <w:iCs/>
          <w:sz w:val="22"/>
          <w:szCs w:val="22"/>
          <w:lang w:val="en"/>
        </w:rPr>
        <w:t>creative workshop “Hand in hand”</w:t>
      </w:r>
      <w:r>
        <w:rPr>
          <w:rStyle w:val="Hps"/>
          <w:rFonts w:cs="Arial" w:ascii="Arial" w:hAnsi="Arial"/>
          <w:iCs/>
          <w:sz w:val="22"/>
          <w:szCs w:val="22"/>
          <w:lang w:val="en"/>
        </w:rPr>
        <w:t xml:space="preserve"> in Rundāle Palace Garden in order to create common performance for Rundāle Festival Concert, thus symbolizing unity of Europe, richness of diversity and multilingualism as opportunity.</w:t>
      </w:r>
    </w:p>
    <w:p>
      <w:pPr>
        <w:pStyle w:val="Normal"/>
        <w:jc w:val="both"/>
        <w:rPr>
          <w:rStyle w:val="Hps"/>
          <w:rFonts w:ascii="Arial" w:hAnsi="Arial" w:cs="Arial"/>
          <w:iCs/>
          <w:sz w:val="22"/>
          <w:szCs w:val="22"/>
          <w:lang w:val="en"/>
        </w:rPr>
      </w:pPr>
      <w:r>
        <w:rPr>
          <w:rFonts w:cs="Arial" w:ascii="Arial" w:hAnsi="Arial"/>
          <w:iCs/>
          <w:sz w:val="22"/>
          <w:szCs w:val="22"/>
          <w:lang w:val="en"/>
        </w:rPr>
      </w:r>
    </w:p>
    <w:p>
      <w:pPr>
        <w:pStyle w:val="Normal"/>
        <w:jc w:val="both"/>
        <w:rPr>
          <w:rStyle w:val="Hps"/>
          <w:rFonts w:ascii="Arial" w:hAnsi="Arial" w:cs="Arial"/>
          <w:iCs/>
          <w:sz w:val="22"/>
          <w:szCs w:val="22"/>
          <w:lang w:val="en"/>
        </w:rPr>
      </w:pPr>
      <w:r>
        <w:rPr>
          <w:rStyle w:val="Hps"/>
          <w:rFonts w:cs="Arial" w:ascii="Arial" w:hAnsi="Arial"/>
          <w:iCs/>
          <w:sz w:val="22"/>
          <w:szCs w:val="22"/>
          <w:lang w:val="en"/>
        </w:rPr>
        <w:t xml:space="preserve">While the </w:t>
      </w:r>
      <w:r>
        <w:rPr>
          <w:rStyle w:val="Hps"/>
          <w:rFonts w:cs="Arial" w:ascii="Arial" w:hAnsi="Arial"/>
          <w:b/>
          <w:iCs/>
          <w:sz w:val="22"/>
          <w:szCs w:val="22"/>
          <w:lang w:val="en"/>
        </w:rPr>
        <w:t>philharmonic band “St.Cecilia” from Uggiate-Trevano had performance</w:t>
      </w:r>
      <w:r>
        <w:rPr>
          <w:rStyle w:val="Hps"/>
          <w:rFonts w:cs="Arial" w:ascii="Arial" w:hAnsi="Arial"/>
          <w:iCs/>
          <w:sz w:val="22"/>
          <w:szCs w:val="22"/>
          <w:lang w:val="en"/>
        </w:rPr>
        <w:t xml:space="preserve"> in Bauska, presenting traditional culture values of project partner Uggiate-Trevano (IT) and their unique experience to wider public.</w:t>
      </w:r>
    </w:p>
    <w:p>
      <w:pPr>
        <w:pStyle w:val="Normal"/>
        <w:jc w:val="center"/>
        <w:rPr>
          <w:rStyle w:val="Hps"/>
          <w:rFonts w:ascii="Arial" w:hAnsi="Arial" w:cs="Arial"/>
          <w:iCs/>
          <w:sz w:val="22"/>
          <w:szCs w:val="22"/>
          <w:lang w:val="en"/>
        </w:rPr>
      </w:pPr>
      <w:r>
        <w:rPr/>
        <w:drawing>
          <wp:inline distT="0" distB="0" distL="0" distR="0">
            <wp:extent cx="4027170" cy="3020695"/>
            <wp:effectExtent l="0" t="0" r="0" b="0"/>
            <wp:docPr id="6" name="Picture 13" descr="http://rundale.lv/uploads/gallery/5b1f5a30557f-527b30bb-6d80-4f8a-bf13-28fb054b44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http://rundale.lv/uploads/gallery/5b1f5a30557f-527b30bb-6d80-4f8a-bf13-28fb054b44dd.jpg"/>
                    <pic:cNvPicPr>
                      <a:picLocks noChangeAspect="1" noChangeArrowheads="1"/>
                    </pic:cNvPicPr>
                  </pic:nvPicPr>
                  <pic:blipFill>
                    <a:blip r:embed="rId7"/>
                    <a:stretch>
                      <a:fillRect/>
                    </a:stretch>
                  </pic:blipFill>
                  <pic:spPr bwMode="auto">
                    <a:xfrm>
                      <a:off x="0" y="0"/>
                      <a:ext cx="4027170" cy="3020695"/>
                    </a:xfrm>
                    <a:prstGeom prst="rect">
                      <a:avLst/>
                    </a:prstGeom>
                    <a:noFill/>
                    <a:ln w="9525">
                      <a:noFill/>
                      <a:miter lim="800000"/>
                      <a:headEnd/>
                      <a:tailEnd/>
                    </a:ln>
                  </pic:spPr>
                </pic:pic>
              </a:graphicData>
            </a:graphic>
          </wp:inline>
        </w:drawing>
      </w:r>
    </w:p>
    <w:p>
      <w:pPr>
        <w:pStyle w:val="Normal"/>
        <w:jc w:val="both"/>
        <w:rPr>
          <w:rStyle w:val="Hps"/>
          <w:rFonts w:ascii="Arial" w:hAnsi="Arial" w:cs="Arial"/>
          <w:iCs/>
          <w:sz w:val="22"/>
          <w:szCs w:val="22"/>
          <w:lang w:val="en"/>
        </w:rPr>
      </w:pPr>
      <w:r>
        <w:rPr>
          <w:rFonts w:cs="Arial" w:ascii="Arial" w:hAnsi="Arial"/>
          <w:iCs/>
          <w:sz w:val="22"/>
          <w:szCs w:val="22"/>
          <w:lang w:val="en"/>
        </w:rPr>
      </w:r>
    </w:p>
    <w:p>
      <w:pPr>
        <w:pStyle w:val="Normal"/>
        <w:jc w:val="both"/>
        <w:rPr>
          <w:rStyle w:val="Hps"/>
          <w:rFonts w:ascii="Arial" w:hAnsi="Arial" w:cs="Arial"/>
          <w:iCs/>
          <w:sz w:val="22"/>
          <w:szCs w:val="22"/>
          <w:lang w:val="en"/>
        </w:rPr>
      </w:pPr>
      <w:r>
        <w:rPr>
          <w:rStyle w:val="Hps"/>
          <w:rFonts w:cs="Arial" w:ascii="Arial" w:hAnsi="Arial"/>
          <w:iCs/>
          <w:sz w:val="22"/>
          <w:szCs w:val="22"/>
          <w:lang w:val="en"/>
        </w:rPr>
        <w:t>On 2</w:t>
      </w:r>
      <w:r>
        <w:rPr>
          <w:rStyle w:val="Hps"/>
          <w:rFonts w:cs="Arial" w:ascii="Arial" w:hAnsi="Arial"/>
          <w:iCs/>
          <w:sz w:val="22"/>
          <w:szCs w:val="22"/>
          <w:vertAlign w:val="superscript"/>
          <w:lang w:val="en"/>
        </w:rPr>
        <w:t>nd</w:t>
      </w:r>
      <w:r>
        <w:rPr>
          <w:rStyle w:val="Hps"/>
          <w:rFonts w:cs="Arial" w:ascii="Arial" w:hAnsi="Arial"/>
          <w:iCs/>
          <w:sz w:val="22"/>
          <w:szCs w:val="22"/>
          <w:lang w:val="en"/>
        </w:rPr>
        <w:t xml:space="preserve"> part of day all the partners were participating </w:t>
      </w:r>
      <w:r>
        <w:rPr>
          <w:rStyle w:val="Hps"/>
          <w:rFonts w:cs="Arial" w:ascii="Arial" w:hAnsi="Arial"/>
          <w:b/>
          <w:iCs/>
          <w:sz w:val="22"/>
          <w:szCs w:val="22"/>
          <w:lang w:val="en"/>
        </w:rPr>
        <w:t>Rundale Festival procession and concert</w:t>
      </w:r>
      <w:r>
        <w:rPr>
          <w:rStyle w:val="Hps"/>
          <w:rFonts w:cs="Arial" w:ascii="Arial" w:hAnsi="Arial"/>
          <w:iCs/>
          <w:sz w:val="22"/>
          <w:szCs w:val="22"/>
          <w:lang w:val="en"/>
        </w:rPr>
        <w:t>, this year dedicated to centenary of Latvia. The musical accompaniment was ensured by philharmonic band “St.Cecilia” from Uggiate-Trevano.  The Festival concert through folk dances of three Baltic States and national songs told the story about common roots of Baltic tribes. Totally 10 cultural collectives were participating common concept of Rundāle Festival, presenting cultural diversity, history and culture, facilitating mutual tolerance and solidarity.</w:t>
      </w:r>
    </w:p>
    <w:p>
      <w:pPr>
        <w:pStyle w:val="Normal"/>
        <w:jc w:val="both"/>
        <w:rPr>
          <w:rStyle w:val="Hps"/>
          <w:rFonts w:ascii="Arial" w:hAnsi="Arial" w:cs="Arial"/>
          <w:iCs/>
          <w:sz w:val="22"/>
          <w:szCs w:val="22"/>
          <w:lang w:val="en"/>
        </w:rPr>
      </w:pPr>
      <w:r>
        <w:rPr>
          <w:rStyle w:val="Hps"/>
          <w:rFonts w:cs="Arial" w:ascii="Arial" w:hAnsi="Arial"/>
          <w:iCs/>
          <w:sz w:val="22"/>
          <w:szCs w:val="22"/>
          <w:lang w:val="en"/>
        </w:rPr>
        <w:t xml:space="preserve">The concert finalized with common performance of all participating culture collectives also from partnering municipalities, thus symbolizing the unity of Baltic </w:t>
      </w:r>
      <w:bookmarkStart w:id="0" w:name="_GoBack"/>
      <w:bookmarkEnd w:id="0"/>
      <w:r>
        <w:rPr>
          <w:rStyle w:val="Hps"/>
          <w:rFonts w:cs="Arial" w:ascii="Arial" w:hAnsi="Arial"/>
          <w:iCs/>
          <w:sz w:val="22"/>
          <w:szCs w:val="22"/>
          <w:lang w:val="en"/>
        </w:rPr>
        <w:t>States.</w:t>
      </w:r>
    </w:p>
    <w:p>
      <w:pPr>
        <w:pStyle w:val="Normal"/>
        <w:jc w:val="center"/>
        <w:rPr>
          <w:rStyle w:val="Hps"/>
          <w:rFonts w:ascii="Arial" w:hAnsi="Arial" w:cs="Arial"/>
          <w:iCs/>
          <w:sz w:val="22"/>
          <w:szCs w:val="22"/>
          <w:lang w:val="en"/>
        </w:rPr>
      </w:pPr>
      <w:r>
        <w:rPr/>
        <w:drawing>
          <wp:inline distT="0" distB="0" distL="0" distR="0">
            <wp:extent cx="4123690" cy="2748915"/>
            <wp:effectExtent l="0" t="0" r="0" b="0"/>
            <wp:docPr id="7" name="Picture 14" descr="C:\Users\Laura\Documents\RUNDALE\TWINNING=WINNING\FOTO\Alesandro\IMG_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C:\Users\Laura\Documents\RUNDALE\TWINNING=WINNING\FOTO\Alesandro\IMG_2715.JPG"/>
                    <pic:cNvPicPr>
                      <a:picLocks noChangeAspect="1" noChangeArrowheads="1"/>
                    </pic:cNvPicPr>
                  </pic:nvPicPr>
                  <pic:blipFill>
                    <a:blip r:embed="rId8"/>
                    <a:stretch>
                      <a:fillRect/>
                    </a:stretch>
                  </pic:blipFill>
                  <pic:spPr bwMode="auto">
                    <a:xfrm>
                      <a:off x="0" y="0"/>
                      <a:ext cx="4123690" cy="2748915"/>
                    </a:xfrm>
                    <a:prstGeom prst="rect">
                      <a:avLst/>
                    </a:prstGeom>
                    <a:noFill/>
                    <a:ln w="9525">
                      <a:noFill/>
                      <a:miter lim="800000"/>
                      <a:headEnd/>
                      <a:tailEnd/>
                    </a:ln>
                  </pic:spPr>
                </pic:pic>
              </a:graphicData>
            </a:graphic>
          </wp:inline>
        </w:drawing>
      </w:r>
    </w:p>
    <w:p>
      <w:pPr>
        <w:pStyle w:val="Normal"/>
        <w:jc w:val="both"/>
        <w:rPr>
          <w:rStyle w:val="Hps"/>
          <w:rFonts w:ascii="Arial" w:hAnsi="Arial" w:cs="Arial"/>
          <w:iCs/>
          <w:sz w:val="22"/>
          <w:szCs w:val="22"/>
          <w:lang w:val="en"/>
        </w:rPr>
      </w:pPr>
      <w:r>
        <w:rPr>
          <w:rFonts w:cs="Arial" w:ascii="Arial" w:hAnsi="Arial"/>
          <w:iCs/>
          <w:sz w:val="22"/>
          <w:szCs w:val="22"/>
          <w:lang w:val="en"/>
        </w:rPr>
      </w:r>
    </w:p>
    <w:p>
      <w:pPr>
        <w:pStyle w:val="Normal"/>
        <w:jc w:val="center"/>
        <w:rPr>
          <w:rStyle w:val="Hps"/>
          <w:rFonts w:ascii="Arial" w:hAnsi="Arial" w:cs="Arial"/>
          <w:iCs/>
          <w:sz w:val="22"/>
          <w:szCs w:val="22"/>
          <w:lang w:val="en"/>
        </w:rPr>
      </w:pPr>
      <w:r>
        <w:rPr/>
        <w:drawing>
          <wp:inline distT="0" distB="0" distL="0" distR="0">
            <wp:extent cx="6642100" cy="2988945"/>
            <wp:effectExtent l="0" t="0" r="0" b="0"/>
            <wp:docPr id="8" name="Picture 15" descr="C:\Users\Laura\Documents\RUNDALE\TWINNING=WINNING\FOTO\Alesandro\IMG_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C:\Users\Laura\Documents\RUNDALE\TWINNING=WINNING\FOTO\Alesandro\IMG_2777.JPG"/>
                    <pic:cNvPicPr>
                      <a:picLocks noChangeAspect="1" noChangeArrowheads="1"/>
                    </pic:cNvPicPr>
                  </pic:nvPicPr>
                  <pic:blipFill>
                    <a:blip r:embed="rId9"/>
                    <a:srcRect l="0" t="32509" r="0" b="0"/>
                    <a:stretch>
                      <a:fillRect/>
                    </a:stretch>
                  </pic:blipFill>
                  <pic:spPr bwMode="auto">
                    <a:xfrm>
                      <a:off x="0" y="0"/>
                      <a:ext cx="6642100" cy="2988945"/>
                    </a:xfrm>
                    <a:prstGeom prst="rect">
                      <a:avLst/>
                    </a:prstGeom>
                    <a:noFill/>
                    <a:ln w="9525">
                      <a:noFill/>
                      <a:miter lim="800000"/>
                      <a:headEnd/>
                      <a:tailEnd/>
                    </a:ln>
                  </pic:spPr>
                </pic:pic>
              </a:graphicData>
            </a:graphic>
          </wp:inline>
        </w:drawing>
      </w:r>
    </w:p>
    <w:p>
      <w:pPr>
        <w:pStyle w:val="Normal"/>
        <w:jc w:val="both"/>
        <w:rPr>
          <w:rStyle w:val="Hps"/>
          <w:rFonts w:ascii="Arial" w:hAnsi="Arial" w:cs="Arial"/>
          <w:iCs/>
          <w:sz w:val="22"/>
          <w:szCs w:val="22"/>
          <w:lang w:val="en"/>
        </w:rPr>
      </w:pPr>
      <w:r>
        <w:rPr>
          <w:rFonts w:cs="Arial" w:ascii="Arial" w:hAnsi="Arial"/>
          <w:iCs/>
          <w:sz w:val="22"/>
          <w:szCs w:val="22"/>
          <w:lang w:val="en"/>
        </w:rPr>
      </w:r>
    </w:p>
    <w:p>
      <w:pPr>
        <w:pStyle w:val="Normal"/>
        <w:shd w:val="clear" w:color="auto" w:fill="C6D9F1" w:themeFill="text2" w:themeFillTint="33"/>
        <w:jc w:val="both"/>
        <w:rPr>
          <w:rFonts w:ascii="Arial" w:hAnsi="Arial" w:cs="Arial"/>
          <w:b/>
          <w:b/>
          <w:sz w:val="22"/>
          <w:szCs w:val="22"/>
        </w:rPr>
      </w:pPr>
      <w:r>
        <w:rPr>
          <w:rFonts w:cs="Arial" w:ascii="Arial" w:hAnsi="Arial"/>
          <w:b/>
          <w:sz w:val="22"/>
          <w:szCs w:val="22"/>
        </w:rPr>
        <w:t xml:space="preserve">03.05.2018. </w:t>
      </w:r>
    </w:p>
    <w:p>
      <w:pPr>
        <w:pStyle w:val="Normal"/>
        <w:shd w:val="clear" w:color="auto" w:fill="FFFFFF" w:themeFill="background1"/>
        <w:jc w:val="both"/>
        <w:rPr>
          <w:rFonts w:ascii="Arial" w:hAnsi="Arial" w:cs="Arial"/>
          <w:sz w:val="22"/>
          <w:szCs w:val="22"/>
        </w:rPr>
      </w:pPr>
      <w:r>
        <w:rPr>
          <w:rFonts w:cs="Arial" w:ascii="Arial" w:hAnsi="Arial"/>
          <w:sz w:val="22"/>
          <w:szCs w:val="22"/>
        </w:rPr>
        <w:t>The last day of Project was dedicated to project closing event – summary discussion. Delegations evaluated the Project activities and reached goals, discussed the gained experience.</w:t>
      </w:r>
    </w:p>
    <w:p>
      <w:pPr>
        <w:pStyle w:val="Normal"/>
        <w:jc w:val="center"/>
        <w:rPr>
          <w:rStyle w:val="Hps"/>
          <w:rFonts w:ascii="Arial" w:hAnsi="Arial" w:cs="Arial"/>
          <w:iCs/>
          <w:sz w:val="22"/>
          <w:szCs w:val="22"/>
          <w:lang w:val="en"/>
        </w:rPr>
      </w:pPr>
      <w:r>
        <w:rPr/>
        <w:drawing>
          <wp:inline distT="0" distB="0" distL="0" distR="0">
            <wp:extent cx="3860800" cy="2895600"/>
            <wp:effectExtent l="0" t="0" r="0" b="0"/>
            <wp:docPr id="9" name="Picture 11" descr="Lietotāja Mairie de Ruaudin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Lietotāja Mairie de Ruaudin attēls."/>
                    <pic:cNvPicPr>
                      <a:picLocks noChangeAspect="1" noChangeArrowheads="1"/>
                    </pic:cNvPicPr>
                  </pic:nvPicPr>
                  <pic:blipFill>
                    <a:blip r:embed="rId10"/>
                    <a:stretch>
                      <a:fillRect/>
                    </a:stretch>
                  </pic:blipFill>
                  <pic:spPr bwMode="auto">
                    <a:xfrm>
                      <a:off x="0" y="0"/>
                      <a:ext cx="3860800" cy="2895600"/>
                    </a:xfrm>
                    <a:prstGeom prst="rect">
                      <a:avLst/>
                    </a:prstGeom>
                    <a:noFill/>
                    <a:ln w="9525">
                      <a:noFill/>
                      <a:miter lim="800000"/>
                      <a:headEnd/>
                      <a:tailEnd/>
                    </a:ln>
                  </pic:spPr>
                </pic:pic>
              </a:graphicData>
            </a:graphic>
          </wp:inline>
        </w:drawing>
      </w:r>
    </w:p>
    <w:p>
      <w:pPr>
        <w:pStyle w:val="Normal"/>
        <w:jc w:val="both"/>
        <w:rPr>
          <w:rStyle w:val="Hps"/>
          <w:rFonts w:ascii="Arial" w:hAnsi="Arial" w:cs="Arial"/>
          <w:iCs/>
          <w:sz w:val="22"/>
          <w:szCs w:val="22"/>
          <w:lang w:val="en"/>
        </w:rPr>
      </w:pPr>
      <w:r>
        <w:rPr>
          <w:rFonts w:cs="Arial" w:ascii="Arial" w:hAnsi="Arial"/>
          <w:iCs/>
          <w:sz w:val="22"/>
          <w:szCs w:val="22"/>
          <w:lang w:val="en"/>
        </w:rPr>
      </w:r>
    </w:p>
    <w:p>
      <w:pPr>
        <w:pStyle w:val="Normal"/>
        <w:jc w:val="both"/>
        <w:rPr>
          <w:rStyle w:val="Hps"/>
          <w:rFonts w:ascii="Arial" w:hAnsi="Arial" w:cs="Arial"/>
          <w:iCs/>
          <w:sz w:val="22"/>
          <w:szCs w:val="22"/>
          <w:lang w:val="en"/>
        </w:rPr>
      </w:pPr>
      <w:r>
        <w:rPr>
          <w:rStyle w:val="Hps"/>
          <w:rFonts w:cs="Arial" w:ascii="Arial" w:hAnsi="Arial"/>
          <w:iCs/>
          <w:sz w:val="22"/>
          <w:szCs w:val="22"/>
          <w:lang w:val="en"/>
        </w:rPr>
        <w:t>As a result of the implemented project new project ideas have formed. During the mutual discussions between representatives of partnering municipalities and participating twinning associations new stable basis for further cooperation has been founded. New possible cooperation intentions have formed with Ruaudin (FR) and Adelsdorf (DE) twinning associations in level citizens-meet-citizens. New further international project intentions have formed by Uggiate-Trevano (IT) twinning association and Põhja</w:t>
      </w:r>
      <w:r>
        <w:rPr>
          <w:rStyle w:val="Hps"/>
          <w:rFonts w:cs="Arial" w:ascii="Arial" w:hAnsi="Arial"/>
          <w:sz w:val="22"/>
          <w:szCs w:val="22"/>
          <w:lang w:val="en"/>
        </w:rPr>
        <w:t>-</w:t>
      </w:r>
      <w:r>
        <w:rPr>
          <w:rStyle w:val="Hps"/>
          <w:rFonts w:cs="Arial" w:ascii="Arial" w:hAnsi="Arial"/>
          <w:iCs/>
          <w:sz w:val="22"/>
          <w:szCs w:val="22"/>
          <w:lang w:val="en"/>
        </w:rPr>
        <w:t>Pärnumaa Municipality.</w:t>
      </w:r>
    </w:p>
    <w:p>
      <w:pPr>
        <w:pStyle w:val="Default"/>
        <w:spacing w:before="240" w:after="0"/>
        <w:jc w:val="both"/>
        <w:rPr>
          <w:rStyle w:val="Hps"/>
          <w:rFonts w:ascii="Arial" w:hAnsi="Arial" w:cs="Arial"/>
          <w:iCs/>
          <w:sz w:val="22"/>
          <w:szCs w:val="22"/>
          <w:lang w:val="en"/>
        </w:rPr>
      </w:pPr>
      <w:r>
        <w:rPr>
          <w:rStyle w:val="Hps"/>
          <w:rFonts w:cs="Arial" w:ascii="Arial" w:hAnsi="Arial"/>
          <w:iCs/>
          <w:sz w:val="22"/>
          <w:szCs w:val="22"/>
          <w:lang w:val="en"/>
        </w:rPr>
        <w:t>But what is more important, this is already 3</w:t>
      </w:r>
      <w:r>
        <w:rPr>
          <w:rStyle w:val="Hps"/>
          <w:rFonts w:cs="Arial" w:ascii="Arial" w:hAnsi="Arial"/>
          <w:iCs/>
          <w:sz w:val="22"/>
          <w:szCs w:val="22"/>
          <w:vertAlign w:val="superscript"/>
          <w:lang w:val="en"/>
        </w:rPr>
        <w:t>rd</w:t>
      </w:r>
      <w:r>
        <w:rPr>
          <w:rStyle w:val="Hps"/>
          <w:rFonts w:cs="Arial" w:ascii="Arial" w:hAnsi="Arial"/>
          <w:iCs/>
          <w:sz w:val="22"/>
          <w:szCs w:val="22"/>
          <w:lang w:val="en"/>
        </w:rPr>
        <w:t xml:space="preserve"> twinning event where Rundale Municipality is participating and  it is very obviously to track the changes in opinions about twinning experience – at the beginning the formal forms of twinning were acceptable, but now more and more local citizens have made connections to other towns’ citizens and it has become citizens-meet-citizens form.</w:t>
      </w:r>
    </w:p>
    <w:p>
      <w:pPr>
        <w:pStyle w:val="Default"/>
        <w:spacing w:before="240" w:after="0"/>
        <w:jc w:val="both"/>
        <w:rPr>
          <w:rStyle w:val="Hps"/>
          <w:rFonts w:ascii="Arial" w:hAnsi="Arial" w:cs="Arial"/>
          <w:iCs/>
          <w:sz w:val="22"/>
          <w:szCs w:val="22"/>
          <w:lang w:val="en"/>
        </w:rPr>
      </w:pPr>
      <w:r>
        <w:rPr>
          <w:rStyle w:val="Hps"/>
          <w:rFonts w:cs="Arial" w:ascii="Arial" w:hAnsi="Arial"/>
          <w:iCs/>
          <w:sz w:val="22"/>
          <w:szCs w:val="22"/>
          <w:lang w:val="en"/>
        </w:rPr>
        <w:t>Even more, the mutual cooperation between three dancing collectives – “RUNDĀLE” (Rundāle, LV), “LAIELDES” (Põhja</w:t>
      </w:r>
      <w:r>
        <w:rPr>
          <w:rStyle w:val="Hps"/>
          <w:rFonts w:cs="Arial" w:ascii="Arial" w:hAnsi="Arial"/>
          <w:sz w:val="22"/>
          <w:szCs w:val="22"/>
          <w:lang w:val="en"/>
        </w:rPr>
        <w:t>-</w:t>
      </w:r>
      <w:r>
        <w:rPr>
          <w:rStyle w:val="Hps"/>
          <w:rFonts w:cs="Arial" w:ascii="Arial" w:hAnsi="Arial"/>
          <w:iCs/>
          <w:sz w:val="22"/>
          <w:szCs w:val="22"/>
          <w:lang w:val="en"/>
        </w:rPr>
        <w:t>Pärnumaa, EE), “REKETYS” (Pakruojis, LT) was formed during the first Europe for Citizens project realised by Rundāle Municipality on 2015. Since then all three folk dancing collectives each year have cooperated in joint concerts (Halinga-EE, Rundāle-LV, Uggiate-Trevano-IT) and this cooperation have grown in friendship. Such kind of cooperation shows the great impact of small-scale cooperation projects presenting how formal cooperation transforms into friendship between citizens from different countries.</w:t>
      </w:r>
    </w:p>
    <w:p>
      <w:pPr>
        <w:pStyle w:val="Default"/>
        <w:spacing w:before="240" w:after="0"/>
        <w:jc w:val="center"/>
        <w:rPr/>
      </w:pPr>
      <w:r>
        <w:rPr>
          <w:lang w:val="lv-LV" w:eastAsia="lv-LV"/>
        </w:rPr>
        <w:t xml:space="preserve"> </w:t>
      </w:r>
      <w:r>
        <w:rPr>
          <w:lang w:val="lv-LV" w:eastAsia="lv-LV"/>
        </w:rPr>
        <w:drawing>
          <wp:inline distT="0" distB="0" distL="0" distR="0">
            <wp:extent cx="3895090" cy="2921000"/>
            <wp:effectExtent l="0" t="0" r="0" b="0"/>
            <wp:docPr id="10" name="Picture 9" descr="http://rundale.lv/uploads/gallery/5b1f5915f72b-1634e81f-14cb-44c2-96fd-9bef2c343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http://rundale.lv/uploads/gallery/5b1f5915f72b-1634e81f-14cb-44c2-96fd-9bef2c343f5d.jpg"/>
                    <pic:cNvPicPr>
                      <a:picLocks noChangeAspect="1" noChangeArrowheads="1"/>
                    </pic:cNvPicPr>
                  </pic:nvPicPr>
                  <pic:blipFill>
                    <a:blip r:embed="rId11"/>
                    <a:stretch>
                      <a:fillRect/>
                    </a:stretch>
                  </pic:blipFill>
                  <pic:spPr bwMode="auto">
                    <a:xfrm>
                      <a:off x="0" y="0"/>
                      <a:ext cx="3895090" cy="2921000"/>
                    </a:xfrm>
                    <a:prstGeom prst="rect">
                      <a:avLst/>
                    </a:prstGeom>
                    <a:noFill/>
                    <a:ln w="9525">
                      <a:noFill/>
                      <a:miter lim="800000"/>
                      <a:headEnd/>
                      <a:tailEnd/>
                    </a:ln>
                  </pic:spPr>
                </pic:pic>
              </a:graphicData>
            </a:graphic>
          </wp:inline>
        </w:drawing>
      </w:r>
    </w:p>
    <w:sectPr>
      <w:footnotePr>
        <w:numFmt w:val="decimal"/>
      </w:footnotePr>
      <w:type w:val="nextPage"/>
      <w:pgSz w:w="11906" w:h="16838"/>
      <w:pgMar w:left="720" w:right="720" w:header="0" w:top="426" w:footer="0" w:bottom="720"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apidipagina"/>
        <w:rPr/>
      </w:pPr>
      <w:r>
        <w:rPr>
          <w:rStyle w:val="Footnotereference"/>
        </w:rPr>
        <w:footnoteRef/>
        <w:tab/>
      </w:r>
      <w:r>
        <w:rPr/>
        <w:t xml:space="preserve"> </w:t>
      </w:r>
      <w:r>
        <w:rPr>
          <w:rFonts w:cs="Arial" w:ascii="Arial" w:hAnsi="Arial"/>
        </w:rPr>
        <w:t>Before Administrative Territorial Reform - Halinga</w:t>
      </w:r>
    </w:p>
  </w:footnote>
</w:footnotes>
</file>

<file path=word/settings.xml><?xml version="1.0" encoding="utf-8"?>
<w:settings xmlns:w="http://schemas.openxmlformats.org/wordprocessingml/2006/main">
  <w:zoom w:percent="112"/>
  <w:defaultTabStop w:val="720"/>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7191d"/>
    <w:pPr>
      <w:widowControl/>
      <w:suppressAutoHyphens w:val="true"/>
      <w:bidi w:val="0"/>
      <w:spacing w:lineRule="auto" w:line="240" w:before="0" w:after="0"/>
      <w:jc w:val="left"/>
    </w:pPr>
    <w:rPr>
      <w:rFonts w:ascii="Times New Roman" w:hAnsi="Times New Roman" w:eastAsia="Times New Roman" w:cs="Times New Roman"/>
      <w:color w:val="auto"/>
      <w:sz w:val="20"/>
      <w:szCs w:val="20"/>
      <w:lang w:val="en-GB" w:eastAsia="en-US" w:bidi="ar-SA"/>
    </w:rPr>
  </w:style>
  <w:style w:type="paragraph" w:styleId="Titolo1">
    <w:name w:val="Titolo 1"/>
    <w:basedOn w:val="Normal"/>
    <w:link w:val="Heading1Char"/>
    <w:uiPriority w:val="9"/>
    <w:qFormat/>
    <w:rsid w:val="00bf2232"/>
    <w:pPr>
      <w:spacing w:beforeAutospacing="1" w:afterAutospacing="1"/>
      <w:outlineLvl w:val="0"/>
    </w:pPr>
    <w:rPr>
      <w:b/>
      <w:bCs/>
      <w:sz w:val="48"/>
      <w:szCs w:val="48"/>
      <w:lang w:val="lv-LV" w:eastAsia="lv-LV"/>
    </w:rPr>
  </w:style>
  <w:style w:type="character" w:styleId="DefaultParagraphFont" w:default="1">
    <w:name w:val="Default Paragraph Font"/>
    <w:uiPriority w:val="1"/>
    <w:semiHidden/>
    <w:unhideWhenUsed/>
    <w:qFormat/>
    <w:rPr/>
  </w:style>
  <w:style w:type="character" w:styleId="CollegamentoInternet">
    <w:name w:val="Collegamento Internet"/>
    <w:basedOn w:val="DefaultParagraphFont"/>
    <w:rsid w:val="00c7191d"/>
    <w:rPr>
      <w:color w:val="0000FF"/>
      <w:u w:val="single"/>
    </w:rPr>
  </w:style>
  <w:style w:type="character" w:styleId="BalloonTextChar" w:customStyle="1">
    <w:name w:val="Balloon Text Char"/>
    <w:basedOn w:val="DefaultParagraphFont"/>
    <w:link w:val="BalloonText"/>
    <w:uiPriority w:val="99"/>
    <w:semiHidden/>
    <w:qFormat/>
    <w:rsid w:val="002a26f7"/>
    <w:rPr>
      <w:rFonts w:ascii="Tahoma" w:hAnsi="Tahoma" w:eastAsia="Times New Roman" w:cs="Tahoma"/>
      <w:sz w:val="16"/>
      <w:szCs w:val="16"/>
    </w:rPr>
  </w:style>
  <w:style w:type="character" w:styleId="FootnoteTextChar" w:customStyle="1">
    <w:name w:val="Footnote Text Char"/>
    <w:basedOn w:val="DefaultParagraphFont"/>
    <w:link w:val="FootnoteText"/>
    <w:uiPriority w:val="99"/>
    <w:semiHidden/>
    <w:qFormat/>
    <w:rsid w:val="00e81594"/>
    <w:rPr>
      <w:rFonts w:ascii="Times New Roman" w:hAnsi="Times New Roman" w:eastAsia="Times New Roman" w:cs="Times New Roman"/>
      <w:sz w:val="20"/>
      <w:szCs w:val="20"/>
      <w:lang w:eastAsia="en-GB"/>
    </w:rPr>
  </w:style>
  <w:style w:type="character" w:styleId="Footnotereference">
    <w:name w:val="footnote reference"/>
    <w:basedOn w:val="DefaultParagraphFont"/>
    <w:uiPriority w:val="99"/>
    <w:semiHidden/>
    <w:qFormat/>
    <w:rsid w:val="00e81594"/>
    <w:rPr>
      <w:rFonts w:cs="Times New Roman"/>
      <w:vertAlign w:val="superscript"/>
    </w:rPr>
  </w:style>
  <w:style w:type="character" w:styleId="Strong">
    <w:name w:val="Strong"/>
    <w:basedOn w:val="DefaultParagraphFont"/>
    <w:uiPriority w:val="22"/>
    <w:qFormat/>
    <w:rsid w:val="00e81594"/>
    <w:rPr>
      <w:rFonts w:cs="Times New Roman"/>
      <w:b/>
      <w:bCs/>
    </w:rPr>
  </w:style>
  <w:style w:type="character" w:styleId="FollowedHyperlink">
    <w:name w:val="FollowedHyperlink"/>
    <w:basedOn w:val="DefaultParagraphFont"/>
    <w:uiPriority w:val="99"/>
    <w:semiHidden/>
    <w:unhideWhenUsed/>
    <w:qFormat/>
    <w:rsid w:val="00770cea"/>
    <w:rPr>
      <w:color w:val="800080" w:themeColor="followedHyperlink"/>
      <w:u w:val="single"/>
    </w:rPr>
  </w:style>
  <w:style w:type="character" w:styleId="HeaderChar" w:customStyle="1">
    <w:name w:val="Header Char"/>
    <w:basedOn w:val="DefaultParagraphFont"/>
    <w:link w:val="Header"/>
    <w:uiPriority w:val="99"/>
    <w:qFormat/>
    <w:rsid w:val="00610103"/>
    <w:rPr>
      <w:rFonts w:ascii="Times New Roman" w:hAnsi="Times New Roman" w:eastAsia="Times New Roman" w:cs="Times New Roman"/>
      <w:sz w:val="20"/>
      <w:szCs w:val="20"/>
    </w:rPr>
  </w:style>
  <w:style w:type="character" w:styleId="FooterChar" w:customStyle="1">
    <w:name w:val="Footer Char"/>
    <w:basedOn w:val="DefaultParagraphFont"/>
    <w:link w:val="Footer"/>
    <w:uiPriority w:val="99"/>
    <w:qFormat/>
    <w:rsid w:val="00610103"/>
    <w:rPr>
      <w:rFonts w:ascii="Times New Roman" w:hAnsi="Times New Roman" w:eastAsia="Times New Roman" w:cs="Times New Roman"/>
      <w:sz w:val="20"/>
      <w:szCs w:val="20"/>
    </w:rPr>
  </w:style>
  <w:style w:type="character" w:styleId="Shorttext" w:customStyle="1">
    <w:name w:val="short_text"/>
    <w:basedOn w:val="DefaultParagraphFont"/>
    <w:qFormat/>
    <w:rsid w:val="00927012"/>
    <w:rPr/>
  </w:style>
  <w:style w:type="character" w:styleId="Hps" w:customStyle="1">
    <w:name w:val="hps"/>
    <w:basedOn w:val="DefaultParagraphFont"/>
    <w:qFormat/>
    <w:rsid w:val="00927012"/>
    <w:rPr/>
  </w:style>
  <w:style w:type="character" w:styleId="St" w:customStyle="1">
    <w:name w:val="st"/>
    <w:basedOn w:val="DefaultParagraphFont"/>
    <w:qFormat/>
    <w:rsid w:val="000704a4"/>
    <w:rPr/>
  </w:style>
  <w:style w:type="character" w:styleId="Enfasi">
    <w:name w:val="Enfasi"/>
    <w:basedOn w:val="DefaultParagraphFont"/>
    <w:uiPriority w:val="20"/>
    <w:qFormat/>
    <w:rsid w:val="000704a4"/>
    <w:rPr>
      <w:i/>
      <w:iCs/>
    </w:rPr>
  </w:style>
  <w:style w:type="character" w:styleId="Heading1Char" w:customStyle="1">
    <w:name w:val="Heading 1 Char"/>
    <w:basedOn w:val="DefaultParagraphFont"/>
    <w:link w:val="Heading1"/>
    <w:uiPriority w:val="9"/>
    <w:qFormat/>
    <w:rsid w:val="00bf2232"/>
    <w:rPr>
      <w:rFonts w:ascii="Times New Roman" w:hAnsi="Times New Roman" w:eastAsia="Times New Roman" w:cs="Times New Roman"/>
      <w:b/>
      <w:bCs/>
      <w:sz w:val="48"/>
      <w:szCs w:val="48"/>
      <w:lang w:val="lv-LV" w:eastAsia="lv-LV"/>
    </w:rPr>
  </w:style>
  <w:style w:type="character" w:styleId="ListLabel1">
    <w:name w:val="ListLabel 1"/>
    <w:qFormat/>
    <w:rPr>
      <w:sz w:val="20"/>
    </w:rPr>
  </w:style>
  <w:style w:type="character" w:styleId="ListLabel2">
    <w:name w:val="ListLabel 2"/>
    <w:qFormat/>
    <w:rPr>
      <w:rFonts w:eastAsia="Times New Roman"/>
    </w:rPr>
  </w:style>
  <w:style w:type="character" w:styleId="ListLabel3">
    <w:name w:val="ListLabel 3"/>
    <w:qFormat/>
    <w:rPr>
      <w:b w:val="false"/>
      <w:i w:val="false"/>
    </w:rPr>
  </w:style>
  <w:style w:type="character" w:styleId="ListLabel4">
    <w:name w:val="ListLabel 4"/>
    <w:qFormat/>
    <w:rPr>
      <w:b w:val="false"/>
      <w:i w:val="false"/>
      <w:sz w:val="18"/>
    </w:rPr>
  </w:style>
  <w:style w:type="character" w:styleId="ListLabel5">
    <w:name w:val="ListLabel 5"/>
    <w:qFormat/>
    <w:rPr>
      <w:rFonts w:eastAsia="Calibri" w:cs="Times New Roman"/>
    </w:rPr>
  </w:style>
  <w:style w:type="character" w:styleId="ListLabel6">
    <w:name w:val="ListLabel 6"/>
    <w:qFormat/>
    <w:rPr>
      <w:rFonts w:cs="Courier New"/>
    </w:rPr>
  </w:style>
  <w:style w:type="character" w:styleId="Caratterenotaapidipagina">
    <w:name w:val="Carattere nota a piè di pagina"/>
    <w:qFormat/>
    <w:rPr/>
  </w:style>
  <w:style w:type="character" w:styleId="Richiamoallanotaapidipagina">
    <w:name w:val="Richiamo alla nota a piè di pagina"/>
    <w:rPr>
      <w:vertAlign w:val="superscript"/>
    </w:rPr>
  </w:style>
  <w:style w:type="character" w:styleId="Richiamoallanotadichiusura">
    <w:name w:val="Richiamo alla nota di chiusura"/>
    <w:rPr>
      <w:vertAlign w:val="superscript"/>
    </w:rPr>
  </w:style>
  <w:style w:type="character" w:styleId="Caratterenotadichiusura">
    <w:name w:val="Carattere nota di chiusura"/>
    <w:qFormat/>
    <w:rPr/>
  </w:style>
  <w:style w:type="paragraph" w:styleId="Titolo">
    <w:name w:val="Titolo"/>
    <w:basedOn w:val="Normal"/>
    <w:next w:val="Corpodeltesto"/>
    <w:qFormat/>
    <w:pPr>
      <w:keepNext/>
      <w:spacing w:before="240" w:after="120"/>
    </w:pPr>
    <w:rPr>
      <w:rFonts w:ascii="Liberation Sans" w:hAnsi="Liberation Sans" w:eastAsia="Microsoft YaHei" w:cs="Arial"/>
      <w:sz w:val="28"/>
      <w:szCs w:val="28"/>
    </w:rPr>
  </w:style>
  <w:style w:type="paragraph" w:styleId="Corpodeltesto">
    <w:name w:val="Corpo del testo"/>
    <w:basedOn w:val="Normal"/>
    <w:pPr>
      <w:spacing w:lineRule="auto" w:line="288" w:before="0" w:after="140"/>
    </w:pPr>
    <w:rPr/>
  </w:style>
  <w:style w:type="paragraph" w:styleId="Elenco">
    <w:name w:val="Elenco"/>
    <w:basedOn w:val="Corpodeltesto"/>
    <w:pPr/>
    <w:rPr>
      <w:rFonts w:cs="Arial"/>
    </w:rPr>
  </w:style>
  <w:style w:type="paragraph" w:styleId="Didascalia">
    <w:name w:val="Didascalia"/>
    <w:basedOn w:val="Normal"/>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Youthaf0part" w:customStyle="1">
    <w:name w:val="youth.af.0.part"/>
    <w:basedOn w:val="Normal"/>
    <w:qFormat/>
    <w:rsid w:val="00c7191d"/>
    <w:pPr>
      <w:keepNext/>
      <w:tabs>
        <w:tab w:val="left" w:pos="284" w:leader="none"/>
      </w:tabs>
      <w:spacing w:before="80" w:after="60"/>
    </w:pPr>
    <w:rPr>
      <w:rFonts w:ascii="Arial" w:hAnsi="Arial"/>
      <w:b/>
      <w:sz w:val="24"/>
    </w:rPr>
  </w:style>
  <w:style w:type="paragraph" w:styleId="Youthafxdistance" w:customStyle="1">
    <w:name w:val="youth.af.x.distance"/>
    <w:basedOn w:val="Normal"/>
    <w:qFormat/>
    <w:rsid w:val="00c7191d"/>
    <w:pPr>
      <w:keepNext/>
      <w:tabs>
        <w:tab w:val="left" w:pos="284" w:leader="none"/>
      </w:tabs>
      <w:spacing w:before="60" w:after="60"/>
    </w:pPr>
    <w:rPr>
      <w:rFonts w:ascii="Arial" w:hAnsi="Arial"/>
    </w:rPr>
  </w:style>
  <w:style w:type="paragraph" w:styleId="Youthaf2subtopic" w:customStyle="1">
    <w:name w:val="youth.af.2.subtopic"/>
    <w:basedOn w:val="Normal"/>
    <w:qFormat/>
    <w:rsid w:val="00c7191d"/>
    <w:pPr>
      <w:keepNext/>
      <w:tabs>
        <w:tab w:val="left" w:pos="284" w:leader="none"/>
      </w:tabs>
      <w:spacing w:before="80" w:after="60"/>
    </w:pPr>
    <w:rPr>
      <w:rFonts w:ascii="Arial" w:hAnsi="Arial"/>
      <w:b/>
      <w:i/>
    </w:rPr>
  </w:style>
  <w:style w:type="paragraph" w:styleId="Youthaftcomment" w:customStyle="1">
    <w:name w:val="youth.af.t.comment"/>
    <w:basedOn w:val="Normal"/>
    <w:qFormat/>
    <w:rsid w:val="00c7191d"/>
    <w:pPr>
      <w:keepNext/>
      <w:tabs>
        <w:tab w:val="left" w:pos="284" w:leader="none"/>
      </w:tabs>
      <w:spacing w:before="80" w:after="60"/>
    </w:pPr>
    <w:rPr>
      <w:rFonts w:ascii="Arial" w:hAnsi="Arial"/>
      <w:i/>
      <w:sz w:val="18"/>
    </w:rPr>
  </w:style>
  <w:style w:type="paragraph" w:styleId="Youthaf3subitem" w:customStyle="1">
    <w:name w:val="youth.af.3.subitem"/>
    <w:basedOn w:val="Youthaf2subtopic"/>
    <w:qFormat/>
    <w:rsid w:val="00c7191d"/>
    <w:pPr/>
    <w:rPr>
      <w:i w:val="false"/>
      <w:sz w:val="18"/>
    </w:rPr>
  </w:style>
  <w:style w:type="paragraph" w:styleId="BalloonText">
    <w:name w:val="Balloon Text"/>
    <w:basedOn w:val="Normal"/>
    <w:link w:val="BalloonTextChar"/>
    <w:uiPriority w:val="99"/>
    <w:semiHidden/>
    <w:unhideWhenUsed/>
    <w:qFormat/>
    <w:rsid w:val="002a26f7"/>
    <w:pPr/>
    <w:rPr>
      <w:rFonts w:ascii="Tahoma" w:hAnsi="Tahoma" w:cs="Tahoma"/>
      <w:sz w:val="16"/>
      <w:szCs w:val="16"/>
    </w:rPr>
  </w:style>
  <w:style w:type="paragraph" w:styleId="Footnotetext">
    <w:name w:val="footnote text"/>
    <w:basedOn w:val="Normal"/>
    <w:link w:val="FootnoteTextChar"/>
    <w:uiPriority w:val="99"/>
    <w:semiHidden/>
    <w:qFormat/>
    <w:rsid w:val="00e81594"/>
    <w:pPr>
      <w:widowControl w:val="false"/>
    </w:pPr>
    <w:rPr>
      <w:lang w:eastAsia="en-GB"/>
    </w:rPr>
  </w:style>
  <w:style w:type="paragraph" w:styleId="NormalWeb">
    <w:name w:val="Normal (Web)"/>
    <w:basedOn w:val="Normal"/>
    <w:uiPriority w:val="99"/>
    <w:qFormat/>
    <w:rsid w:val="00e81594"/>
    <w:pPr>
      <w:spacing w:beforeAutospacing="1" w:afterAutospacing="1"/>
    </w:pPr>
    <w:rPr>
      <w:sz w:val="24"/>
      <w:szCs w:val="24"/>
      <w:lang w:eastAsia="en-GB"/>
    </w:rPr>
  </w:style>
  <w:style w:type="paragraph" w:styleId="ListParagraph">
    <w:name w:val="List Paragraph"/>
    <w:basedOn w:val="Normal"/>
    <w:uiPriority w:val="34"/>
    <w:qFormat/>
    <w:rsid w:val="00d23b40"/>
    <w:pPr>
      <w:spacing w:before="0" w:after="0"/>
      <w:ind w:left="720" w:hanging="0"/>
      <w:contextualSpacing/>
    </w:pPr>
    <w:rPr/>
  </w:style>
  <w:style w:type="paragraph" w:styleId="Intestazione">
    <w:name w:val="Intestazione"/>
    <w:basedOn w:val="Normal"/>
    <w:link w:val="HeaderChar"/>
    <w:uiPriority w:val="99"/>
    <w:unhideWhenUsed/>
    <w:rsid w:val="00610103"/>
    <w:pPr>
      <w:tabs>
        <w:tab w:val="center" w:pos="4513" w:leader="none"/>
        <w:tab w:val="right" w:pos="9026" w:leader="none"/>
      </w:tabs>
    </w:pPr>
    <w:rPr/>
  </w:style>
  <w:style w:type="paragraph" w:styleId="Pidipagina">
    <w:name w:val="Piè di pagina"/>
    <w:basedOn w:val="Normal"/>
    <w:link w:val="FooterChar"/>
    <w:uiPriority w:val="99"/>
    <w:unhideWhenUsed/>
    <w:rsid w:val="00610103"/>
    <w:pPr>
      <w:tabs>
        <w:tab w:val="center" w:pos="4513" w:leader="none"/>
        <w:tab w:val="right" w:pos="9026" w:leader="none"/>
      </w:tabs>
    </w:pPr>
    <w:rPr/>
  </w:style>
  <w:style w:type="paragraph" w:styleId="Default" w:customStyle="1">
    <w:name w:val="Default"/>
    <w:qFormat/>
    <w:rsid w:val="00ea6e6f"/>
    <w:pPr>
      <w:widowControl/>
      <w:suppressAutoHyphens w:val="true"/>
      <w:bidi w:val="0"/>
      <w:spacing w:lineRule="auto" w:line="240" w:before="0" w:after="0"/>
      <w:jc w:val="left"/>
    </w:pPr>
    <w:rPr>
      <w:rFonts w:ascii="Times New Roman" w:hAnsi="Times New Roman" w:cs="Times New Roman" w:eastAsia="Calibri"/>
      <w:color w:val="000000"/>
      <w:sz w:val="24"/>
      <w:szCs w:val="24"/>
      <w:lang w:val="en-GB" w:eastAsia="en-US" w:bidi="ar-SA"/>
    </w:rPr>
  </w:style>
  <w:style w:type="paragraph" w:styleId="NoSpacing">
    <w:name w:val="No Spacing"/>
    <w:uiPriority w:val="1"/>
    <w:qFormat/>
    <w:rsid w:val="003636c8"/>
    <w:pPr>
      <w:widowControl/>
      <w:suppressAutoHyphens w:val="true"/>
      <w:bidi w:val="0"/>
      <w:spacing w:lineRule="auto" w:line="240" w:before="0" w:after="0"/>
      <w:jc w:val="left"/>
    </w:pPr>
    <w:rPr>
      <w:rFonts w:ascii="Times New Roman" w:hAnsi="Times New Roman" w:eastAsia="Times New Roman" w:cs="Times New Roman"/>
      <w:color w:val="auto"/>
      <w:sz w:val="20"/>
      <w:szCs w:val="20"/>
      <w:lang w:val="en-GB" w:eastAsia="en-US" w:bidi="ar-SA"/>
    </w:rPr>
  </w:style>
  <w:style w:type="paragraph" w:styleId="Notaapidipagina">
    <w:name w:val="Nota a piè di pagina"/>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footnotes" Target="footnotes.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A0109-AC4F-4CD4-B419-8D4050372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LibreOffice/4.4.3.2$Windows_x86 LibreOffice_project/88805f81e9fe61362df02b9941de8e38a9b5fd16</Application>
  <Paragraphs>36</Paragraphs>
  <Company>European Commission - EACEA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2018-07-17T08:55:00Z</dcterms:created>
  <dc:creator>mondicl</dc:creator>
  <dc:language>it-IT</dc:language>
  <cp:lastModifiedBy>Laura</cp:lastModifiedBy>
  <cp:lastPrinted>2014-09-30T09:42:00Z</cp:lastPrinted>
  <dcterms:modified xsi:type="dcterms:W3CDTF">2018-07-17T10:12:00Z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European Commission - EACEA</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