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BE" w:rsidRDefault="00C879BE">
      <w:pPr>
        <w:pStyle w:val="Titolo4"/>
        <w:jc w:val="left"/>
        <w:rPr>
          <w:sz w:val="28"/>
          <w:szCs w:val="28"/>
        </w:rPr>
      </w:pPr>
    </w:p>
    <w:p w:rsidR="00C879BE" w:rsidRDefault="00C879BE">
      <w:pPr>
        <w:pStyle w:val="Titolo4"/>
        <w:jc w:val="left"/>
        <w:rPr>
          <w:sz w:val="28"/>
          <w:szCs w:val="28"/>
        </w:rPr>
      </w:pPr>
    </w:p>
    <w:p w:rsidR="00C879BE" w:rsidRDefault="00C879BE">
      <w:pPr>
        <w:pStyle w:val="Titolo4"/>
        <w:ind w:left="7080"/>
        <w:jc w:val="left"/>
        <w:rPr>
          <w:sz w:val="28"/>
          <w:szCs w:val="28"/>
          <w:u w:val="single"/>
        </w:rPr>
      </w:pPr>
      <w:r>
        <w:rPr>
          <w:u w:val="single"/>
        </w:rPr>
        <w:t>ORIGINALE</w:t>
      </w:r>
    </w:p>
    <w:p w:rsidR="00C879BE" w:rsidRDefault="00C879BE">
      <w:pPr>
        <w:pStyle w:val="Titolo4"/>
        <w:jc w:val="left"/>
        <w:rPr>
          <w:sz w:val="28"/>
          <w:szCs w:val="28"/>
        </w:rPr>
      </w:pPr>
    </w:p>
    <w:p w:rsidR="00C879BE" w:rsidRDefault="00C879BE">
      <w:pPr>
        <w:pStyle w:val="Titolo4"/>
        <w:jc w:val="left"/>
        <w:rPr>
          <w:sz w:val="28"/>
          <w:szCs w:val="28"/>
        </w:rPr>
      </w:pPr>
    </w:p>
    <w:p w:rsidR="00C879BE" w:rsidRDefault="00C879BE">
      <w:pPr>
        <w:pStyle w:val="Titolo4"/>
        <w:jc w:val="left"/>
        <w:rPr>
          <w:sz w:val="28"/>
          <w:szCs w:val="28"/>
        </w:rPr>
      </w:pPr>
    </w:p>
    <w:p w:rsidR="00C879BE" w:rsidRDefault="00C879BE">
      <w:pPr>
        <w:pStyle w:val="Titolo4"/>
        <w:rPr>
          <w:sz w:val="28"/>
          <w:szCs w:val="28"/>
        </w:rPr>
      </w:pPr>
    </w:p>
    <w:p w:rsidR="00C879BE" w:rsidRDefault="00C879BE">
      <w:pPr>
        <w:pStyle w:val="Titolo4"/>
        <w:rPr>
          <w:sz w:val="28"/>
          <w:szCs w:val="28"/>
        </w:rPr>
      </w:pPr>
    </w:p>
    <w:p w:rsidR="00C879BE" w:rsidRDefault="00C879BE">
      <w:pPr>
        <w:pStyle w:val="Titolo4"/>
        <w:rPr>
          <w:sz w:val="28"/>
          <w:szCs w:val="28"/>
        </w:rPr>
      </w:pPr>
      <w:r>
        <w:rPr>
          <w:sz w:val="28"/>
          <w:szCs w:val="28"/>
        </w:rPr>
        <w:t>DETERMINAZIONE SETTORE II - LLPP - URBANISTICA - AMBIENTE</w:t>
      </w:r>
    </w:p>
    <w:p w:rsidR="00C879BE" w:rsidRDefault="00C879BE">
      <w:pPr>
        <w:pStyle w:val="Titolo4"/>
        <w:rPr>
          <w:sz w:val="22"/>
          <w:szCs w:val="22"/>
        </w:rPr>
      </w:pPr>
    </w:p>
    <w:p w:rsidR="00C879BE" w:rsidRDefault="00C879BE">
      <w:pPr>
        <w:pStyle w:val="Titolo4"/>
        <w:rPr>
          <w:sz w:val="22"/>
          <w:szCs w:val="22"/>
        </w:rPr>
      </w:pPr>
    </w:p>
    <w:p w:rsidR="00C879BE" w:rsidRDefault="00C879BE">
      <w:pPr>
        <w:pStyle w:val="Titolo4"/>
        <w:rPr>
          <w:sz w:val="22"/>
          <w:szCs w:val="22"/>
        </w:rPr>
      </w:pPr>
      <w:r>
        <w:rPr>
          <w:sz w:val="22"/>
          <w:szCs w:val="22"/>
        </w:rPr>
        <w:t>N.126 REG. GENERALE DEL 26-01-21</w:t>
      </w:r>
    </w:p>
    <w:p w:rsidR="00C879BE" w:rsidRDefault="00C879BE">
      <w:pPr>
        <w:pStyle w:val="Titolo1"/>
        <w:rPr>
          <w:b/>
          <w:bCs/>
          <w:sz w:val="18"/>
          <w:szCs w:val="18"/>
        </w:rPr>
      </w:pPr>
    </w:p>
    <w:p w:rsidR="00C879BE" w:rsidRDefault="00C879BE"/>
    <w:p w:rsidR="00C879BE" w:rsidRDefault="00C879BE">
      <w:pPr>
        <w:pStyle w:val="Titolo1"/>
        <w:rPr>
          <w:b/>
          <w:bCs/>
          <w:sz w:val="18"/>
          <w:szCs w:val="18"/>
        </w:rPr>
      </w:pPr>
      <w:r>
        <w:rPr>
          <w:b/>
          <w:bCs/>
          <w:sz w:val="18"/>
          <w:szCs w:val="18"/>
        </w:rPr>
        <w:t>N.13 REG. RESPONSABILE DEL 26-01-21</w:t>
      </w:r>
    </w:p>
    <w:p w:rsidR="00C879BE" w:rsidRDefault="00C879BE">
      <w:pPr>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tbl>
      <w:tblPr>
        <w:tblStyle w:val="Grigliatabella"/>
        <w:tblW w:w="0" w:type="auto"/>
        <w:tblInd w:w="108" w:type="dxa"/>
        <w:tblBorders>
          <w:insideH w:val="none" w:sz="0" w:space="0" w:color="auto"/>
          <w:insideV w:val="none" w:sz="0" w:space="0" w:color="auto"/>
        </w:tblBorders>
        <w:tblLook w:val="01E0" w:firstRow="1" w:lastRow="1" w:firstColumn="1" w:lastColumn="1" w:noHBand="0" w:noVBand="0"/>
      </w:tblPr>
      <w:tblGrid>
        <w:gridCol w:w="1276"/>
        <w:gridCol w:w="7371"/>
      </w:tblGrid>
      <w:tr w:rsidR="00C879BE" w:rsidTr="006F67F2">
        <w:trPr>
          <w:trHeight w:val="464"/>
        </w:trPr>
        <w:tc>
          <w:tcPr>
            <w:tcW w:w="1276" w:type="dxa"/>
            <w:tcBorders>
              <w:top w:val="single" w:sz="4" w:space="0" w:color="auto"/>
              <w:bottom w:val="single" w:sz="4" w:space="0" w:color="auto"/>
            </w:tcBorders>
          </w:tcPr>
          <w:p w:rsidR="00C879BE" w:rsidRPr="00C879BE" w:rsidRDefault="00C879BE">
            <w:pPr>
              <w:widowControl w:val="0"/>
              <w:autoSpaceDE w:val="0"/>
              <w:autoSpaceDN w:val="0"/>
              <w:adjustRightInd w:val="0"/>
              <w:jc w:val="both"/>
              <w:rPr>
                <w:rFonts w:ascii="Arial" w:hAnsi="Arial" w:cs="Arial"/>
                <w:b/>
                <w:bCs/>
                <w:sz w:val="28"/>
                <w:szCs w:val="28"/>
              </w:rPr>
            </w:pPr>
            <w:r w:rsidRPr="00C879BE">
              <w:rPr>
                <w:rFonts w:ascii="Garamond" w:hAnsi="Garamond" w:cs="Garamond"/>
                <w:b/>
                <w:bCs/>
              </w:rPr>
              <w:t>Oggetto:</w:t>
            </w:r>
          </w:p>
        </w:tc>
        <w:tc>
          <w:tcPr>
            <w:tcW w:w="7371" w:type="dxa"/>
            <w:tcBorders>
              <w:top w:val="single" w:sz="4" w:space="0" w:color="auto"/>
              <w:bottom w:val="single" w:sz="4" w:space="0" w:color="auto"/>
            </w:tcBorders>
          </w:tcPr>
          <w:p w:rsidR="00C879BE" w:rsidRPr="00C879BE" w:rsidRDefault="00C879BE">
            <w:pPr>
              <w:widowControl w:val="0"/>
              <w:autoSpaceDE w:val="0"/>
              <w:autoSpaceDN w:val="0"/>
              <w:adjustRightInd w:val="0"/>
              <w:jc w:val="both"/>
              <w:rPr>
                <w:rFonts w:ascii="Arial" w:hAnsi="Arial" w:cs="Arial"/>
                <w:b/>
                <w:bCs/>
                <w:sz w:val="28"/>
                <w:szCs w:val="28"/>
              </w:rPr>
            </w:pPr>
            <w:r w:rsidRPr="00C879BE">
              <w:rPr>
                <w:rFonts w:ascii="Garamond" w:hAnsi="Garamond" w:cs="Garamond"/>
                <w:b/>
                <w:bCs/>
              </w:rPr>
              <w:t>RICERCA DI MERCATO FINALIZZATA ALL'INDIVIDUAZIONE DI AZIENDE E/O ENTI INTERESSATI ALLINSTALLAZIONE E GESTIONE, A PROPRIA CURA E SPESE, DI STRUTTURE DI RICARICA DI VEICOLI ELETTRICI SUL TERRITORIO COMUNALE, IN REGIME DI NON ESCLUSIVITÀ, PREVIA CONCESSIONE DI SPAZI PUBBLICI DEDICATI ALLO SCOPO - APPROVAZIONE ATTI DELLA PROCEDURA</w:t>
            </w:r>
          </w:p>
        </w:tc>
      </w:tr>
    </w:tbl>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sz w:val="28"/>
          <w:szCs w:val="28"/>
        </w:rPr>
      </w:pPr>
    </w:p>
    <w:p w:rsidR="00C879BE" w:rsidRDefault="00C879BE">
      <w:pPr>
        <w:widowControl w:val="0"/>
        <w:autoSpaceDE w:val="0"/>
        <w:autoSpaceDN w:val="0"/>
        <w:adjustRightInd w:val="0"/>
        <w:ind w:firstLine="607"/>
        <w:jc w:val="both"/>
        <w:rPr>
          <w:rFonts w:ascii="Arial" w:hAnsi="Arial" w:cs="Arial"/>
        </w:rPr>
      </w:pPr>
      <w:r>
        <w:rPr>
          <w:rFonts w:ascii="Arial" w:hAnsi="Arial" w:cs="Arial"/>
          <w:sz w:val="28"/>
          <w:szCs w:val="28"/>
        </w:rPr>
        <w:br w:type="page"/>
      </w:r>
    </w:p>
    <w:p w:rsidR="00C879BE" w:rsidRDefault="00C879BE">
      <w:pPr>
        <w:widowControl w:val="0"/>
        <w:autoSpaceDE w:val="0"/>
        <w:autoSpaceDN w:val="0"/>
        <w:adjustRightInd w:val="0"/>
        <w:jc w:val="center"/>
        <w:rPr>
          <w:rFonts w:ascii="Arial" w:hAnsi="Arial" w:cs="Arial"/>
        </w:rPr>
      </w:pPr>
      <w:r>
        <w:rPr>
          <w:rFonts w:ascii="Arial" w:hAnsi="Arial" w:cs="Arial"/>
        </w:rPr>
        <w:lastRenderedPageBreak/>
        <w:t>IL SOTTOSCRITTO RESPONSABILE DEL SERVIZIO</w:t>
      </w:r>
    </w:p>
    <w:p w:rsidR="00C879BE" w:rsidRDefault="00C879BE">
      <w:pPr>
        <w:widowControl w:val="0"/>
        <w:autoSpaceDE w:val="0"/>
        <w:autoSpaceDN w:val="0"/>
        <w:adjustRightInd w:val="0"/>
        <w:rPr>
          <w:rFonts w:ascii="Arial" w:hAnsi="Arial" w:cs="Arial"/>
          <w:sz w:val="28"/>
          <w:szCs w:val="28"/>
        </w:rPr>
      </w:pPr>
    </w:p>
    <w:p w:rsidR="00A032C1" w:rsidRPr="000C56CC" w:rsidRDefault="00A032C1" w:rsidP="00A032C1">
      <w:pPr>
        <w:pStyle w:val="rtf1rtf1rtf1BodyText"/>
        <w:rPr>
          <w:rFonts w:asciiTheme="minorHAnsi" w:hAnsiTheme="minorHAnsi" w:cs="Arial"/>
          <w:szCs w:val="24"/>
          <w:lang w:eastAsia="en-US"/>
        </w:rPr>
      </w:pPr>
      <w:r w:rsidRPr="000C56CC">
        <w:rPr>
          <w:rFonts w:asciiTheme="minorHAnsi" w:hAnsiTheme="minorHAnsi" w:cs="Arial"/>
          <w:szCs w:val="24"/>
          <w:lang w:eastAsia="en-US"/>
        </w:rPr>
        <w:t>PREMESSO che:</w:t>
      </w:r>
    </w:p>
    <w:p w:rsidR="00A032C1" w:rsidRPr="000C56CC" w:rsidRDefault="00A032C1" w:rsidP="00A032C1">
      <w:pPr>
        <w:numPr>
          <w:ilvl w:val="0"/>
          <w:numId w:val="8"/>
        </w:numPr>
        <w:autoSpaceDE w:val="0"/>
        <w:autoSpaceDN w:val="0"/>
        <w:adjustRightInd w:val="0"/>
        <w:contextualSpacing/>
        <w:jc w:val="both"/>
        <w:rPr>
          <w:rFonts w:asciiTheme="minorHAnsi" w:eastAsiaTheme="minorEastAsia" w:hAnsiTheme="minorHAnsi" w:cs="Arial"/>
        </w:rPr>
      </w:pPr>
      <w:r w:rsidRPr="000C56CC">
        <w:rPr>
          <w:rFonts w:asciiTheme="minorHAnsi" w:eastAsiaTheme="minorEastAsia" w:hAnsiTheme="minorHAnsi" w:cs="Arial"/>
        </w:rPr>
        <w:t>con deliberazione consiliare 30/12/2019, n. 69 è stato approvato il DUP  - Documento unico di programmazione 2020/2022:</w:t>
      </w:r>
    </w:p>
    <w:p w:rsidR="00A032C1" w:rsidRPr="000C56CC" w:rsidRDefault="00A032C1" w:rsidP="00A032C1">
      <w:pPr>
        <w:numPr>
          <w:ilvl w:val="0"/>
          <w:numId w:val="8"/>
        </w:numPr>
        <w:autoSpaceDE w:val="0"/>
        <w:autoSpaceDN w:val="0"/>
        <w:adjustRightInd w:val="0"/>
        <w:contextualSpacing/>
        <w:jc w:val="both"/>
        <w:rPr>
          <w:rFonts w:asciiTheme="minorHAnsi" w:eastAsiaTheme="minorEastAsia" w:hAnsiTheme="minorHAnsi" w:cs="Arial"/>
        </w:rPr>
      </w:pPr>
      <w:r w:rsidRPr="000C56CC">
        <w:rPr>
          <w:rFonts w:asciiTheme="minorHAnsi" w:eastAsiaTheme="minorEastAsia" w:hAnsiTheme="minorHAnsi" w:cs="Arial"/>
        </w:rPr>
        <w:t>con deliberazione consiliare 30/12/2019, n. 73 si è provveduto all'approvazione del Bilancio di previsione finanziario per il triennio  2020/2022 comprendente le previsioni di competenza e di cassa del primo esercizio del periodo considerato e le previsioni di competenza degli esercizi successivi;</w:t>
      </w:r>
    </w:p>
    <w:p w:rsidR="00A032C1" w:rsidRPr="000C56CC" w:rsidRDefault="00A032C1" w:rsidP="00A032C1">
      <w:pPr>
        <w:numPr>
          <w:ilvl w:val="0"/>
          <w:numId w:val="8"/>
        </w:numPr>
        <w:autoSpaceDE w:val="0"/>
        <w:autoSpaceDN w:val="0"/>
        <w:adjustRightInd w:val="0"/>
        <w:contextualSpacing/>
        <w:jc w:val="both"/>
        <w:rPr>
          <w:rFonts w:asciiTheme="minorHAnsi" w:eastAsiaTheme="minorEastAsia" w:hAnsiTheme="minorHAnsi" w:cs="Arial"/>
        </w:rPr>
      </w:pPr>
      <w:r w:rsidRPr="000C56CC">
        <w:rPr>
          <w:rFonts w:asciiTheme="minorHAnsi" w:eastAsiaTheme="minorEastAsia" w:hAnsiTheme="minorHAnsi" w:cs="Arial"/>
        </w:rPr>
        <w:t>con deliberazione di Giunta Comunale 10/09/2020, N. 138 è stato approvato il Piano della Performance    2020/2022 e PEG 2020;</w:t>
      </w:r>
    </w:p>
    <w:p w:rsidR="00A032C1" w:rsidRPr="000C56CC" w:rsidRDefault="00A032C1" w:rsidP="00A032C1">
      <w:pPr>
        <w:numPr>
          <w:ilvl w:val="0"/>
          <w:numId w:val="8"/>
        </w:numPr>
        <w:autoSpaceDE w:val="0"/>
        <w:autoSpaceDN w:val="0"/>
        <w:adjustRightInd w:val="0"/>
        <w:contextualSpacing/>
        <w:jc w:val="both"/>
        <w:rPr>
          <w:rFonts w:asciiTheme="minorHAnsi" w:eastAsiaTheme="minorEastAsia" w:hAnsiTheme="minorHAnsi" w:cs="Arial"/>
        </w:rPr>
      </w:pPr>
      <w:r w:rsidRPr="000C56CC">
        <w:rPr>
          <w:rFonts w:asciiTheme="minorHAnsi" w:eastAsiaTheme="minorEastAsia" w:hAnsiTheme="minorHAnsi" w:cs="Arial"/>
        </w:rPr>
        <w:t>con decreto sindacale n.1 del 12/01/2021 la sottoscritta è stata nominata responsabile del I Settore - Affari Generali con conseguente attribuzione di compiti e funzioni ai sensi degli artt. 107 e 109 del D.Lgs. 267/2000;</w:t>
      </w:r>
    </w:p>
    <w:p w:rsidR="00A032C1" w:rsidRPr="000C56CC" w:rsidRDefault="00A032C1" w:rsidP="00A032C1">
      <w:pPr>
        <w:autoSpaceDE w:val="0"/>
        <w:autoSpaceDN w:val="0"/>
        <w:adjustRightInd w:val="0"/>
        <w:ind w:left="360"/>
        <w:contextualSpacing/>
        <w:jc w:val="both"/>
        <w:rPr>
          <w:rFonts w:asciiTheme="minorHAnsi" w:eastAsiaTheme="minorEastAsia" w:hAnsiTheme="minorHAnsi" w:cs="Arial"/>
        </w:rPr>
      </w:pPr>
    </w:p>
    <w:p w:rsidR="00A032C1" w:rsidRPr="000C56CC" w:rsidRDefault="00A032C1" w:rsidP="00A032C1">
      <w:pPr>
        <w:jc w:val="both"/>
        <w:rPr>
          <w:rFonts w:asciiTheme="minorHAnsi" w:eastAsiaTheme="minorEastAsia" w:hAnsiTheme="minorHAnsi" w:cs="Arial"/>
        </w:rPr>
      </w:pPr>
    </w:p>
    <w:p w:rsidR="00A032C1" w:rsidRPr="000C56CC" w:rsidRDefault="00A032C1" w:rsidP="00A032C1">
      <w:pPr>
        <w:jc w:val="both"/>
        <w:rPr>
          <w:rFonts w:asciiTheme="minorHAnsi" w:eastAsiaTheme="minorEastAsia" w:hAnsiTheme="minorHAnsi" w:cs="Arial"/>
        </w:rPr>
      </w:pPr>
      <w:r w:rsidRPr="000C56CC">
        <w:rPr>
          <w:rFonts w:asciiTheme="minorHAnsi" w:eastAsiaTheme="minorEastAsia" w:hAnsiTheme="minorHAnsi" w:cs="Arial"/>
        </w:rPr>
        <w:t>CONSIDERATO che:</w:t>
      </w:r>
    </w:p>
    <w:p w:rsidR="00A032C1" w:rsidRPr="000C56CC" w:rsidRDefault="00A032C1" w:rsidP="00A032C1">
      <w:pPr>
        <w:pStyle w:val="rtf1rtf1rtf1BodyText"/>
        <w:numPr>
          <w:ilvl w:val="0"/>
          <w:numId w:val="9"/>
        </w:numPr>
        <w:rPr>
          <w:rFonts w:asciiTheme="minorHAnsi" w:hAnsiTheme="minorHAnsi" w:cs="Arial"/>
          <w:szCs w:val="24"/>
          <w:lang w:eastAsia="en-US"/>
        </w:rPr>
      </w:pPr>
      <w:r w:rsidRPr="000C56CC">
        <w:rPr>
          <w:rFonts w:asciiTheme="minorHAnsi" w:hAnsiTheme="minorHAnsi" w:cs="Arial"/>
          <w:szCs w:val="24"/>
          <w:lang w:eastAsia="en-US"/>
        </w:rPr>
        <w:t>l'unità temporale della gestione è l'anno finanziario, che inizia il 1° gennaio e termina il 31 dicembre dello stesso anno e, dopo tale termine , non possono più effettuarsi accertamenti di entrate e impegni di spesa in conto dell'esercizio scaduto;</w:t>
      </w:r>
    </w:p>
    <w:p w:rsidR="00A032C1" w:rsidRPr="000C56CC" w:rsidRDefault="00A032C1" w:rsidP="00A032C1">
      <w:pPr>
        <w:pStyle w:val="rtf1rtf1rtf1BodyText"/>
        <w:numPr>
          <w:ilvl w:val="0"/>
          <w:numId w:val="9"/>
        </w:numPr>
        <w:rPr>
          <w:rFonts w:asciiTheme="minorHAnsi" w:hAnsiTheme="minorHAnsi" w:cs="Arial"/>
          <w:szCs w:val="24"/>
          <w:lang w:eastAsia="en-US"/>
        </w:rPr>
      </w:pPr>
      <w:r w:rsidRPr="000C56CC">
        <w:rPr>
          <w:rFonts w:asciiTheme="minorHAnsi" w:hAnsiTheme="minorHAnsi" w:cs="Arial"/>
          <w:szCs w:val="24"/>
          <w:lang w:eastAsia="en-US"/>
        </w:rPr>
        <w:t>se il bilancio di previsione per il triennio successivo non è approvato entro il 31 dicembre dell'anno precedente, la gestione finanziaria dell'ente si svolge nel rispetto dei principi applicati della contabilità finanziaria riguardanti l'esercizio provvisorio e, nel corso dell'esercizio provvisorio, gli enti gestiscono gli stanziamenti di competenza previsti nell'ultimo bilancio approvato per l'esercizio cui si riferisce l'esercizio provvisorio ed effettuano i pagamenti entro i limiti determinati dalla somma dei residui al 31 dicembre dell'anno precedente e degli stanziamenti di competenza al netto del fondo pluriennale vincolato;</w:t>
      </w:r>
    </w:p>
    <w:p w:rsidR="00A032C1" w:rsidRPr="000C56CC" w:rsidRDefault="00A032C1" w:rsidP="00A032C1">
      <w:pPr>
        <w:pStyle w:val="rtf1rtf1rtf1BodyText"/>
        <w:numPr>
          <w:ilvl w:val="0"/>
          <w:numId w:val="9"/>
        </w:numPr>
        <w:rPr>
          <w:rFonts w:asciiTheme="minorHAnsi" w:hAnsiTheme="minorHAnsi" w:cs="Arial"/>
          <w:szCs w:val="24"/>
          <w:lang w:eastAsia="en-US"/>
        </w:rPr>
      </w:pPr>
      <w:r w:rsidRPr="000C56CC">
        <w:rPr>
          <w:rFonts w:asciiTheme="minorHAnsi" w:hAnsiTheme="minorHAnsi" w:cs="Arial"/>
          <w:szCs w:val="24"/>
          <w:lang w:eastAsia="en-US"/>
        </w:rPr>
        <w:t>l'esercizio provvisorio è autorizzato con legge o con decreto del Ministro dell'interno che, ai sensi di quanto previsto dall'art. 151, primo comma, differisce il termine di approvazione del bilancio, d'intesa con il Ministro dell'economia e delle finanze, sentita la Conferenza Stato-città ed autonomia locale, in presenza di motivate esigenze;</w:t>
      </w:r>
    </w:p>
    <w:p w:rsidR="00F9169D" w:rsidRPr="000C56CC" w:rsidRDefault="00F9169D" w:rsidP="00A032C1">
      <w:pPr>
        <w:pStyle w:val="rtf1rtf1rtf1BodyText"/>
        <w:rPr>
          <w:rFonts w:asciiTheme="minorHAnsi" w:hAnsiTheme="minorHAnsi" w:cs="Arial"/>
          <w:szCs w:val="24"/>
          <w:lang w:eastAsia="en-US"/>
        </w:rPr>
      </w:pPr>
    </w:p>
    <w:p w:rsidR="00A032C1" w:rsidRPr="000C56CC" w:rsidRDefault="00A032C1" w:rsidP="00A032C1">
      <w:pPr>
        <w:pStyle w:val="rtf1rtf1rtf1BodyText"/>
        <w:rPr>
          <w:rFonts w:asciiTheme="minorHAnsi" w:hAnsiTheme="minorHAnsi" w:cs="Arial"/>
          <w:szCs w:val="24"/>
          <w:lang w:eastAsia="en-US"/>
        </w:rPr>
      </w:pPr>
      <w:r w:rsidRPr="000C56CC">
        <w:rPr>
          <w:rFonts w:asciiTheme="minorHAnsi" w:hAnsiTheme="minorHAnsi" w:cs="Arial"/>
          <w:szCs w:val="24"/>
          <w:lang w:eastAsia="en-US"/>
        </w:rPr>
        <w:t xml:space="preserve">POSTO CHE </w:t>
      </w:r>
    </w:p>
    <w:p w:rsidR="00A032C1" w:rsidRPr="000C56CC" w:rsidRDefault="00A032C1" w:rsidP="00A032C1">
      <w:pPr>
        <w:numPr>
          <w:ilvl w:val="0"/>
          <w:numId w:val="9"/>
        </w:numPr>
        <w:spacing w:after="200" w:line="264" w:lineRule="auto"/>
        <w:contextualSpacing/>
        <w:jc w:val="both"/>
        <w:rPr>
          <w:rFonts w:asciiTheme="minorHAnsi" w:eastAsiaTheme="minorEastAsia" w:hAnsiTheme="minorHAnsi" w:cs="Arial"/>
        </w:rPr>
      </w:pPr>
      <w:r w:rsidRPr="000C56CC">
        <w:rPr>
          <w:rFonts w:asciiTheme="minorHAnsi" w:eastAsiaTheme="minorEastAsia" w:hAnsiTheme="minorHAnsi" w:cs="Arial"/>
        </w:rPr>
        <w:t xml:space="preserve">il D.L. 19 maggio 2020, n. 34 (decreto Rilancio) - contenente “Misure urgenti in materia di salute, sostegno al lavoro e all’economia, nonché di politiche sociali connesse all’emergenza epidemiologica da COVID-19” -  convertito con modificazioni dalla Legge 17 luglio 2020, n. 77 - al comma 3-bis dell’art.106 prevede,   per l'esercizio 2021, il differimento al </w:t>
      </w:r>
      <w:r w:rsidRPr="000C56CC">
        <w:rPr>
          <w:rFonts w:asciiTheme="minorHAnsi" w:eastAsiaTheme="minorEastAsia" w:hAnsiTheme="minorHAnsi" w:cs="Arial"/>
          <w:b/>
        </w:rPr>
        <w:t>31 gennaio 2021</w:t>
      </w:r>
      <w:r w:rsidRPr="000C56CC">
        <w:rPr>
          <w:rFonts w:asciiTheme="minorHAnsi" w:eastAsiaTheme="minorEastAsia" w:hAnsiTheme="minorHAnsi" w:cs="Arial"/>
        </w:rPr>
        <w:t xml:space="preserve"> del termine per la deliberazione del bilancio di prev</w:t>
      </w:r>
      <w:bookmarkStart w:id="0" w:name="_GoBack"/>
      <w:bookmarkEnd w:id="0"/>
      <w:r w:rsidRPr="000C56CC">
        <w:rPr>
          <w:rFonts w:asciiTheme="minorHAnsi" w:eastAsiaTheme="minorEastAsia" w:hAnsiTheme="minorHAnsi" w:cs="Arial"/>
        </w:rPr>
        <w:t>isione 2021/2023 degli EE.LL:;</w:t>
      </w:r>
    </w:p>
    <w:p w:rsidR="00A032C1" w:rsidRPr="000C56CC" w:rsidRDefault="00A032C1" w:rsidP="00A032C1">
      <w:pPr>
        <w:numPr>
          <w:ilvl w:val="0"/>
          <w:numId w:val="9"/>
        </w:numPr>
        <w:spacing w:after="200" w:line="264" w:lineRule="auto"/>
        <w:contextualSpacing/>
        <w:jc w:val="both"/>
        <w:rPr>
          <w:rFonts w:asciiTheme="minorHAnsi" w:eastAsiaTheme="minorEastAsia" w:hAnsiTheme="minorHAnsi" w:cs="Arial"/>
        </w:rPr>
      </w:pPr>
      <w:r w:rsidRPr="000C56CC">
        <w:rPr>
          <w:rFonts w:asciiTheme="minorHAnsi" w:eastAsiaTheme="minorEastAsia" w:hAnsiTheme="minorHAnsi" w:cs="Arial"/>
        </w:rPr>
        <w:t xml:space="preserve">Il decreto del Ministero dell’Interno del 13 gennaio 2021  che ha previsto un ulteriore differimento, al </w:t>
      </w:r>
      <w:r w:rsidRPr="000C56CC">
        <w:rPr>
          <w:rFonts w:asciiTheme="minorHAnsi" w:eastAsiaTheme="minorEastAsia" w:hAnsiTheme="minorHAnsi" w:cs="Arial"/>
          <w:b/>
        </w:rPr>
        <w:t>31 marzo 2021</w:t>
      </w:r>
      <w:r w:rsidRPr="000C56CC">
        <w:rPr>
          <w:rFonts w:asciiTheme="minorHAnsi" w:eastAsiaTheme="minorEastAsia" w:hAnsiTheme="minorHAnsi" w:cs="Arial"/>
        </w:rPr>
        <w:t>, del termine per la deliberazione del bilancio di previsione 2021/2023 degli EE.LL.;</w:t>
      </w:r>
    </w:p>
    <w:p w:rsidR="00A032C1" w:rsidRPr="000C56CC" w:rsidRDefault="00A032C1" w:rsidP="00A032C1">
      <w:pPr>
        <w:jc w:val="both"/>
        <w:rPr>
          <w:rFonts w:asciiTheme="minorHAnsi" w:eastAsiaTheme="minorEastAsia" w:hAnsiTheme="minorHAnsi" w:cs="Arial"/>
        </w:rPr>
      </w:pPr>
      <w:r w:rsidRPr="000C56CC">
        <w:rPr>
          <w:rFonts w:asciiTheme="minorHAnsi" w:eastAsiaTheme="minorEastAsia" w:hAnsiTheme="minorHAnsi" w:cs="Arial"/>
        </w:rPr>
        <w:t xml:space="preserve"> </w:t>
      </w: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VISTA la deliberazione di giunta comunale n. 199 del 30.12.2020 avente ad oggetto: “Concessione permanente di stalli posti su aree pubbliche per fornitura, installazione e gestione infrastrutture per ricarica veicoli elettrici - indirizzi al Responsabile del settore II”.</w:t>
      </w:r>
    </w:p>
    <w:p w:rsidR="00A032C1" w:rsidRPr="000C56CC" w:rsidRDefault="00A032C1" w:rsidP="00A032C1">
      <w:pPr>
        <w:jc w:val="both"/>
        <w:rPr>
          <w:rFonts w:asciiTheme="minorHAnsi" w:eastAsiaTheme="minorEastAsia" w:hAnsiTheme="minorHAnsi" w:cs="Arial"/>
        </w:rPr>
      </w:pPr>
    </w:p>
    <w:p w:rsidR="00A032C1" w:rsidRPr="000C56CC" w:rsidRDefault="00A032C1" w:rsidP="00A032C1">
      <w:pPr>
        <w:ind w:right="680"/>
        <w:jc w:val="both"/>
        <w:rPr>
          <w:rFonts w:asciiTheme="minorHAnsi" w:eastAsiaTheme="minorEastAsia" w:hAnsiTheme="minorHAnsi" w:cs="Arial"/>
        </w:rPr>
      </w:pPr>
    </w:p>
    <w:p w:rsidR="00A032C1" w:rsidRPr="000C56CC" w:rsidRDefault="00A032C1" w:rsidP="00A032C1">
      <w:pPr>
        <w:ind w:right="680"/>
        <w:jc w:val="both"/>
        <w:rPr>
          <w:rFonts w:asciiTheme="minorHAnsi" w:eastAsiaTheme="minorEastAsia" w:hAnsiTheme="minorHAnsi" w:cs="Arial"/>
        </w:rPr>
      </w:pPr>
      <w:r w:rsidRPr="000C56CC">
        <w:rPr>
          <w:rFonts w:asciiTheme="minorHAnsi" w:eastAsiaTheme="minorEastAsia" w:hAnsiTheme="minorHAnsi" w:cs="Arial"/>
        </w:rPr>
        <w:t>TENUTO PRESENTE CHE:</w:t>
      </w:r>
    </w:p>
    <w:p w:rsidR="00A032C1" w:rsidRPr="000C56CC" w:rsidRDefault="00A032C1" w:rsidP="00A032C1">
      <w:pPr>
        <w:pStyle w:val="rtf1rtf1ListParagraph"/>
        <w:numPr>
          <w:ilvl w:val="0"/>
          <w:numId w:val="2"/>
        </w:numPr>
        <w:ind w:right="-7"/>
        <w:jc w:val="both"/>
        <w:rPr>
          <w:rFonts w:asciiTheme="minorHAnsi" w:hAnsiTheme="minorHAnsi" w:cs="Arial"/>
        </w:rPr>
      </w:pPr>
      <w:r w:rsidRPr="000C56CC">
        <w:rPr>
          <w:rFonts w:asciiTheme="minorHAnsi" w:hAnsiTheme="minorHAnsi" w:cs="Arial"/>
        </w:rPr>
        <w:t xml:space="preserve">il trasporto urbano, con veicoli a combustione interna, risulta, come evidenziano numerosi studi sul tema, tra le principali cause dell’inquinamento atmosferico, dell’aumento delle emissioni di gas serra e di altri numerosi impatti ambientali; </w:t>
      </w:r>
    </w:p>
    <w:p w:rsidR="00A032C1" w:rsidRPr="000C56CC" w:rsidRDefault="00A032C1" w:rsidP="00A032C1">
      <w:pPr>
        <w:pStyle w:val="rtf1rtf1ListParagraph"/>
        <w:numPr>
          <w:ilvl w:val="0"/>
          <w:numId w:val="2"/>
        </w:numPr>
        <w:ind w:right="-7"/>
        <w:jc w:val="both"/>
        <w:rPr>
          <w:rFonts w:asciiTheme="minorHAnsi" w:hAnsiTheme="minorHAnsi" w:cs="Arial"/>
        </w:rPr>
      </w:pPr>
      <w:r w:rsidRPr="000C56CC">
        <w:rPr>
          <w:rFonts w:asciiTheme="minorHAnsi" w:hAnsiTheme="minorHAnsi" w:cs="Arial"/>
        </w:rPr>
        <w:t>dall’aprile 2010, la Commissione europea ha inviato una comunicazione agli Stati membri sollecitando interventi di riduzione delle emissioni nocive nell’atmosfera e di ammodernamento dei sistemi stradali urbani ed extra-urbani, indicando tra gli obiettivi prioritari ed urgenti nell’ottica di tutelare la salute e l’ambiente, anche la realizzazione di reti infrastrutturali per la ricarica di veicoli elettrici sui territori nazionali;</w:t>
      </w:r>
    </w:p>
    <w:p w:rsidR="00A032C1" w:rsidRPr="000C56CC" w:rsidRDefault="00A032C1" w:rsidP="00A032C1">
      <w:pPr>
        <w:pStyle w:val="rtf1rtf1ListParagraph"/>
        <w:numPr>
          <w:ilvl w:val="0"/>
          <w:numId w:val="2"/>
        </w:numPr>
        <w:ind w:right="-7"/>
        <w:jc w:val="both"/>
        <w:rPr>
          <w:rFonts w:asciiTheme="minorHAnsi" w:hAnsiTheme="minorHAnsi" w:cs="Arial"/>
        </w:rPr>
      </w:pPr>
      <w:r w:rsidRPr="000C56CC">
        <w:rPr>
          <w:rFonts w:asciiTheme="minorHAnsi" w:hAnsiTheme="minorHAnsi" w:cs="Arial"/>
        </w:rPr>
        <w:t>lo Stato italiano ha emanato a tal proposito la Legge 7 agosto 2012, n.134 con la quale ha previsto, al Capo IV-bis, disposizioni finalizzate a favorire lo sviluppo della mobilità sostenibile, attraverso misure volte a favorire la realizzazione di reti infrastrutturali per la ricarica dei veicoli alimentati ad energia elettrica e la sperimentazione e la diffusione di flotte pubbliche e private di veicoli a basse emissioni complessive, con particolare riguardo al contesto urbano, nonché l’acquisto di veicoli a trazione elettrica o ibrida; -</w:t>
      </w:r>
    </w:p>
    <w:p w:rsidR="00A032C1" w:rsidRPr="000C56CC" w:rsidRDefault="00A032C1" w:rsidP="00A032C1">
      <w:pPr>
        <w:pStyle w:val="rtf1rtf1ListParagraph"/>
        <w:numPr>
          <w:ilvl w:val="0"/>
          <w:numId w:val="2"/>
        </w:numPr>
        <w:ind w:right="-7"/>
        <w:jc w:val="both"/>
        <w:rPr>
          <w:rFonts w:asciiTheme="minorHAnsi" w:hAnsiTheme="minorHAnsi" w:cs="Arial"/>
        </w:rPr>
      </w:pPr>
      <w:r w:rsidRPr="000C56CC">
        <w:rPr>
          <w:rFonts w:asciiTheme="minorHAnsi" w:hAnsiTheme="minorHAnsi" w:cs="Arial"/>
        </w:rPr>
        <w:t xml:space="preserve">con D.Lgs. 257/2016 è stata recepita dallo stato italiano la “Direttiva 2014/94/UE” del Parlamento e del Consiglio Europeo concernente un quadro comune di misure per la realizzazione di un’infrastruttura per i combustibili alternativi, la quale stabilisce altresì requisiti minimi per la costruzione di punti di ricarica per veicoli elettrici, nonché le specifiche tecniche comuni per tali punti di ricarica e di rifornimento, nonché i requisiti concernenti le informazioni agli utenti; </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 xml:space="preserve">CONSIDERATO che, in linea con quanto stabilito dalle linee guida Nazionali ed Europee, al fine di ridurre la dipendenza dal petrolio e contribuire alla riduzione dell’inquinamento atmosferico, il Comune di Guardiagrele intende incentivare lo sviluppo della mobilità elettrica, prevedendo la realizzazione di una rete di infrastrutture di ricarica per veicoli elettrici sul territorio; </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 xml:space="preserve">VISTO l’art. 57 del D.L. 16.07.2020 n. 76 “Misure urgenti per la semplificazione e l’innovazione digitale”, che detta disposizioni semplificative per la realizzazione di punti e stazioni di ricarica dei veicoli elettrici; </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RICORDATO CHE nel Documento Unico di Programmazione 2020-2022 , approvato con delibera di Consiglio Comunale n. 69 del 30/12/2019, alla Missione 17 - energia e fonti energetiche, è stato previsto, tra gli obiettivi strategici dell’Ente, la razionalizzazione delle reti energetiche del territorio, incentivazione dell’uso razionale dell’energia nonché  l’uso delle fonti rinnovabili, la promozione delle produzioni a minore impatto ambientale;</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ATTESO  che:</w:t>
      </w:r>
    </w:p>
    <w:p w:rsidR="00A032C1" w:rsidRPr="000C56CC" w:rsidRDefault="00A032C1" w:rsidP="00A032C1">
      <w:pPr>
        <w:pStyle w:val="rtf1ListParagraph"/>
        <w:numPr>
          <w:ilvl w:val="0"/>
          <w:numId w:val="3"/>
        </w:numPr>
        <w:ind w:right="-7"/>
        <w:jc w:val="both"/>
        <w:rPr>
          <w:rFonts w:asciiTheme="minorHAnsi" w:hAnsiTheme="minorHAnsi" w:cs="Arial"/>
        </w:rPr>
      </w:pPr>
      <w:r w:rsidRPr="000C56CC">
        <w:rPr>
          <w:rFonts w:asciiTheme="minorHAnsi" w:hAnsiTheme="minorHAnsi" w:cs="Arial"/>
        </w:rPr>
        <w:t xml:space="preserve">per il perseguimento delle  sopradette finalità,  si ritiene opportuno avviare una ricerca di mercato finalizzata all’individuazione di aziende e/o enti interessati all’installazione e gestione, a propria cura e spese, di strutture di ricarica di veicoli </w:t>
      </w:r>
      <w:r w:rsidRPr="000C56CC">
        <w:rPr>
          <w:rFonts w:asciiTheme="minorHAnsi" w:hAnsiTheme="minorHAnsi" w:cs="Arial"/>
        </w:rPr>
        <w:lastRenderedPageBreak/>
        <w:t>elettrici sul territorio comunale, in regime di non esclusività, previa concessione di spazi pubblici dedicati allo scopo;</w:t>
      </w:r>
    </w:p>
    <w:p w:rsidR="00A032C1" w:rsidRPr="000C56CC" w:rsidRDefault="00A032C1" w:rsidP="00A032C1">
      <w:pPr>
        <w:pStyle w:val="rtf1ListParagraph"/>
        <w:numPr>
          <w:ilvl w:val="0"/>
          <w:numId w:val="3"/>
        </w:numPr>
        <w:ind w:right="-7"/>
        <w:jc w:val="both"/>
        <w:rPr>
          <w:rFonts w:asciiTheme="minorHAnsi" w:hAnsiTheme="minorHAnsi" w:cs="Arial"/>
        </w:rPr>
      </w:pPr>
      <w:r w:rsidRPr="000C56CC">
        <w:rPr>
          <w:rFonts w:asciiTheme="minorHAnsi" w:hAnsiTheme="minorHAnsi" w:cs="Arial"/>
        </w:rPr>
        <w:t>con deliberazione 30/12/2020, n. 199  è stato fornito al Responsabile del Settore II l’indirizzo di procedere alla l’attivazione di una procedura di manifestazione di interesse finalizzata all’individuazione di aziende e/o enti interessati all’installazione e gestione, a propria cura e spese, di strutture di ricarica di veicoli elettrici sul territorio comunale;</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VISTO l’avviso pubblico all’uopo redatto;</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ind w:right="-7"/>
        <w:jc w:val="both"/>
        <w:rPr>
          <w:rFonts w:asciiTheme="minorHAnsi" w:eastAsiaTheme="minorEastAsia" w:hAnsiTheme="minorHAnsi" w:cs="Arial"/>
        </w:rPr>
      </w:pPr>
      <w:r w:rsidRPr="000C56CC">
        <w:rPr>
          <w:rFonts w:asciiTheme="minorHAnsi" w:eastAsiaTheme="minorEastAsia" w:hAnsiTheme="minorHAnsi" w:cs="Arial"/>
        </w:rPr>
        <w:t>PRECISATO che:</w:t>
      </w:r>
    </w:p>
    <w:p w:rsidR="00A032C1" w:rsidRPr="000C56CC" w:rsidRDefault="00A032C1" w:rsidP="00A032C1">
      <w:pPr>
        <w:pStyle w:val="rtf1ListParagraph"/>
        <w:numPr>
          <w:ilvl w:val="0"/>
          <w:numId w:val="5"/>
        </w:numPr>
        <w:ind w:right="-7"/>
        <w:jc w:val="both"/>
        <w:rPr>
          <w:rFonts w:asciiTheme="minorHAnsi" w:hAnsiTheme="minorHAnsi" w:cs="Arial"/>
        </w:rPr>
      </w:pPr>
      <w:r w:rsidRPr="000C56CC">
        <w:rPr>
          <w:rFonts w:asciiTheme="minorHAnsi" w:hAnsiTheme="minorHAnsi" w:cs="Arial"/>
        </w:rPr>
        <w:t>con l’approvando  avviso pubblico si rende nota la volontà di individuare operatori economici che abbiano interesse, a propria cura e spese, a fornire, installare, manutenere e gestire colonnine per la ricarica dei veicoli elettrici;</w:t>
      </w:r>
    </w:p>
    <w:p w:rsidR="00A032C1" w:rsidRPr="000C56CC" w:rsidRDefault="00A032C1" w:rsidP="00A032C1">
      <w:pPr>
        <w:pStyle w:val="rtf1ListParagraph"/>
        <w:numPr>
          <w:ilvl w:val="0"/>
          <w:numId w:val="5"/>
        </w:numPr>
        <w:ind w:right="-7"/>
        <w:jc w:val="both"/>
        <w:rPr>
          <w:rFonts w:asciiTheme="minorHAnsi" w:hAnsiTheme="minorHAnsi" w:cs="Arial"/>
        </w:rPr>
      </w:pPr>
      <w:r w:rsidRPr="000C56CC">
        <w:rPr>
          <w:rFonts w:asciiTheme="minorHAnsi" w:hAnsiTheme="minorHAnsi" w:cs="Arial"/>
        </w:rPr>
        <w:t>l’avviso ha ad oggetto la concessione di suolo pubblico a operatore che svolge attività economica in completa autonomia pertanto tale concessione è da ritenersi esclusa dall’applicazione del D. Lgs 50/2016, ai sensi dell’articolo 164 dello medesimo decreto;</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pStyle w:val="rtf1ListParagraph"/>
        <w:numPr>
          <w:ilvl w:val="0"/>
          <w:numId w:val="5"/>
        </w:numPr>
        <w:ind w:right="-7"/>
        <w:jc w:val="both"/>
        <w:rPr>
          <w:rFonts w:asciiTheme="minorHAnsi" w:hAnsiTheme="minorHAnsi" w:cs="Arial"/>
        </w:rPr>
      </w:pPr>
      <w:r w:rsidRPr="000C56CC">
        <w:rPr>
          <w:rFonts w:asciiTheme="minorHAnsi" w:hAnsiTheme="minorHAnsi" w:cs="Arial"/>
        </w:rPr>
        <w:t>l’ubicazione delle colonnine dovrà attenersi alle indicazioni fornite con la citata deliberazione GC 199/2020;</w:t>
      </w:r>
    </w:p>
    <w:p w:rsidR="00A032C1" w:rsidRPr="000C56CC" w:rsidRDefault="00A032C1" w:rsidP="00A032C1">
      <w:pPr>
        <w:ind w:right="-7"/>
        <w:jc w:val="both"/>
        <w:rPr>
          <w:rFonts w:asciiTheme="minorHAnsi" w:eastAsiaTheme="minorEastAsia" w:hAnsiTheme="minorHAnsi" w:cs="Arial"/>
        </w:rPr>
      </w:pPr>
    </w:p>
    <w:p w:rsidR="00A032C1" w:rsidRPr="000C56CC" w:rsidRDefault="00A032C1" w:rsidP="00A032C1">
      <w:pPr>
        <w:pStyle w:val="rtf1ListParagraph"/>
        <w:numPr>
          <w:ilvl w:val="0"/>
          <w:numId w:val="5"/>
        </w:numPr>
        <w:ind w:right="-7"/>
        <w:jc w:val="both"/>
        <w:rPr>
          <w:rFonts w:asciiTheme="minorHAnsi" w:hAnsiTheme="minorHAnsi" w:cs="Arial"/>
        </w:rPr>
      </w:pPr>
      <w:r w:rsidRPr="000C56CC">
        <w:rPr>
          <w:rFonts w:asciiTheme="minorHAnsi" w:hAnsiTheme="minorHAnsi" w:cs="Arial"/>
        </w:rPr>
        <w:t>il suolo pubblico che verrà concesso per l’installazione delle colonnine è della dimensione massima di 1 mq per cadauna installazione, unitamente allo spazio anti detto l’Amministrazione concede in uso n.2 stalli (due stalli per ogni centralina) necessari alla sosta delle auto in ricarica;</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il concessionario è esonerato dalla corresponsione del canone annuo previsto dalla disciplina C.O.S.A.P. per l’occupazione permanente delle aree;</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il concessionario nella realizzazione dell’infrastruttura dovrà rispettare quanto previsto dalla L.134/2012 e s.m.i. “Piano nazionale infrastrutturale per la ricarica dei veicoli alimentati ad energia elettrica”, in particolare con riferimento alle prese e ai metodi di ricarica;</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la durata della concessione di suolo e stalli sarà di minimo 12 anni, fatte salve eventuali proroghe;</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 xml:space="preserve">il concessionario dovrà </w:t>
      </w:r>
      <w:r w:rsidR="000C56CC">
        <w:rPr>
          <w:rFonts w:asciiTheme="minorHAnsi" w:hAnsiTheme="minorHAnsi" w:cs="Arial"/>
          <w:color w:val="000000"/>
        </w:rPr>
        <w:t>dotarsi di</w:t>
      </w:r>
      <w:r w:rsidRPr="000C56CC">
        <w:rPr>
          <w:rFonts w:asciiTheme="minorHAnsi" w:hAnsiTheme="minorHAnsi" w:cs="Arial"/>
          <w:color w:val="000000"/>
        </w:rPr>
        <w:t xml:space="preserve"> idonea polizza assicurativa, in particolare sarà obbligato, contestualmente alla sottoscrizione dell</w:t>
      </w:r>
      <w:r w:rsidR="000C56CC">
        <w:rPr>
          <w:rFonts w:asciiTheme="minorHAnsi" w:hAnsiTheme="minorHAnsi" w:cs="Arial"/>
          <w:color w:val="000000"/>
        </w:rPr>
        <w:t xml:space="preserve">’atto di </w:t>
      </w:r>
      <w:r w:rsidRPr="000C56CC">
        <w:rPr>
          <w:rFonts w:asciiTheme="minorHAnsi" w:hAnsiTheme="minorHAnsi" w:cs="Arial"/>
          <w:color w:val="000000"/>
        </w:rPr>
        <w:t>concessione</w:t>
      </w:r>
      <w:r w:rsidR="000C56CC">
        <w:rPr>
          <w:rFonts w:asciiTheme="minorHAnsi" w:hAnsiTheme="minorHAnsi" w:cs="Arial"/>
          <w:color w:val="000000"/>
        </w:rPr>
        <w:t xml:space="preserve"> del suolo</w:t>
      </w:r>
      <w:r w:rsidRPr="000C56CC">
        <w:rPr>
          <w:rFonts w:asciiTheme="minorHAnsi" w:hAnsiTheme="minorHAnsi" w:cs="Arial"/>
          <w:color w:val="000000"/>
        </w:rPr>
        <w:t xml:space="preserve">, a produrre polizza assicurativa che tenga indenne il Comune, da tutti i rischi di installazione e che preveda adeguata garanzia di responsabilità civile per danni causati a terzi durante il periodo di concessione del suolo pubblico. </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la polizza assicurativa dovrà essere prestata da una società di assicurazione autorizzata alla copertura dei rischi ai quali si riferisce l’obbligo di assicurazione.</w:t>
      </w:r>
    </w:p>
    <w:p w:rsidR="00A032C1" w:rsidRPr="000C56CC" w:rsidRDefault="00A032C1" w:rsidP="00A032C1">
      <w:pPr>
        <w:pStyle w:val="rtf1ListParagraph"/>
        <w:numPr>
          <w:ilvl w:val="0"/>
          <w:numId w:val="4"/>
        </w:numPr>
        <w:ind w:left="1068" w:right="-7"/>
        <w:jc w:val="both"/>
        <w:rPr>
          <w:rFonts w:asciiTheme="minorHAnsi" w:hAnsiTheme="minorHAnsi" w:cs="Arial"/>
          <w:color w:val="000000"/>
        </w:rPr>
      </w:pPr>
      <w:r w:rsidRPr="000C56CC">
        <w:rPr>
          <w:rFonts w:asciiTheme="minorHAnsi" w:hAnsiTheme="minorHAnsi" w:cs="Arial"/>
          <w:color w:val="000000"/>
        </w:rPr>
        <w:t xml:space="preserve">La garanzia assicurativa contro tutti i rischi di installazione deve coprire tutti i danni subiti dal Comune di Guardiagrele a causa del danneggiamento o della </w:t>
      </w:r>
      <w:r w:rsidRPr="000C56CC">
        <w:rPr>
          <w:rFonts w:asciiTheme="minorHAnsi" w:hAnsiTheme="minorHAnsi" w:cs="Arial"/>
          <w:color w:val="000000"/>
        </w:rPr>
        <w:lastRenderedPageBreak/>
        <w:t>distruzione totale o parziale di impianti ed opere, anche preesistenti, salvo quelli derivanti da azioni di terzi o cause di forza maggiore; tale polizza deve prevedere una somma assicurata pari a € 50.000,00</w:t>
      </w:r>
    </w:p>
    <w:p w:rsidR="00A032C1" w:rsidRPr="000C56CC" w:rsidRDefault="00A032C1" w:rsidP="00A032C1">
      <w:pPr>
        <w:pStyle w:val="rtf1ListParagraph"/>
        <w:numPr>
          <w:ilvl w:val="0"/>
          <w:numId w:val="4"/>
        </w:numPr>
        <w:ind w:left="1068" w:right="-7"/>
        <w:jc w:val="both"/>
        <w:rPr>
          <w:rFonts w:asciiTheme="minorHAnsi" w:hAnsiTheme="minorHAnsi" w:cs="Arial"/>
          <w:color w:val="000000"/>
        </w:rPr>
      </w:pPr>
      <w:r w:rsidRPr="000C56CC">
        <w:rPr>
          <w:rFonts w:asciiTheme="minorHAnsi" w:hAnsiTheme="minorHAnsi" w:cs="Arial"/>
          <w:color w:val="000000"/>
        </w:rPr>
        <w:t>La garanzia assicurativa di responsabilità civile per danni causati a terzi (R.C.T.) deve essere stipulata per una somma assicurata (massimale/sinistro) non inferiore ad € 500.000,00;</w:t>
      </w:r>
    </w:p>
    <w:p w:rsidR="00A032C1" w:rsidRPr="000C56CC" w:rsidRDefault="00A032C1" w:rsidP="00A032C1">
      <w:pPr>
        <w:widowControl w:val="0"/>
        <w:autoSpaceDE w:val="0"/>
        <w:autoSpaceDN w:val="0"/>
        <w:adjustRightInd w:val="0"/>
        <w:ind w:left="348"/>
        <w:jc w:val="both"/>
        <w:rPr>
          <w:rFonts w:asciiTheme="minorHAnsi" w:eastAsiaTheme="minorEastAsia" w:hAnsiTheme="minorHAnsi" w:cs="Arial"/>
        </w:rPr>
      </w:pPr>
    </w:p>
    <w:p w:rsidR="00A032C1" w:rsidRPr="000C56CC" w:rsidRDefault="00A032C1" w:rsidP="00A032C1">
      <w:pPr>
        <w:widowControl w:val="0"/>
        <w:autoSpaceDE w:val="0"/>
        <w:autoSpaceDN w:val="0"/>
        <w:adjustRightInd w:val="0"/>
        <w:jc w:val="both"/>
        <w:rPr>
          <w:rFonts w:asciiTheme="minorHAnsi" w:eastAsiaTheme="minorEastAsia" w:hAnsiTheme="minorHAnsi" w:cs="Arial"/>
          <w:color w:val="000000"/>
        </w:rPr>
      </w:pPr>
      <w:r w:rsidRPr="000C56CC">
        <w:rPr>
          <w:rFonts w:asciiTheme="minorHAnsi" w:eastAsiaTheme="minorEastAsia" w:hAnsiTheme="minorHAnsi" w:cs="Arial"/>
        </w:rPr>
        <w:t xml:space="preserve">TENUTO PRESENTE che per le finalità sopraesposte </w:t>
      </w:r>
      <w:r w:rsidRPr="000C56CC">
        <w:rPr>
          <w:rFonts w:asciiTheme="minorHAnsi" w:eastAsiaTheme="minorEastAsia" w:hAnsiTheme="minorHAnsi" w:cs="Arial"/>
          <w:color w:val="000000"/>
        </w:rPr>
        <w:t>risultano concedibili le seguenti aree:</w:t>
      </w: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Via Discesa del Torrione  - Secondo Parcheggio</w:t>
      </w: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 xml:space="preserve">Loc. Bocca Di Valle </w:t>
      </w:r>
    </w:p>
    <w:p w:rsidR="00A032C1" w:rsidRPr="000C56CC" w:rsidRDefault="00A032C1" w:rsidP="00A032C1">
      <w:pPr>
        <w:pStyle w:val="rtf1ListParagraph"/>
        <w:numPr>
          <w:ilvl w:val="0"/>
          <w:numId w:val="5"/>
        </w:numPr>
        <w:ind w:right="-7"/>
        <w:jc w:val="both"/>
        <w:rPr>
          <w:rFonts w:asciiTheme="minorHAnsi" w:hAnsiTheme="minorHAnsi" w:cs="Arial"/>
          <w:color w:val="000000"/>
        </w:rPr>
      </w:pPr>
      <w:r w:rsidRPr="000C56CC">
        <w:rPr>
          <w:rFonts w:asciiTheme="minorHAnsi" w:hAnsiTheme="minorHAnsi" w:cs="Arial"/>
          <w:color w:val="000000"/>
        </w:rPr>
        <w:t>Loc.Villa San Vincenzo</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ind w:right="-7"/>
        <w:jc w:val="both"/>
        <w:rPr>
          <w:rFonts w:asciiTheme="minorHAnsi" w:eastAsiaTheme="minorEastAsia" w:hAnsiTheme="minorHAnsi" w:cs="Arial"/>
          <w:color w:val="000000"/>
        </w:rPr>
      </w:pPr>
      <w:r w:rsidRPr="000C56CC">
        <w:rPr>
          <w:rFonts w:asciiTheme="minorHAnsi" w:eastAsiaTheme="minorEastAsia" w:hAnsiTheme="minorHAnsi" w:cs="Arial"/>
          <w:color w:val="000000"/>
        </w:rPr>
        <w:t>RITENUTO di dover procedere all’ dell’Avviso e dei relativi allegati, costituenti parte integrante e sostanziale del presente provvedimento;</w:t>
      </w:r>
    </w:p>
    <w:p w:rsidR="00A032C1" w:rsidRPr="000C56CC" w:rsidRDefault="00A032C1" w:rsidP="00A032C1">
      <w:pPr>
        <w:ind w:right="-7"/>
        <w:jc w:val="both"/>
        <w:rPr>
          <w:rFonts w:asciiTheme="minorHAnsi" w:eastAsiaTheme="minorEastAsia" w:hAnsiTheme="minorHAnsi" w:cs="Arial"/>
          <w:color w:val="000000"/>
        </w:rPr>
      </w:pPr>
    </w:p>
    <w:p w:rsidR="00A032C1" w:rsidRPr="000C56CC" w:rsidRDefault="00A032C1" w:rsidP="00A032C1">
      <w:pPr>
        <w:adjustRightInd w:val="0"/>
        <w:jc w:val="both"/>
        <w:rPr>
          <w:rFonts w:asciiTheme="minorHAnsi" w:eastAsiaTheme="minorEastAsia" w:hAnsiTheme="minorHAnsi" w:cs="Arial"/>
        </w:rPr>
      </w:pPr>
      <w:r w:rsidRPr="000C56CC">
        <w:rPr>
          <w:rFonts w:asciiTheme="minorHAnsi" w:eastAsiaTheme="minorEastAsia" w:hAnsiTheme="minorHAnsi" w:cs="Arial"/>
        </w:rPr>
        <w:t>DATO ATTO che Responsabile Unico del Procedimento ai sensi dell’art. 31 del D.Lgs. 50/2016 è l’arch. Adalgisa Vinciguerra;</w:t>
      </w:r>
    </w:p>
    <w:p w:rsidR="00A032C1" w:rsidRPr="000C56CC" w:rsidRDefault="00A032C1" w:rsidP="00A032C1">
      <w:pPr>
        <w:adjustRightInd w:val="0"/>
        <w:jc w:val="both"/>
        <w:rPr>
          <w:rFonts w:asciiTheme="minorHAnsi" w:eastAsiaTheme="minorEastAsia" w:hAnsiTheme="minorHAnsi" w:cs="Arial"/>
        </w:rPr>
      </w:pPr>
    </w:p>
    <w:p w:rsidR="00A032C1" w:rsidRPr="000C56CC" w:rsidRDefault="0040753F" w:rsidP="0040753F">
      <w:pPr>
        <w:ind w:left="284" w:hanging="284"/>
        <w:jc w:val="both"/>
        <w:rPr>
          <w:rFonts w:asciiTheme="minorHAnsi" w:eastAsiaTheme="minorEastAsia" w:hAnsiTheme="minorHAnsi" w:cs="Arial"/>
        </w:rPr>
      </w:pPr>
      <w:r>
        <w:rPr>
          <w:rFonts w:asciiTheme="minorHAnsi" w:eastAsiaTheme="minorEastAsia" w:hAnsiTheme="minorHAnsi" w:cs="Arial"/>
        </w:rPr>
        <w:t xml:space="preserve">VISTO </w:t>
      </w:r>
      <w:r w:rsidR="00A032C1" w:rsidRPr="000C56CC">
        <w:rPr>
          <w:rFonts w:asciiTheme="minorHAnsi" w:eastAsiaTheme="minorEastAsia" w:hAnsiTheme="minorHAnsi" w:cs="Arial"/>
        </w:rPr>
        <w:t>l’art. 107, comma 3, del D.Lgs. 267/2000 disciplinante le competenze dei dirigenti e dei responsabili di servizio;</w:t>
      </w:r>
    </w:p>
    <w:p w:rsidR="00A032C1" w:rsidRPr="000C56CC" w:rsidRDefault="00A032C1" w:rsidP="00A032C1">
      <w:pPr>
        <w:jc w:val="both"/>
        <w:rPr>
          <w:rFonts w:asciiTheme="minorHAnsi" w:eastAsiaTheme="minorEastAsia" w:hAnsiTheme="minorHAnsi" w:cs="Arial"/>
        </w:rPr>
      </w:pPr>
    </w:p>
    <w:p w:rsidR="00A032C1" w:rsidRPr="000C56CC" w:rsidRDefault="00A032C1" w:rsidP="00A032C1">
      <w:pPr>
        <w:jc w:val="both"/>
        <w:rPr>
          <w:rFonts w:asciiTheme="minorHAnsi" w:eastAsiaTheme="minorEastAsia" w:hAnsiTheme="minorHAnsi" w:cs="Arial"/>
        </w:rPr>
      </w:pPr>
      <w:r w:rsidRPr="000C56CC">
        <w:rPr>
          <w:rFonts w:asciiTheme="minorHAnsi" w:eastAsiaTheme="minorEastAsia" w:hAnsiTheme="minorHAnsi" w:cs="Arial"/>
        </w:rPr>
        <w:t>Dato atto che il controllo di regolarità amministrativa e contabile, di cui agli articoli 49 e 147/bis del D.Lgs. 18.08.2000, n. 267, è esercitato con la sottoscrizione del presente atto e con l’apposizione dei relativi pareri da parte dei soggetti a ciò deputati;</w:t>
      </w:r>
    </w:p>
    <w:p w:rsidR="00A032C1" w:rsidRPr="000C56CC" w:rsidRDefault="00A032C1" w:rsidP="00A032C1">
      <w:pPr>
        <w:kinsoku w:val="0"/>
        <w:overflowPunct w:val="0"/>
        <w:autoSpaceDE w:val="0"/>
        <w:autoSpaceDN w:val="0"/>
        <w:adjustRightInd w:val="0"/>
        <w:jc w:val="both"/>
        <w:rPr>
          <w:rFonts w:asciiTheme="minorHAnsi" w:eastAsiaTheme="minorEastAsia" w:hAnsiTheme="minorHAnsi" w:cs="Arial"/>
        </w:rPr>
      </w:pPr>
    </w:p>
    <w:p w:rsidR="00A032C1" w:rsidRPr="000C56CC" w:rsidRDefault="00A032C1" w:rsidP="00A032C1">
      <w:pPr>
        <w:jc w:val="both"/>
        <w:rPr>
          <w:rFonts w:asciiTheme="minorHAnsi" w:eastAsiaTheme="minorEastAsia" w:hAnsiTheme="minorHAnsi" w:cs="Arial"/>
          <w:lang w:bidi="he-IL"/>
        </w:rPr>
      </w:pPr>
      <w:r w:rsidRPr="000C56CC">
        <w:rPr>
          <w:rFonts w:asciiTheme="minorHAnsi" w:eastAsiaTheme="minorEastAsia" w:hAnsiTheme="minorHAnsi" w:cs="Arial"/>
          <w:lang w:bidi="he-IL"/>
        </w:rPr>
        <w:t>RITENUTO di poter procedere all’approvazione degli atti della procedura;</w:t>
      </w:r>
    </w:p>
    <w:p w:rsidR="00A032C1" w:rsidRPr="000C56CC" w:rsidRDefault="00A032C1" w:rsidP="00A032C1">
      <w:pPr>
        <w:jc w:val="both"/>
        <w:rPr>
          <w:rFonts w:asciiTheme="minorHAnsi" w:eastAsiaTheme="minorEastAsia" w:hAnsiTheme="minorHAnsi" w:cs="Arial"/>
          <w:lang w:bidi="he-IL"/>
        </w:rPr>
      </w:pPr>
    </w:p>
    <w:p w:rsidR="00A032C1" w:rsidRPr="000C56CC" w:rsidRDefault="00A032C1" w:rsidP="00A032C1">
      <w:pPr>
        <w:ind w:right="-7"/>
        <w:jc w:val="center"/>
        <w:rPr>
          <w:rFonts w:asciiTheme="minorHAnsi" w:eastAsiaTheme="minorEastAsia" w:hAnsiTheme="minorHAnsi" w:cs="Arial"/>
          <w:color w:val="000000"/>
        </w:rPr>
      </w:pPr>
      <w:r w:rsidRPr="000C56CC">
        <w:rPr>
          <w:rFonts w:asciiTheme="minorHAnsi" w:eastAsiaTheme="minorEastAsia" w:hAnsiTheme="minorHAnsi" w:cs="Arial"/>
          <w:color w:val="000000"/>
        </w:rPr>
        <w:t>DETERMINA</w:t>
      </w:r>
    </w:p>
    <w:p w:rsidR="00A032C1" w:rsidRPr="000C56CC" w:rsidRDefault="00A032C1" w:rsidP="00A032C1">
      <w:pPr>
        <w:ind w:right="-7"/>
        <w:jc w:val="center"/>
        <w:rPr>
          <w:rFonts w:asciiTheme="minorHAnsi" w:eastAsiaTheme="minorEastAsia" w:hAnsiTheme="minorHAnsi" w:cs="Arial"/>
          <w:color w:val="000000"/>
        </w:rPr>
      </w:pPr>
    </w:p>
    <w:p w:rsidR="00A032C1" w:rsidRPr="000C56CC" w:rsidRDefault="00A032C1" w:rsidP="00A032C1">
      <w:pPr>
        <w:pStyle w:val="rtf1ListParagraph"/>
        <w:numPr>
          <w:ilvl w:val="0"/>
          <w:numId w:val="7"/>
        </w:numPr>
        <w:ind w:right="-7"/>
        <w:jc w:val="both"/>
        <w:rPr>
          <w:rFonts w:asciiTheme="minorHAnsi" w:hAnsiTheme="minorHAnsi" w:cs="Arial"/>
          <w:lang w:bidi="he-IL"/>
        </w:rPr>
      </w:pPr>
      <w:r w:rsidRPr="000C56CC">
        <w:rPr>
          <w:rFonts w:asciiTheme="minorHAnsi" w:hAnsiTheme="minorHAnsi" w:cs="Arial"/>
          <w:lang w:bidi="he-IL"/>
        </w:rPr>
        <w:t>di avviare una ricerca di mercato finalizzata all’individuazione di aziende e/o enti interessati all’installazione e gestione, a propria cura e spese, di strutture di ricarica di veicoli elettrici sul territorio comunale, in regime di non esclusività, previa concessione di spazi pubblici dedicati allo scopo;</w:t>
      </w:r>
    </w:p>
    <w:p w:rsidR="00A032C1" w:rsidRPr="000C56CC" w:rsidRDefault="00A032C1" w:rsidP="00A032C1">
      <w:pPr>
        <w:pStyle w:val="rtf1ListParagraph"/>
        <w:ind w:right="-7"/>
        <w:jc w:val="both"/>
        <w:rPr>
          <w:rFonts w:asciiTheme="minorHAnsi" w:hAnsiTheme="minorHAnsi" w:cs="Arial"/>
          <w:lang w:bidi="he-IL"/>
        </w:rPr>
      </w:pPr>
    </w:p>
    <w:p w:rsidR="00A032C1" w:rsidRPr="000C56CC" w:rsidRDefault="00A032C1" w:rsidP="00A032C1">
      <w:pPr>
        <w:pStyle w:val="rtf1ListParagraph"/>
        <w:numPr>
          <w:ilvl w:val="0"/>
          <w:numId w:val="7"/>
        </w:numPr>
        <w:ind w:right="-7"/>
        <w:jc w:val="both"/>
        <w:rPr>
          <w:rFonts w:asciiTheme="minorHAnsi" w:hAnsiTheme="minorHAnsi" w:cs="Arial"/>
          <w:lang w:bidi="he-IL"/>
        </w:rPr>
      </w:pPr>
      <w:r w:rsidRPr="000C56CC">
        <w:rPr>
          <w:rFonts w:asciiTheme="minorHAnsi" w:hAnsiTheme="minorHAnsi" w:cs="Arial"/>
          <w:lang w:bidi="he-IL"/>
        </w:rPr>
        <w:t>di dare atto che Il concessionario è esonerato dalla corresponsione del canone annuo previsto dalla disciplina C.O.S.A.P. per l’occupazione permanente delle aree;</w:t>
      </w:r>
    </w:p>
    <w:p w:rsidR="00A032C1" w:rsidRPr="000C56CC" w:rsidRDefault="00A032C1" w:rsidP="00A032C1">
      <w:pPr>
        <w:ind w:right="-7"/>
        <w:jc w:val="both"/>
        <w:rPr>
          <w:rFonts w:asciiTheme="minorHAnsi" w:eastAsiaTheme="minorEastAsia" w:hAnsiTheme="minorHAnsi" w:cs="Arial"/>
          <w:lang w:bidi="he-IL"/>
        </w:rPr>
      </w:pPr>
    </w:p>
    <w:p w:rsidR="00A032C1" w:rsidRPr="000C56CC" w:rsidRDefault="00A032C1" w:rsidP="00A032C1">
      <w:pPr>
        <w:pStyle w:val="rtf1ListParagraph"/>
        <w:numPr>
          <w:ilvl w:val="0"/>
          <w:numId w:val="7"/>
        </w:numPr>
        <w:ind w:right="-7"/>
        <w:jc w:val="both"/>
        <w:rPr>
          <w:rFonts w:asciiTheme="minorHAnsi" w:hAnsiTheme="minorHAnsi" w:cs="Arial"/>
          <w:lang w:bidi="he-IL"/>
        </w:rPr>
      </w:pPr>
      <w:r w:rsidRPr="000C56CC">
        <w:rPr>
          <w:rFonts w:asciiTheme="minorHAnsi" w:hAnsiTheme="minorHAnsi" w:cs="Arial"/>
          <w:lang w:bidi="he-IL"/>
        </w:rPr>
        <w:t>di  approvare l'Avviso pubblico per la manifestazione di interesse unitamente ai documenti della procedura, allegati al presente atto</w:t>
      </w:r>
      <w:r w:rsidR="0040753F">
        <w:rPr>
          <w:rFonts w:asciiTheme="minorHAnsi" w:hAnsiTheme="minorHAnsi" w:cs="Arial"/>
          <w:lang w:bidi="he-IL"/>
        </w:rPr>
        <w:t xml:space="preserve"> e  costituenti </w:t>
      </w:r>
      <w:r w:rsidRPr="000C56CC">
        <w:rPr>
          <w:rFonts w:asciiTheme="minorHAnsi" w:hAnsiTheme="minorHAnsi" w:cs="Arial"/>
          <w:lang w:bidi="he-IL"/>
        </w:rPr>
        <w:t>parte  integrante e sostanziale</w:t>
      </w:r>
      <w:r w:rsidR="0040753F">
        <w:rPr>
          <w:rFonts w:asciiTheme="minorHAnsi" w:hAnsiTheme="minorHAnsi" w:cs="Arial"/>
          <w:lang w:bidi="he-IL"/>
        </w:rPr>
        <w:t xml:space="preserve"> di esso</w:t>
      </w:r>
      <w:r w:rsidRPr="000C56CC">
        <w:rPr>
          <w:rFonts w:asciiTheme="minorHAnsi" w:hAnsiTheme="minorHAnsi" w:cs="Arial"/>
          <w:lang w:bidi="he-IL"/>
        </w:rPr>
        <w:t>;</w:t>
      </w:r>
    </w:p>
    <w:p w:rsidR="00A032C1" w:rsidRPr="000C56CC" w:rsidRDefault="00A032C1" w:rsidP="00A032C1">
      <w:pPr>
        <w:ind w:right="-7"/>
        <w:jc w:val="both"/>
        <w:rPr>
          <w:rFonts w:asciiTheme="minorHAnsi" w:eastAsiaTheme="minorEastAsia" w:hAnsiTheme="minorHAnsi" w:cs="Arial"/>
          <w:lang w:bidi="he-IL"/>
        </w:rPr>
      </w:pPr>
    </w:p>
    <w:p w:rsidR="00A032C1" w:rsidRPr="000C56CC" w:rsidRDefault="00A032C1" w:rsidP="00A032C1">
      <w:pPr>
        <w:pStyle w:val="rtf1ListParagraph"/>
        <w:numPr>
          <w:ilvl w:val="0"/>
          <w:numId w:val="7"/>
        </w:numPr>
        <w:ind w:right="-7"/>
        <w:jc w:val="both"/>
        <w:rPr>
          <w:rFonts w:asciiTheme="minorHAnsi" w:hAnsiTheme="minorHAnsi" w:cs="Arial"/>
          <w:lang w:bidi="he-IL"/>
        </w:rPr>
      </w:pPr>
      <w:r w:rsidRPr="000C56CC">
        <w:rPr>
          <w:rFonts w:asciiTheme="minorHAnsi" w:hAnsiTheme="minorHAnsi" w:cs="Arial"/>
          <w:lang w:bidi="he-IL"/>
        </w:rPr>
        <w:t xml:space="preserve">di dare atto che l'Avviso per la manifestazione d'interesse sarà pubblicato per 15 giorni a far data dal giorno successivo della pubblicazione stessa sul profilo del committente sito internet e sull’Albo Pretorio online del Comune di Guardiagrele; </w:t>
      </w:r>
    </w:p>
    <w:p w:rsidR="00A032C1" w:rsidRPr="000C56CC" w:rsidRDefault="00A032C1" w:rsidP="00A032C1">
      <w:pPr>
        <w:ind w:right="-7"/>
        <w:jc w:val="both"/>
        <w:rPr>
          <w:rFonts w:asciiTheme="minorHAnsi" w:eastAsiaTheme="minorEastAsia" w:hAnsiTheme="minorHAnsi" w:cs="Arial"/>
          <w:lang w:bidi="he-IL"/>
        </w:rPr>
      </w:pPr>
    </w:p>
    <w:p w:rsidR="00A032C1" w:rsidRPr="000C56CC" w:rsidRDefault="00A032C1" w:rsidP="00A032C1">
      <w:pPr>
        <w:pStyle w:val="rtf1ListParagraph"/>
        <w:numPr>
          <w:ilvl w:val="0"/>
          <w:numId w:val="7"/>
        </w:numPr>
        <w:ind w:right="-7"/>
        <w:jc w:val="both"/>
        <w:rPr>
          <w:rFonts w:asciiTheme="minorHAnsi" w:hAnsiTheme="minorHAnsi" w:cs="Arial"/>
          <w:lang w:bidi="he-IL"/>
        </w:rPr>
      </w:pPr>
      <w:r w:rsidRPr="000C56CC">
        <w:rPr>
          <w:rFonts w:asciiTheme="minorHAnsi" w:hAnsiTheme="minorHAnsi" w:cs="Arial"/>
          <w:lang w:bidi="he-IL"/>
        </w:rPr>
        <w:t xml:space="preserve">di dare atto che il presente provvedimento è rilevante ai fini della pubblicazione nella sezione “Amministrazione trasparente” del sito internet dell’ente, ai sensi del D.Lgs. 14/3/2013, n. 33; </w:t>
      </w:r>
    </w:p>
    <w:p w:rsidR="005D4155" w:rsidRPr="000C56CC" w:rsidRDefault="005D4155" w:rsidP="00A032C1">
      <w:pPr>
        <w:rPr>
          <w:rFonts w:asciiTheme="minorHAnsi" w:eastAsiaTheme="minorEastAsia" w:hAnsiTheme="minorHAnsi"/>
        </w:rPr>
      </w:pPr>
    </w:p>
    <w:p w:rsidR="00C879BE" w:rsidRDefault="00C879BE" w:rsidP="004D60A8">
      <w:pPr>
        <w:widowControl w:val="0"/>
        <w:autoSpaceDE w:val="0"/>
        <w:autoSpaceDN w:val="0"/>
        <w:adjustRightInd w:val="0"/>
        <w:jc w:val="both"/>
        <w:rPr>
          <w:rFonts w:ascii="Arial" w:hAnsi="Arial" w:cs="Arial"/>
        </w:rPr>
      </w:pPr>
      <w:r>
        <w:rPr>
          <w:rFonts w:ascii="Arial" w:hAnsi="Arial" w:cs="Arial"/>
        </w:rPr>
        <w:lastRenderedPageBreak/>
        <w:t xml:space="preserve">La sottoscrizione del presente atto assicura, ai sensi dell’art.147bis TUEL 267/2000 ed art.10 regolamento sui controlli interni, il controllo preventivo di regolarità amministrativa e assume valore di attestazione di legittimità regolarità e correttezza dell’azione amministrativa </w:t>
      </w:r>
    </w:p>
    <w:p w:rsidR="004D60A8" w:rsidRDefault="004D60A8" w:rsidP="004D60A8">
      <w:pPr>
        <w:widowControl w:val="0"/>
        <w:autoSpaceDE w:val="0"/>
        <w:autoSpaceDN w:val="0"/>
        <w:adjustRightInd w:val="0"/>
        <w:rPr>
          <w:rFonts w:ascii="Arial" w:hAnsi="Arial" w:cs="Arial"/>
        </w:rPr>
      </w:pPr>
    </w:p>
    <w:p w:rsidR="00C879BE" w:rsidRDefault="00C879BE">
      <w:pPr>
        <w:widowControl w:val="0"/>
        <w:autoSpaceDE w:val="0"/>
        <w:autoSpaceDN w:val="0"/>
        <w:adjustRightInd w:val="0"/>
        <w:rPr>
          <w:rFonts w:ascii="Arial" w:hAnsi="Arial" w:cs="Arial"/>
        </w:rPr>
      </w:pPr>
    </w:p>
    <w:p w:rsidR="00C879BE" w:rsidRDefault="00C879BE">
      <w:pPr>
        <w:widowControl w:val="0"/>
        <w:autoSpaceDE w:val="0"/>
        <w:autoSpaceDN w:val="0"/>
        <w:adjustRightInd w:val="0"/>
        <w:rPr>
          <w:rFonts w:ascii="Arial" w:hAnsi="Arial" w:cs="Arial"/>
        </w:rPr>
      </w:pPr>
    </w:p>
    <w:p w:rsidR="00C879BE" w:rsidRDefault="00C879BE">
      <w:pPr>
        <w:widowControl w:val="0"/>
        <w:autoSpaceDE w:val="0"/>
        <w:autoSpaceDN w:val="0"/>
        <w:adjustRightInd w:val="0"/>
        <w:rPr>
          <w:rFonts w:ascii="Arial" w:hAnsi="Arial" w:cs="Arial"/>
        </w:rPr>
      </w:pPr>
      <w:r>
        <w:rPr>
          <w:rFonts w:ascii="Arial" w:hAnsi="Arial" w:cs="Arial"/>
        </w:rPr>
        <w:t xml:space="preserve">Guardiagrele, lì </w:t>
      </w:r>
      <w:r>
        <w:rPr>
          <w:sz w:val="22"/>
          <w:szCs w:val="22"/>
        </w:rPr>
        <w:t>26-01-21</w:t>
      </w:r>
    </w:p>
    <w:p w:rsidR="00C879BE" w:rsidRDefault="00C879BE">
      <w:pPr>
        <w:widowControl w:val="0"/>
        <w:autoSpaceDE w:val="0"/>
        <w:autoSpaceDN w:val="0"/>
        <w:adjustRightInd w:val="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IL RESPONSABILE DEL </w:t>
      </w:r>
      <w:r w:rsidR="00027CFC">
        <w:rPr>
          <w:rFonts w:ascii="Arial" w:hAnsi="Arial" w:cs="Arial"/>
        </w:rPr>
        <w:t>SETTORE</w:t>
      </w:r>
    </w:p>
    <w:p w:rsidR="00C879BE" w:rsidRDefault="0053670A" w:rsidP="00027CFC">
      <w:pPr>
        <w:widowControl w:val="0"/>
        <w:autoSpaceDE w:val="0"/>
        <w:autoSpaceDN w:val="0"/>
        <w:adjustRightInd w:val="0"/>
        <w:ind w:left="3540" w:firstLine="708"/>
        <w:rPr>
          <w:rFonts w:ascii="Arial" w:hAnsi="Arial" w:cs="Arial"/>
        </w:rPr>
      </w:pPr>
      <w:r>
        <w:rPr>
          <w:rFonts w:ascii="Arial" w:hAnsi="Arial" w:cs="Arial"/>
        </w:rPr>
        <w:t xml:space="preserve">    Dott.ssa</w:t>
      </w:r>
      <w:r w:rsidR="00027CFC">
        <w:rPr>
          <w:rFonts w:ascii="Arial" w:hAnsi="Arial" w:cs="Arial"/>
        </w:rPr>
        <w:t xml:space="preserve"> </w:t>
      </w:r>
      <w:r w:rsidR="00C879BE">
        <w:rPr>
          <w:rFonts w:ascii="Arial" w:hAnsi="Arial" w:cs="Arial"/>
        </w:rPr>
        <w:t>Santini Roberta</w:t>
      </w:r>
    </w:p>
    <w:p w:rsidR="00C879BE" w:rsidRDefault="00C879BE">
      <w:pPr>
        <w:widowControl w:val="0"/>
        <w:autoSpaceDE w:val="0"/>
        <w:autoSpaceDN w:val="0"/>
        <w:adjustRightInd w:val="0"/>
        <w:rPr>
          <w:rFonts w:ascii="Arial" w:hAnsi="Arial" w:cs="Arial"/>
          <w:sz w:val="28"/>
          <w:szCs w:val="28"/>
        </w:rPr>
      </w:pPr>
      <w:r>
        <w:rPr>
          <w:rFonts w:ascii="Arial" w:hAnsi="Arial" w:cs="Arial"/>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C879BE">
        <w:tblPrEx>
          <w:tblCellMar>
            <w:top w:w="0" w:type="dxa"/>
            <w:bottom w:w="0" w:type="dxa"/>
          </w:tblCellMar>
        </w:tblPrEx>
        <w:trPr>
          <w:trHeight w:val="1935"/>
        </w:trPr>
        <w:tc>
          <w:tcPr>
            <w:tcW w:w="9211" w:type="dxa"/>
          </w:tcPr>
          <w:p w:rsidR="00C879BE" w:rsidRDefault="00C879BE">
            <w:pPr>
              <w:widowControl w:val="0"/>
              <w:autoSpaceDE w:val="0"/>
              <w:autoSpaceDN w:val="0"/>
              <w:adjustRightInd w:val="0"/>
              <w:jc w:val="center"/>
              <w:rPr>
                <w:rFonts w:ascii="Arial" w:hAnsi="Arial" w:cs="Arial"/>
                <w:b/>
                <w:bCs/>
              </w:rPr>
            </w:pPr>
            <w:r>
              <w:rPr>
                <w:rFonts w:ascii="Arial" w:hAnsi="Arial" w:cs="Arial"/>
                <w:b/>
                <w:bCs/>
              </w:rPr>
              <w:t>REGOLARITA’ TECNICA</w:t>
            </w:r>
          </w:p>
          <w:p w:rsidR="00C879BE" w:rsidRDefault="00C879BE">
            <w:pPr>
              <w:widowControl w:val="0"/>
              <w:autoSpaceDE w:val="0"/>
              <w:autoSpaceDN w:val="0"/>
              <w:adjustRightInd w:val="0"/>
              <w:jc w:val="both"/>
              <w:rPr>
                <w:rFonts w:ascii="Arial" w:hAnsi="Arial" w:cs="Arial"/>
              </w:rPr>
            </w:pPr>
            <w:r>
              <w:rPr>
                <w:rFonts w:ascii="Arial" w:hAnsi="Arial" w:cs="Arial"/>
              </w:rPr>
              <w:t>Parere di regolarità tecnica</w:t>
            </w:r>
            <w:r>
              <w:rPr>
                <w:rFonts w:ascii="Arial" w:hAnsi="Arial" w:cs="Arial"/>
                <w:sz w:val="28"/>
                <w:szCs w:val="28"/>
              </w:rPr>
              <w:t xml:space="preserve"> </w:t>
            </w:r>
            <w:r>
              <w:rPr>
                <w:rFonts w:ascii="Arial" w:hAnsi="Arial" w:cs="Arial"/>
              </w:rPr>
              <w:t xml:space="preserve">ai sensi dell’art. </w:t>
            </w:r>
            <w:r w:rsidR="00315A67">
              <w:rPr>
                <w:rFonts w:ascii="Arial" w:hAnsi="Arial" w:cs="Arial"/>
              </w:rPr>
              <w:t>55</w:t>
            </w:r>
            <w:r>
              <w:rPr>
                <w:rFonts w:ascii="Arial" w:hAnsi="Arial" w:cs="Arial"/>
              </w:rPr>
              <w:t>, comma</w:t>
            </w:r>
            <w:r w:rsidR="00315A67">
              <w:rPr>
                <w:rFonts w:ascii="Arial" w:hAnsi="Arial" w:cs="Arial"/>
              </w:rPr>
              <w:t xml:space="preserve"> 6</w:t>
            </w:r>
            <w:r>
              <w:rPr>
                <w:rFonts w:ascii="Arial" w:hAnsi="Arial" w:cs="Arial"/>
              </w:rPr>
              <w:t>, del vigente regolamento di contabilità.</w:t>
            </w:r>
          </w:p>
          <w:p w:rsidR="00C879BE" w:rsidRDefault="00C879BE">
            <w:pPr>
              <w:widowControl w:val="0"/>
              <w:autoSpaceDE w:val="0"/>
              <w:autoSpaceDN w:val="0"/>
              <w:adjustRightInd w:val="0"/>
              <w:jc w:val="both"/>
              <w:rPr>
                <w:rFonts w:ascii="Arial" w:hAnsi="Arial" w:cs="Arial"/>
                <w:sz w:val="28"/>
                <w:szCs w:val="28"/>
              </w:rPr>
            </w:pPr>
          </w:p>
          <w:p w:rsidR="00C879BE" w:rsidRDefault="00C879BE">
            <w:pPr>
              <w:widowControl w:val="0"/>
              <w:pBdr>
                <w:bottom w:val="single" w:sz="12" w:space="1" w:color="auto"/>
              </w:pBdr>
              <w:autoSpaceDE w:val="0"/>
              <w:autoSpaceDN w:val="0"/>
              <w:adjustRightInd w:val="0"/>
              <w:rPr>
                <w:rFonts w:ascii="Arial" w:hAnsi="Arial" w:cs="Arial"/>
              </w:rPr>
            </w:pPr>
            <w:r>
              <w:rPr>
                <w:rFonts w:ascii="Arial" w:hAnsi="Arial" w:cs="Arial"/>
              </w:rPr>
              <w:t xml:space="preserve">Guardiagrele, lì </w:t>
            </w:r>
            <w:r>
              <w:rPr>
                <w:sz w:val="22"/>
                <w:szCs w:val="22"/>
              </w:rPr>
              <w:t>26-01-21</w:t>
            </w:r>
            <w:r>
              <w:rPr>
                <w:rFonts w:ascii="Arial" w:hAnsi="Arial" w:cs="Arial"/>
              </w:rPr>
              <w:tab/>
            </w:r>
            <w:r>
              <w:rPr>
                <w:rFonts w:ascii="Arial" w:hAnsi="Arial" w:cs="Arial"/>
              </w:rPr>
              <w:tab/>
            </w:r>
            <w:r>
              <w:rPr>
                <w:rFonts w:ascii="Arial" w:hAnsi="Arial" w:cs="Arial"/>
              </w:rPr>
              <w:tab/>
            </w:r>
            <w:r>
              <w:rPr>
                <w:rFonts w:ascii="Arial" w:hAnsi="Arial" w:cs="Arial"/>
              </w:rPr>
              <w:tab/>
              <w:t>Il Responsabile del Procedimento</w:t>
            </w:r>
          </w:p>
          <w:p w:rsidR="00C879BE" w:rsidRDefault="00C879BE">
            <w:pPr>
              <w:widowControl w:val="0"/>
              <w:pBdr>
                <w:bottom w:val="single" w:sz="12" w:space="1" w:color="auto"/>
              </w:pBdr>
              <w:autoSpaceDE w:val="0"/>
              <w:autoSpaceDN w:val="0"/>
              <w:adjustRightInd w:val="0"/>
              <w:rPr>
                <w:rFonts w:ascii="Arial" w:hAnsi="Arial" w:cs="Arial"/>
                <w:sz w:val="28"/>
                <w:szCs w:val="28"/>
              </w:rPr>
            </w:pPr>
          </w:p>
        </w:tc>
      </w:tr>
    </w:tbl>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921"/>
        <w:gridCol w:w="921"/>
        <w:gridCol w:w="1842"/>
        <w:gridCol w:w="1842"/>
        <w:gridCol w:w="1843"/>
      </w:tblGrid>
      <w:tr w:rsidR="00C879BE">
        <w:tblPrEx>
          <w:tblCellMar>
            <w:top w:w="0" w:type="dxa"/>
            <w:bottom w:w="0" w:type="dxa"/>
          </w:tblCellMar>
        </w:tblPrEx>
        <w:trPr>
          <w:trHeight w:val="550"/>
        </w:trPr>
        <w:tc>
          <w:tcPr>
            <w:tcW w:w="9211" w:type="dxa"/>
            <w:gridSpan w:val="6"/>
          </w:tcPr>
          <w:p w:rsidR="00C879BE" w:rsidRDefault="00C879BE">
            <w:pPr>
              <w:pStyle w:val="Titolo4"/>
            </w:pPr>
            <w:r>
              <w:t>COPERTURA FINANZIARIA</w:t>
            </w:r>
          </w:p>
          <w:p w:rsidR="00C879BE" w:rsidRDefault="00C879BE">
            <w:pPr>
              <w:widowControl w:val="0"/>
              <w:autoSpaceDE w:val="0"/>
              <w:autoSpaceDN w:val="0"/>
              <w:adjustRightInd w:val="0"/>
              <w:jc w:val="both"/>
              <w:rPr>
                <w:rFonts w:ascii="Arial" w:hAnsi="Arial" w:cs="Arial"/>
              </w:rPr>
            </w:pPr>
            <w:r>
              <w:rPr>
                <w:rFonts w:ascii="Arial" w:hAnsi="Arial" w:cs="Arial"/>
              </w:rPr>
              <w:t xml:space="preserve">Il sottoscritto, responsabile del Servizio finanziario, ai sensi dell’art. 153, comma 5, del T.U.  – D.Lgs. </w:t>
            </w:r>
            <w:smartTag w:uri="urn:schemas-microsoft-com:office:smarttags" w:element="date">
              <w:smartTagPr>
                <w:attr w:name="Year" w:val="2000"/>
                <w:attr w:name="Day" w:val="18"/>
                <w:attr w:name="Month" w:val="08"/>
                <w:attr w:name="ls" w:val="trans"/>
              </w:smartTagPr>
              <w:r>
                <w:rPr>
                  <w:rFonts w:ascii="Arial" w:hAnsi="Arial" w:cs="Arial"/>
                </w:rPr>
                <w:t>18/08/2000</w:t>
              </w:r>
            </w:smartTag>
            <w:r>
              <w:rPr>
                <w:rFonts w:ascii="Arial" w:hAnsi="Arial" w:cs="Arial"/>
              </w:rPr>
              <w:t xml:space="preserve"> n. 267 </w:t>
            </w:r>
            <w:r>
              <w:rPr>
                <w:rFonts w:ascii="Arial" w:hAnsi="Arial" w:cs="Arial"/>
                <w:b/>
                <w:bCs/>
              </w:rPr>
              <w:t>attesta</w:t>
            </w:r>
            <w:r>
              <w:rPr>
                <w:rFonts w:ascii="Arial" w:hAnsi="Arial" w:cs="Arial"/>
              </w:rPr>
              <w:t xml:space="preserve"> che la spesa conseguente la sovra estesa determinazione  ha la seguente copertura finanziaria.</w:t>
            </w:r>
          </w:p>
          <w:p w:rsidR="00C879BE" w:rsidRDefault="00C879BE"/>
        </w:tc>
      </w:tr>
      <w:tr w:rsidR="00C879BE">
        <w:tblPrEx>
          <w:tblCellMar>
            <w:top w:w="0" w:type="dxa"/>
            <w:left w:w="108" w:type="dxa"/>
            <w:bottom w:w="0" w:type="dxa"/>
            <w:right w:w="108" w:type="dxa"/>
          </w:tblCellMar>
        </w:tblPrEx>
        <w:tc>
          <w:tcPr>
            <w:tcW w:w="1842" w:type="dxa"/>
          </w:tcPr>
          <w:p w:rsidR="00C879BE" w:rsidRDefault="00C879BE">
            <w:pPr>
              <w:widowControl w:val="0"/>
              <w:autoSpaceDE w:val="0"/>
              <w:autoSpaceDN w:val="0"/>
              <w:adjustRightInd w:val="0"/>
              <w:jc w:val="both"/>
              <w:rPr>
                <w:rFonts w:ascii="Arial" w:hAnsi="Arial" w:cs="Arial"/>
                <w:smallCaps/>
                <w:sz w:val="20"/>
                <w:szCs w:val="20"/>
              </w:rPr>
            </w:pPr>
            <w:r>
              <w:rPr>
                <w:rFonts w:ascii="Arial" w:hAnsi="Arial" w:cs="Arial"/>
                <w:smallCaps/>
                <w:sz w:val="20"/>
                <w:szCs w:val="20"/>
              </w:rPr>
              <w:t>intervento</w:t>
            </w:r>
          </w:p>
        </w:tc>
        <w:tc>
          <w:tcPr>
            <w:tcW w:w="921" w:type="dxa"/>
          </w:tcPr>
          <w:p w:rsidR="00C879BE" w:rsidRDefault="00C879BE">
            <w:pPr>
              <w:widowControl w:val="0"/>
              <w:autoSpaceDE w:val="0"/>
              <w:autoSpaceDN w:val="0"/>
              <w:adjustRightInd w:val="0"/>
              <w:jc w:val="center"/>
              <w:rPr>
                <w:rFonts w:ascii="Arial" w:hAnsi="Arial" w:cs="Arial"/>
                <w:smallCaps/>
                <w:sz w:val="20"/>
                <w:szCs w:val="20"/>
              </w:rPr>
            </w:pPr>
            <w:r>
              <w:rPr>
                <w:rFonts w:ascii="Arial" w:hAnsi="Arial" w:cs="Arial"/>
                <w:smallCaps/>
                <w:sz w:val="20"/>
                <w:szCs w:val="20"/>
              </w:rPr>
              <w:t>comp.</w:t>
            </w:r>
          </w:p>
        </w:tc>
        <w:tc>
          <w:tcPr>
            <w:tcW w:w="921" w:type="dxa"/>
          </w:tcPr>
          <w:p w:rsidR="00C879BE" w:rsidRDefault="00C879BE">
            <w:pPr>
              <w:widowControl w:val="0"/>
              <w:autoSpaceDE w:val="0"/>
              <w:autoSpaceDN w:val="0"/>
              <w:adjustRightInd w:val="0"/>
              <w:jc w:val="center"/>
              <w:rPr>
                <w:rFonts w:ascii="Arial" w:hAnsi="Arial" w:cs="Arial"/>
                <w:smallCaps/>
                <w:sz w:val="20"/>
                <w:szCs w:val="20"/>
              </w:rPr>
            </w:pPr>
            <w:r>
              <w:rPr>
                <w:rFonts w:ascii="Arial" w:hAnsi="Arial" w:cs="Arial"/>
                <w:smallCaps/>
                <w:sz w:val="20"/>
                <w:szCs w:val="20"/>
              </w:rPr>
              <w:t>resid.</w:t>
            </w:r>
          </w:p>
        </w:tc>
        <w:tc>
          <w:tcPr>
            <w:tcW w:w="1842" w:type="dxa"/>
          </w:tcPr>
          <w:p w:rsidR="00C879BE" w:rsidRDefault="00C879BE">
            <w:pPr>
              <w:widowControl w:val="0"/>
              <w:autoSpaceDE w:val="0"/>
              <w:autoSpaceDN w:val="0"/>
              <w:adjustRightInd w:val="0"/>
              <w:jc w:val="both"/>
              <w:rPr>
                <w:rFonts w:ascii="Arial" w:hAnsi="Arial" w:cs="Arial"/>
                <w:smallCaps/>
                <w:sz w:val="20"/>
                <w:szCs w:val="20"/>
              </w:rPr>
            </w:pPr>
            <w:r>
              <w:rPr>
                <w:rFonts w:ascii="Arial" w:hAnsi="Arial" w:cs="Arial"/>
                <w:smallCaps/>
                <w:sz w:val="20"/>
                <w:szCs w:val="20"/>
              </w:rPr>
              <w:t>capitolo peg</w:t>
            </w:r>
          </w:p>
        </w:tc>
        <w:tc>
          <w:tcPr>
            <w:tcW w:w="1842" w:type="dxa"/>
          </w:tcPr>
          <w:p w:rsidR="00C879BE" w:rsidRDefault="00C879BE">
            <w:pPr>
              <w:widowControl w:val="0"/>
              <w:autoSpaceDE w:val="0"/>
              <w:autoSpaceDN w:val="0"/>
              <w:adjustRightInd w:val="0"/>
              <w:jc w:val="both"/>
              <w:rPr>
                <w:rFonts w:ascii="Arial" w:hAnsi="Arial" w:cs="Arial"/>
                <w:smallCaps/>
                <w:sz w:val="20"/>
                <w:szCs w:val="20"/>
              </w:rPr>
            </w:pPr>
            <w:r>
              <w:rPr>
                <w:rFonts w:ascii="Arial" w:hAnsi="Arial" w:cs="Arial"/>
                <w:smallCaps/>
                <w:sz w:val="20"/>
                <w:szCs w:val="20"/>
              </w:rPr>
              <w:t>n. impegno</w:t>
            </w:r>
          </w:p>
        </w:tc>
        <w:tc>
          <w:tcPr>
            <w:tcW w:w="1843" w:type="dxa"/>
          </w:tcPr>
          <w:p w:rsidR="00C879BE" w:rsidRDefault="00C879BE">
            <w:pPr>
              <w:widowControl w:val="0"/>
              <w:autoSpaceDE w:val="0"/>
              <w:autoSpaceDN w:val="0"/>
              <w:adjustRightInd w:val="0"/>
              <w:jc w:val="both"/>
              <w:rPr>
                <w:rFonts w:ascii="Arial" w:hAnsi="Arial" w:cs="Arial"/>
                <w:smallCaps/>
                <w:sz w:val="20"/>
                <w:szCs w:val="20"/>
              </w:rPr>
            </w:pPr>
            <w:r>
              <w:rPr>
                <w:rFonts w:ascii="Arial" w:hAnsi="Arial" w:cs="Arial"/>
                <w:smallCaps/>
                <w:sz w:val="20"/>
                <w:szCs w:val="20"/>
              </w:rPr>
              <w:t>importo in €</w:t>
            </w:r>
          </w:p>
        </w:tc>
      </w:tr>
      <w:tr w:rsidR="00C879BE">
        <w:tblPrEx>
          <w:tblCellMar>
            <w:top w:w="0" w:type="dxa"/>
            <w:left w:w="108" w:type="dxa"/>
            <w:bottom w:w="0" w:type="dxa"/>
            <w:right w:w="108" w:type="dxa"/>
          </w:tblCellMar>
        </w:tblPrEx>
        <w:trPr>
          <w:trHeight w:val="520"/>
        </w:trPr>
        <w:tc>
          <w:tcPr>
            <w:tcW w:w="1842" w:type="dxa"/>
            <w:vAlign w:val="center"/>
          </w:tcPr>
          <w:p w:rsidR="00C879BE" w:rsidRDefault="00C879BE">
            <w:pPr>
              <w:widowControl w:val="0"/>
              <w:autoSpaceDE w:val="0"/>
              <w:autoSpaceDN w:val="0"/>
              <w:adjustRightInd w:val="0"/>
              <w:jc w:val="center"/>
              <w:rPr>
                <w:rFonts w:ascii="Arial" w:hAnsi="Arial" w:cs="Arial"/>
                <w:sz w:val="20"/>
                <w:szCs w:val="20"/>
              </w:rPr>
            </w:pPr>
          </w:p>
        </w:tc>
        <w:tc>
          <w:tcPr>
            <w:tcW w:w="921" w:type="dxa"/>
            <w:vAlign w:val="center"/>
          </w:tcPr>
          <w:p w:rsidR="00C879BE" w:rsidRDefault="00C879BE">
            <w:pPr>
              <w:widowControl w:val="0"/>
              <w:autoSpaceDE w:val="0"/>
              <w:autoSpaceDN w:val="0"/>
              <w:adjustRightInd w:val="0"/>
              <w:jc w:val="center"/>
              <w:rPr>
                <w:rFonts w:ascii="Arial" w:hAnsi="Arial" w:cs="Arial"/>
                <w:sz w:val="20"/>
                <w:szCs w:val="20"/>
              </w:rPr>
            </w:pPr>
          </w:p>
        </w:tc>
        <w:tc>
          <w:tcPr>
            <w:tcW w:w="921" w:type="dxa"/>
            <w:vAlign w:val="center"/>
          </w:tcPr>
          <w:p w:rsidR="00C879BE" w:rsidRDefault="00C879BE">
            <w:pPr>
              <w:widowControl w:val="0"/>
              <w:autoSpaceDE w:val="0"/>
              <w:autoSpaceDN w:val="0"/>
              <w:adjustRightInd w:val="0"/>
              <w:jc w:val="center"/>
              <w:rPr>
                <w:rFonts w:ascii="Arial" w:hAnsi="Arial" w:cs="Arial"/>
                <w:sz w:val="20"/>
                <w:szCs w:val="20"/>
              </w:rPr>
            </w:pPr>
          </w:p>
        </w:tc>
        <w:tc>
          <w:tcPr>
            <w:tcW w:w="1842" w:type="dxa"/>
            <w:vAlign w:val="center"/>
          </w:tcPr>
          <w:p w:rsidR="00C879BE" w:rsidRDefault="00C879BE">
            <w:pPr>
              <w:widowControl w:val="0"/>
              <w:autoSpaceDE w:val="0"/>
              <w:autoSpaceDN w:val="0"/>
              <w:adjustRightInd w:val="0"/>
              <w:jc w:val="center"/>
              <w:rPr>
                <w:rFonts w:ascii="Arial" w:hAnsi="Arial" w:cs="Arial"/>
                <w:sz w:val="20"/>
                <w:szCs w:val="20"/>
              </w:rPr>
            </w:pPr>
          </w:p>
        </w:tc>
        <w:tc>
          <w:tcPr>
            <w:tcW w:w="1842" w:type="dxa"/>
            <w:vAlign w:val="center"/>
          </w:tcPr>
          <w:p w:rsidR="00C879BE" w:rsidRDefault="00C879BE">
            <w:pPr>
              <w:widowControl w:val="0"/>
              <w:autoSpaceDE w:val="0"/>
              <w:autoSpaceDN w:val="0"/>
              <w:adjustRightInd w:val="0"/>
              <w:jc w:val="center"/>
              <w:rPr>
                <w:rFonts w:ascii="Arial" w:hAnsi="Arial" w:cs="Arial"/>
                <w:sz w:val="20"/>
                <w:szCs w:val="20"/>
              </w:rPr>
            </w:pPr>
          </w:p>
        </w:tc>
        <w:tc>
          <w:tcPr>
            <w:tcW w:w="1843" w:type="dxa"/>
            <w:vAlign w:val="center"/>
          </w:tcPr>
          <w:p w:rsidR="00C879BE" w:rsidRDefault="00C879BE">
            <w:pPr>
              <w:widowControl w:val="0"/>
              <w:autoSpaceDE w:val="0"/>
              <w:autoSpaceDN w:val="0"/>
              <w:adjustRightInd w:val="0"/>
              <w:jc w:val="center"/>
              <w:rPr>
                <w:rFonts w:ascii="Arial" w:hAnsi="Arial" w:cs="Arial"/>
                <w:sz w:val="20"/>
                <w:szCs w:val="20"/>
              </w:rPr>
            </w:pPr>
          </w:p>
        </w:tc>
      </w:tr>
      <w:tr w:rsidR="00C879BE">
        <w:tblPrEx>
          <w:tblCellMar>
            <w:top w:w="0" w:type="dxa"/>
            <w:left w:w="108" w:type="dxa"/>
            <w:bottom w:w="0" w:type="dxa"/>
            <w:right w:w="108" w:type="dxa"/>
          </w:tblCellMar>
        </w:tblPrEx>
        <w:trPr>
          <w:cantSplit/>
          <w:trHeight w:val="520"/>
        </w:trPr>
        <w:tc>
          <w:tcPr>
            <w:tcW w:w="9211" w:type="dxa"/>
            <w:gridSpan w:val="6"/>
            <w:vAlign w:val="center"/>
          </w:tcPr>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pPr>
            <w:r>
              <w:rPr>
                <w:rFonts w:ascii="Arial" w:hAnsi="Arial" w:cs="Arial"/>
              </w:rPr>
              <w:t xml:space="preserve">Guardiagrele, lì </w:t>
            </w:r>
            <w:r>
              <w:rPr>
                <w:rFonts w:ascii="Arial" w:hAnsi="Arial" w:cs="Arial"/>
              </w:rPr>
              <w:tab/>
            </w:r>
            <w:r>
              <w:rPr>
                <w:rFonts w:ascii="Arial" w:hAnsi="Arial" w:cs="Arial"/>
              </w:rPr>
              <w:tab/>
            </w:r>
            <w:r>
              <w:rPr>
                <w:rFonts w:ascii="Arial" w:hAnsi="Arial" w:cs="Arial"/>
              </w:rPr>
              <w:tab/>
            </w:r>
            <w:r>
              <w:rPr>
                <w:rFonts w:ascii="Arial" w:hAnsi="Arial" w:cs="Arial"/>
              </w:rPr>
              <w:tab/>
              <w:t>Il Responsabile del Servizio Finanziario</w:t>
            </w: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center"/>
              <w:rPr>
                <w:rFonts w:ascii="Arial" w:hAnsi="Arial" w:cs="Arial"/>
                <w:sz w:val="20"/>
                <w:szCs w:val="20"/>
              </w:rPr>
            </w:pPr>
          </w:p>
        </w:tc>
      </w:tr>
    </w:tbl>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C879BE">
        <w:tblPrEx>
          <w:tblCellMar>
            <w:top w:w="0" w:type="dxa"/>
            <w:bottom w:w="0" w:type="dxa"/>
          </w:tblCellMar>
        </w:tblPrEx>
        <w:tc>
          <w:tcPr>
            <w:tcW w:w="9211" w:type="dxa"/>
          </w:tcPr>
          <w:p w:rsidR="00C879BE" w:rsidRDefault="00C879BE">
            <w:pPr>
              <w:widowControl w:val="0"/>
              <w:autoSpaceDE w:val="0"/>
              <w:autoSpaceDN w:val="0"/>
              <w:adjustRightInd w:val="0"/>
              <w:jc w:val="center"/>
              <w:rPr>
                <w:rFonts w:ascii="Arial" w:hAnsi="Arial" w:cs="Arial"/>
              </w:rPr>
            </w:pPr>
            <w:r>
              <w:rPr>
                <w:rFonts w:ascii="Arial" w:hAnsi="Arial" w:cs="Arial"/>
                <w:b/>
                <w:bCs/>
              </w:rPr>
              <w:t>REGOLARITA’ CONTABILE</w:t>
            </w:r>
            <w:r>
              <w:rPr>
                <w:rFonts w:ascii="Arial" w:hAnsi="Arial" w:cs="Arial"/>
              </w:rPr>
              <w:t xml:space="preserve"> </w:t>
            </w:r>
          </w:p>
          <w:p w:rsidR="00C879BE" w:rsidRDefault="00C879BE">
            <w:pPr>
              <w:widowControl w:val="0"/>
              <w:autoSpaceDE w:val="0"/>
              <w:autoSpaceDN w:val="0"/>
              <w:adjustRightInd w:val="0"/>
              <w:jc w:val="both"/>
              <w:rPr>
                <w:rFonts w:ascii="Arial" w:hAnsi="Arial" w:cs="Arial"/>
              </w:rPr>
            </w:pPr>
            <w:r>
              <w:rPr>
                <w:rFonts w:ascii="Arial" w:hAnsi="Arial" w:cs="Arial"/>
              </w:rPr>
              <w:t xml:space="preserve">VISTO: per la regolarità contabile, ai sensi dell’art. </w:t>
            </w:r>
            <w:r w:rsidR="00315A67">
              <w:rPr>
                <w:rFonts w:ascii="Arial" w:hAnsi="Arial" w:cs="Arial"/>
              </w:rPr>
              <w:t>55</w:t>
            </w:r>
            <w:r>
              <w:rPr>
                <w:rFonts w:ascii="Arial" w:hAnsi="Arial" w:cs="Arial"/>
              </w:rPr>
              <w:t xml:space="preserve">, comma </w:t>
            </w:r>
            <w:r w:rsidR="00315A67">
              <w:rPr>
                <w:rFonts w:ascii="Arial" w:hAnsi="Arial" w:cs="Arial"/>
              </w:rPr>
              <w:t>7</w:t>
            </w:r>
            <w:r>
              <w:rPr>
                <w:rFonts w:ascii="Arial" w:hAnsi="Arial" w:cs="Arial"/>
              </w:rPr>
              <w:t>, del vigente regolamento di contabilità.</w:t>
            </w: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r>
              <w:rPr>
                <w:rFonts w:ascii="Arial" w:hAnsi="Arial" w:cs="Arial"/>
              </w:rPr>
              <w:t>Liquidazione n. ________________________________________________</w:t>
            </w: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r>
              <w:rPr>
                <w:rFonts w:ascii="Arial" w:hAnsi="Arial" w:cs="Arial"/>
              </w:rPr>
              <w:t xml:space="preserve">Guardiagrele, lì </w:t>
            </w:r>
            <w:r>
              <w:rPr>
                <w:rFonts w:ascii="Arial" w:hAnsi="Arial" w:cs="Arial"/>
              </w:rPr>
              <w:tab/>
            </w:r>
            <w:r>
              <w:rPr>
                <w:rFonts w:ascii="Arial" w:hAnsi="Arial" w:cs="Arial"/>
              </w:rPr>
              <w:tab/>
            </w:r>
            <w:r>
              <w:rPr>
                <w:rFonts w:ascii="Arial" w:hAnsi="Arial" w:cs="Arial"/>
              </w:rPr>
              <w:tab/>
            </w:r>
            <w:r>
              <w:rPr>
                <w:rFonts w:ascii="Arial" w:hAnsi="Arial" w:cs="Arial"/>
              </w:rPr>
              <w:tab/>
              <w:t>Il Responsabile del Servizio</w:t>
            </w: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b/>
                <w:bCs/>
              </w:rPr>
            </w:pPr>
          </w:p>
        </w:tc>
      </w:tr>
    </w:tbl>
    <w:p w:rsidR="00C879BE" w:rsidRDefault="00C879BE">
      <w:pPr>
        <w:widowControl w:val="0"/>
        <w:autoSpaceDE w:val="0"/>
        <w:autoSpaceDN w:val="0"/>
        <w:adjustRightInd w:val="0"/>
        <w:ind w:left="4248"/>
        <w:jc w:val="both"/>
        <w:rPr>
          <w:rFonts w:ascii="Arial" w:hAnsi="Arial" w:cs="Arial"/>
        </w:rPr>
      </w:pPr>
    </w:p>
    <w:p w:rsidR="00C879BE" w:rsidRDefault="00C879BE">
      <w:pPr>
        <w:widowControl w:val="0"/>
        <w:autoSpaceDE w:val="0"/>
        <w:autoSpaceDN w:val="0"/>
        <w:adjustRightInd w:val="0"/>
        <w:ind w:left="4248"/>
        <w:jc w:val="both"/>
        <w:rPr>
          <w:rFonts w:ascii="Arial" w:hAnsi="Arial" w:cs="Arial"/>
        </w:rPr>
      </w:pPr>
    </w:p>
    <w:p w:rsidR="00C879BE" w:rsidRDefault="00C879BE">
      <w:pPr>
        <w:widowControl w:val="0"/>
        <w:autoSpaceDE w:val="0"/>
        <w:autoSpaceDN w:val="0"/>
        <w:adjustRightInd w:val="0"/>
        <w:ind w:left="4248"/>
        <w:jc w:val="both"/>
        <w:rPr>
          <w:rFonts w:ascii="Arial" w:hAnsi="Arial" w:cs="Arial"/>
        </w:rPr>
      </w:pPr>
      <w:r>
        <w:rPr>
          <w:rFonts w:ascii="Arial" w:hAnsi="Arial" w:cs="Arial"/>
        </w:rPr>
        <w:t xml:space="preserve">     </w:t>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C879BE">
        <w:tblPrEx>
          <w:tblCellMar>
            <w:top w:w="0" w:type="dxa"/>
            <w:bottom w:w="0" w:type="dxa"/>
          </w:tblCellMar>
        </w:tblPrEx>
        <w:tc>
          <w:tcPr>
            <w:tcW w:w="9211" w:type="dxa"/>
          </w:tcPr>
          <w:p w:rsidR="00C879BE" w:rsidRDefault="00C879BE">
            <w:pPr>
              <w:pStyle w:val="Titolo4"/>
            </w:pPr>
            <w:r>
              <w:t>CERTIFICATO DI PUBBLICAZIONE</w:t>
            </w:r>
          </w:p>
          <w:p w:rsidR="00C879BE" w:rsidRDefault="00C879BE">
            <w:pPr>
              <w:widowControl w:val="0"/>
              <w:autoSpaceDE w:val="0"/>
              <w:autoSpaceDN w:val="0"/>
              <w:adjustRightInd w:val="0"/>
              <w:jc w:val="both"/>
              <w:rPr>
                <w:rFonts w:ascii="Arial" w:hAnsi="Arial" w:cs="Arial"/>
                <w:sz w:val="28"/>
                <w:szCs w:val="28"/>
              </w:rPr>
            </w:pPr>
          </w:p>
          <w:p w:rsidR="00C879BE" w:rsidRDefault="00C879BE">
            <w:pPr>
              <w:widowControl w:val="0"/>
              <w:autoSpaceDE w:val="0"/>
              <w:autoSpaceDN w:val="0"/>
              <w:adjustRightInd w:val="0"/>
              <w:jc w:val="both"/>
              <w:rPr>
                <w:rFonts w:ascii="Arial" w:hAnsi="Arial" w:cs="Arial"/>
              </w:rPr>
            </w:pPr>
            <w:r>
              <w:rPr>
                <w:rFonts w:ascii="Arial" w:hAnsi="Arial" w:cs="Arial"/>
              </w:rPr>
              <w:t>Il sottoscritto Messo Comunale dichiara di aver pubblicato in data odierna copia della presente determinazione all'albo pretorio di questo Comune per rimanervi quindici giorni consecutivi</w:t>
            </w:r>
            <w:r w:rsidR="00DD48D7">
              <w:rPr>
                <w:rFonts w:ascii="Arial" w:hAnsi="Arial" w:cs="Arial"/>
              </w:rPr>
              <w:t xml:space="preserve"> dal </w:t>
            </w:r>
            <w:r w:rsidR="00EE1105">
              <w:rPr>
                <w:rFonts w:ascii="Arial" w:hAnsi="Arial" w:cs="Arial"/>
              </w:rPr>
              <w:t xml:space="preserve">    </w:t>
            </w:r>
            <w:r w:rsidR="00C7748C">
              <w:rPr>
                <w:rFonts w:ascii="Arial" w:hAnsi="Arial" w:cs="Arial"/>
              </w:rPr>
              <w:t xml:space="preserve">            </w:t>
            </w:r>
            <w:r w:rsidR="00EE1105">
              <w:rPr>
                <w:rFonts w:ascii="Arial" w:hAnsi="Arial" w:cs="Arial"/>
              </w:rPr>
              <w:t xml:space="preserve"> </w:t>
            </w:r>
            <w:r w:rsidR="00DD48D7">
              <w:rPr>
                <w:rFonts w:ascii="Arial" w:hAnsi="Arial" w:cs="Arial"/>
              </w:rPr>
              <w:t xml:space="preserve">           </w:t>
            </w:r>
            <w:r w:rsidR="00EE1105">
              <w:rPr>
                <w:rFonts w:ascii="Arial" w:hAnsi="Arial" w:cs="Arial"/>
              </w:rPr>
              <w:t xml:space="preserve">  </w:t>
            </w:r>
            <w:r w:rsidR="00DD48D7">
              <w:rPr>
                <w:rFonts w:ascii="Arial" w:hAnsi="Arial" w:cs="Arial"/>
              </w:rPr>
              <w:t xml:space="preserve">al </w:t>
            </w:r>
            <w:r w:rsidR="00EE1105">
              <w:rPr>
                <w:rFonts w:ascii="Arial" w:hAnsi="Arial" w:cs="Arial"/>
              </w:rPr>
              <w:t xml:space="preserve">  </w:t>
            </w:r>
            <w:r w:rsidR="00C7748C">
              <w:rPr>
                <w:rFonts w:ascii="Arial" w:hAnsi="Arial" w:cs="Arial"/>
              </w:rPr>
              <w:t xml:space="preserve">                 </w:t>
            </w:r>
            <w:r w:rsidR="00DD48D7">
              <w:rPr>
                <w:rFonts w:ascii="Arial" w:hAnsi="Arial" w:cs="Arial"/>
              </w:rPr>
              <w:t xml:space="preserve">          ,</w:t>
            </w:r>
            <w:r w:rsidR="00EE1105">
              <w:rPr>
                <w:rFonts w:ascii="Arial" w:hAnsi="Arial" w:cs="Arial"/>
              </w:rPr>
              <w:t xml:space="preserve"> </w:t>
            </w:r>
            <w:r>
              <w:rPr>
                <w:rFonts w:ascii="Arial" w:hAnsi="Arial" w:cs="Arial"/>
              </w:rPr>
              <w:t>ai sensi dell’art. 36 del vigente regolamento di contabilità.</w:t>
            </w:r>
          </w:p>
          <w:p w:rsidR="00C879BE" w:rsidRDefault="00C879BE">
            <w:pPr>
              <w:widowControl w:val="0"/>
              <w:autoSpaceDE w:val="0"/>
              <w:autoSpaceDN w:val="0"/>
              <w:adjustRightInd w:val="0"/>
              <w:jc w:val="both"/>
              <w:rPr>
                <w:rFonts w:ascii="Arial" w:hAnsi="Arial" w:cs="Arial"/>
              </w:rPr>
            </w:pPr>
          </w:p>
          <w:p w:rsidR="00C879BE" w:rsidRDefault="00C879BE">
            <w:pPr>
              <w:widowControl w:val="0"/>
              <w:autoSpaceDE w:val="0"/>
              <w:autoSpaceDN w:val="0"/>
              <w:adjustRightInd w:val="0"/>
              <w:jc w:val="both"/>
              <w:rPr>
                <w:rFonts w:ascii="Arial" w:hAnsi="Arial" w:cs="Arial"/>
              </w:rPr>
            </w:pPr>
          </w:p>
          <w:p w:rsidR="00C879BE" w:rsidRDefault="00E73999">
            <w:pPr>
              <w:widowControl w:val="0"/>
              <w:autoSpaceDE w:val="0"/>
              <w:autoSpaceDN w:val="0"/>
              <w:adjustRightInd w:val="0"/>
              <w:jc w:val="both"/>
              <w:rPr>
                <w:rFonts w:ascii="Arial" w:hAnsi="Arial" w:cs="Arial"/>
              </w:rPr>
            </w:pPr>
            <w:r>
              <w:rPr>
                <w:rFonts w:ascii="Arial" w:hAnsi="Arial" w:cs="Arial"/>
              </w:rPr>
              <w:t xml:space="preserve">Guardiagrele, li'           </w:t>
            </w:r>
            <w:r w:rsidR="00C879BE">
              <w:rPr>
                <w:rFonts w:ascii="Arial" w:hAnsi="Arial" w:cs="Arial"/>
              </w:rPr>
              <w:tab/>
            </w:r>
            <w:r w:rsidR="00C879BE">
              <w:rPr>
                <w:rFonts w:ascii="Arial" w:hAnsi="Arial" w:cs="Arial"/>
              </w:rPr>
              <w:tab/>
            </w:r>
            <w:r w:rsidR="00C879BE">
              <w:rPr>
                <w:rFonts w:ascii="Arial" w:hAnsi="Arial" w:cs="Arial"/>
              </w:rPr>
              <w:tab/>
            </w:r>
            <w:r w:rsidR="00C879BE">
              <w:rPr>
                <w:rFonts w:ascii="Arial" w:hAnsi="Arial" w:cs="Arial"/>
              </w:rPr>
              <w:tab/>
              <w:t>Il Messo Notificatore</w:t>
            </w:r>
          </w:p>
          <w:p w:rsidR="00C879BE" w:rsidRDefault="00C879BE">
            <w:pPr>
              <w:widowControl w:val="0"/>
              <w:autoSpaceDE w:val="0"/>
              <w:autoSpaceDN w:val="0"/>
              <w:adjustRightInd w:val="0"/>
              <w:rPr>
                <w:rFonts w:ascii="Arial" w:hAnsi="Arial" w:cs="Arial"/>
                <w:b/>
                <w:bCs/>
              </w:rPr>
            </w:pPr>
          </w:p>
        </w:tc>
      </w:tr>
    </w:tbl>
    <w:p w:rsidR="00C879BE" w:rsidRDefault="00C879BE">
      <w:pPr>
        <w:widowControl w:val="0"/>
        <w:autoSpaceDE w:val="0"/>
        <w:autoSpaceDN w:val="0"/>
        <w:adjustRightInd w:val="0"/>
        <w:ind w:left="3540" w:firstLine="708"/>
        <w:jc w:val="both"/>
        <w:rPr>
          <w:rFonts w:ascii="Arial" w:hAnsi="Arial" w:cs="Arial"/>
          <w:sz w:val="28"/>
          <w:szCs w:val="28"/>
        </w:rPr>
      </w:pPr>
      <w:r>
        <w:rPr>
          <w:rFonts w:ascii="Arial" w:hAnsi="Arial" w:cs="Arial"/>
        </w:rPr>
        <w:t xml:space="preserve">           </w:t>
      </w:r>
    </w:p>
    <w:p w:rsidR="00C879BE" w:rsidRDefault="00C879BE">
      <w:pPr>
        <w:widowControl w:val="0"/>
        <w:autoSpaceDE w:val="0"/>
        <w:autoSpaceDN w:val="0"/>
        <w:adjustRightInd w:val="0"/>
        <w:jc w:val="both"/>
        <w:rPr>
          <w:rFonts w:ascii="Arial" w:hAnsi="Arial" w:cs="Arial"/>
        </w:rPr>
      </w:pPr>
    </w:p>
    <w:sectPr w:rsidR="00C879BE">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7C" w:rsidRDefault="009B2B7C">
      <w:r>
        <w:separator/>
      </w:r>
    </w:p>
  </w:endnote>
  <w:endnote w:type="continuationSeparator" w:id="0">
    <w:p w:rsidR="009B2B7C" w:rsidRDefault="009B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C9" w:rsidRDefault="003139C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BE" w:rsidRDefault="00C879BE">
    <w:pPr>
      <w:pStyle w:val="Pidipagina"/>
      <w:rPr>
        <w:sz w:val="16"/>
        <w:szCs w:val="16"/>
      </w:rPr>
    </w:pPr>
    <w:r>
      <w:rPr>
        <w:sz w:val="16"/>
        <w:szCs w:val="16"/>
      </w:rPr>
      <w:t xml:space="preserve">SETTORE II - LLPP - URBANISTICA - AMBIENTE n. 13 del 26-01-2021 - Pag. </w:t>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sidR="00D86E39">
      <w:rPr>
        <w:rStyle w:val="Numeropagina"/>
        <w:noProof/>
        <w:sz w:val="16"/>
        <w:szCs w:val="16"/>
      </w:rPr>
      <w:t>2</w:t>
    </w:r>
    <w:r>
      <w:rPr>
        <w:rStyle w:val="Numeropagina"/>
        <w:sz w:val="16"/>
        <w:szCs w:val="16"/>
      </w:rPr>
      <w:fldChar w:fldCharType="end"/>
    </w:r>
    <w:r>
      <w:rPr>
        <w:rStyle w:val="Numeropagina"/>
        <w:sz w:val="16"/>
        <w:szCs w:val="16"/>
      </w:rPr>
      <w:t xml:space="preserve"> - COMUNE DI GUARDIAGRELE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BE" w:rsidRDefault="00C879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7C" w:rsidRDefault="009B2B7C">
      <w:r>
        <w:separator/>
      </w:r>
    </w:p>
  </w:footnote>
  <w:footnote w:type="continuationSeparator" w:id="0">
    <w:p w:rsidR="009B2B7C" w:rsidRDefault="009B2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C9" w:rsidRDefault="003139C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BE" w:rsidRDefault="00C879BE">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left w:w="70" w:type="dxa"/>
        <w:right w:w="70" w:type="dxa"/>
      </w:tblCellMar>
      <w:tblLook w:val="0000" w:firstRow="0" w:lastRow="0" w:firstColumn="0" w:lastColumn="0" w:noHBand="0" w:noVBand="0"/>
    </w:tblPr>
    <w:tblGrid>
      <w:gridCol w:w="1758"/>
      <w:gridCol w:w="7313"/>
    </w:tblGrid>
    <w:tr w:rsidR="0051384C" w:rsidTr="006A3FAE">
      <w:tblPrEx>
        <w:tblCellMar>
          <w:top w:w="0" w:type="dxa"/>
          <w:bottom w:w="0" w:type="dxa"/>
        </w:tblCellMar>
      </w:tblPrEx>
      <w:trPr>
        <w:trHeight w:val="1985"/>
      </w:trPr>
      <w:tc>
        <w:tcPr>
          <w:tcW w:w="1771" w:type="dxa"/>
          <w:tcBorders>
            <w:top w:val="nil"/>
            <w:left w:val="nil"/>
            <w:bottom w:val="double" w:sz="4" w:space="0" w:color="auto"/>
            <w:right w:val="nil"/>
          </w:tcBorders>
        </w:tcPr>
        <w:p w:rsidR="0051384C" w:rsidRDefault="00D86E39" w:rsidP="0051384C">
          <w:pPr>
            <w:pStyle w:val="Intestazione"/>
            <w:jc w:val="center"/>
            <w:rPr>
              <w:rFonts w:ascii="Arial" w:hAnsi="Arial" w:cs="Arial"/>
              <w:sz w:val="28"/>
              <w:szCs w:val="28"/>
            </w:rPr>
          </w:pPr>
          <w:r>
            <w:rPr>
              <w:rFonts w:ascii="Arial" w:hAnsi="Arial" w:cs="Arial"/>
              <w:b/>
              <w:bCs/>
              <w:noProof/>
              <w:sz w:val="40"/>
              <w:szCs w:val="40"/>
            </w:rPr>
            <w:drawing>
              <wp:inline distT="0" distB="0" distL="0" distR="0">
                <wp:extent cx="743585" cy="8870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887095"/>
                        </a:xfrm>
                        <a:prstGeom prst="rect">
                          <a:avLst/>
                        </a:prstGeom>
                        <a:noFill/>
                        <a:ln>
                          <a:noFill/>
                        </a:ln>
                      </pic:spPr>
                    </pic:pic>
                  </a:graphicData>
                </a:graphic>
              </wp:inline>
            </w:drawing>
          </w:r>
        </w:p>
      </w:tc>
      <w:tc>
        <w:tcPr>
          <w:tcW w:w="7440" w:type="dxa"/>
          <w:tcBorders>
            <w:top w:val="nil"/>
            <w:left w:val="nil"/>
            <w:bottom w:val="double" w:sz="4" w:space="0" w:color="auto"/>
            <w:right w:val="nil"/>
          </w:tcBorders>
        </w:tcPr>
        <w:p w:rsidR="0051384C" w:rsidRDefault="0051384C" w:rsidP="0051384C">
          <w:pPr>
            <w:pStyle w:val="Intestazione"/>
            <w:jc w:val="center"/>
            <w:rPr>
              <w:rFonts w:ascii="Garamond" w:hAnsi="Garamond" w:cs="Garamond"/>
              <w:b/>
              <w:bCs/>
              <w:sz w:val="20"/>
              <w:szCs w:val="20"/>
            </w:rPr>
          </w:pPr>
        </w:p>
        <w:p w:rsidR="0051384C" w:rsidRDefault="0051384C" w:rsidP="0051384C">
          <w:pPr>
            <w:pStyle w:val="Intestazione"/>
            <w:jc w:val="center"/>
            <w:rPr>
              <w:rFonts w:ascii="Garamond" w:hAnsi="Garamond" w:cs="Garamond"/>
              <w:b/>
              <w:bCs/>
              <w:sz w:val="36"/>
              <w:szCs w:val="36"/>
            </w:rPr>
          </w:pPr>
          <w:r>
            <w:rPr>
              <w:rFonts w:ascii="Garamond" w:hAnsi="Garamond" w:cs="Garamond"/>
              <w:b/>
              <w:bCs/>
              <w:sz w:val="36"/>
              <w:szCs w:val="36"/>
            </w:rPr>
            <w:t>CITTA’ DI GUARDIAGRELE</w:t>
          </w:r>
        </w:p>
        <w:p w:rsidR="0051384C" w:rsidRDefault="0051384C" w:rsidP="0051384C">
          <w:pPr>
            <w:pStyle w:val="Intestazione"/>
            <w:jc w:val="center"/>
            <w:rPr>
              <w:rFonts w:ascii="Arial" w:hAnsi="Arial" w:cs="Arial"/>
              <w:sz w:val="28"/>
              <w:szCs w:val="28"/>
            </w:rPr>
          </w:pPr>
          <w:r>
            <w:rPr>
              <w:rFonts w:ascii="Garamond" w:hAnsi="Garamond" w:cs="Garamond"/>
              <w:sz w:val="32"/>
              <w:szCs w:val="32"/>
            </w:rPr>
            <w:t>Provincia di Chieti</w:t>
          </w:r>
        </w:p>
      </w:tc>
    </w:tr>
  </w:tbl>
  <w:p w:rsidR="00C879BE" w:rsidRDefault="00C879BE">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ECD"/>
    <w:multiLevelType w:val="hybridMultilevel"/>
    <w:tmpl w:val="BE9C0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7D17C1"/>
    <w:multiLevelType w:val="hybridMultilevel"/>
    <w:tmpl w:val="F98AD2AE"/>
    <w:lvl w:ilvl="0" w:tplc="DC1E08B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62D27"/>
    <w:multiLevelType w:val="hybridMultilevel"/>
    <w:tmpl w:val="E732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96FCC"/>
    <w:multiLevelType w:val="hybridMultilevel"/>
    <w:tmpl w:val="844A6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7D0AF7"/>
    <w:multiLevelType w:val="hybridMultilevel"/>
    <w:tmpl w:val="896A4E9A"/>
    <w:lvl w:ilvl="0" w:tplc="EDA6A5BC">
      <w:start w:val="1"/>
      <w:numFmt w:val="decimal"/>
      <w:lvlText w:val="%1)"/>
      <w:lvlJc w:val="left"/>
      <w:pPr>
        <w:ind w:left="720" w:hanging="360"/>
      </w:pPr>
      <w:rPr>
        <w:rFonts w:cs="Times New Roman" w:hint="default"/>
        <w:color w:val="auto"/>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4A42F62"/>
    <w:multiLevelType w:val="hybridMultilevel"/>
    <w:tmpl w:val="1D7ED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C56403"/>
    <w:multiLevelType w:val="hybridMultilevel"/>
    <w:tmpl w:val="530A129A"/>
    <w:lvl w:ilvl="0" w:tplc="83F248A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0A568CE"/>
    <w:multiLevelType w:val="hybridMultilevel"/>
    <w:tmpl w:val="ED4AAD54"/>
    <w:lvl w:ilvl="0" w:tplc="320E918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C1FA0"/>
    <w:multiLevelType w:val="hybridMultilevel"/>
    <w:tmpl w:val="EAF43A8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8"/>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9C"/>
    <w:rsid w:val="00026894"/>
    <w:rsid w:val="00027CFC"/>
    <w:rsid w:val="000C56CC"/>
    <w:rsid w:val="001C3790"/>
    <w:rsid w:val="003003A0"/>
    <w:rsid w:val="003139C9"/>
    <w:rsid w:val="00315A67"/>
    <w:rsid w:val="003A041E"/>
    <w:rsid w:val="0040753F"/>
    <w:rsid w:val="004D60A8"/>
    <w:rsid w:val="0051384C"/>
    <w:rsid w:val="0053670A"/>
    <w:rsid w:val="005D4155"/>
    <w:rsid w:val="005F69BC"/>
    <w:rsid w:val="006A3FAE"/>
    <w:rsid w:val="006C25AA"/>
    <w:rsid w:val="006F67F2"/>
    <w:rsid w:val="007A30C8"/>
    <w:rsid w:val="009A2F87"/>
    <w:rsid w:val="009B2B7C"/>
    <w:rsid w:val="00A032C1"/>
    <w:rsid w:val="00A07259"/>
    <w:rsid w:val="00BA1A03"/>
    <w:rsid w:val="00C21B11"/>
    <w:rsid w:val="00C7748C"/>
    <w:rsid w:val="00C879BE"/>
    <w:rsid w:val="00C93E9C"/>
    <w:rsid w:val="00D23633"/>
    <w:rsid w:val="00D86E39"/>
    <w:rsid w:val="00D8718D"/>
    <w:rsid w:val="00DD48D7"/>
    <w:rsid w:val="00E73999"/>
    <w:rsid w:val="00EE1105"/>
    <w:rsid w:val="00F91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D9F23165-8056-4106-9575-CC51ADC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widowControl w:val="0"/>
      <w:autoSpaceDE w:val="0"/>
      <w:autoSpaceDN w:val="0"/>
      <w:adjustRightInd w:val="0"/>
      <w:jc w:val="center"/>
      <w:outlineLvl w:val="0"/>
    </w:pPr>
    <w:rPr>
      <w:rFonts w:ascii="Arial" w:hAnsi="Arial" w:cs="Arial"/>
      <w:sz w:val="28"/>
      <w:szCs w:val="28"/>
    </w:rPr>
  </w:style>
  <w:style w:type="paragraph" w:styleId="Titolo2">
    <w:name w:val="heading 2"/>
    <w:basedOn w:val="Normale"/>
    <w:next w:val="Normale"/>
    <w:link w:val="Titolo2Carattere"/>
    <w:uiPriority w:val="99"/>
    <w:qFormat/>
    <w:pPr>
      <w:keepNext/>
      <w:outlineLvl w:val="1"/>
    </w:pPr>
    <w:rPr>
      <w:rFonts w:ascii="Arial" w:hAnsi="Arial" w:cs="Arial"/>
      <w:b/>
      <w:bCs/>
    </w:rPr>
  </w:style>
  <w:style w:type="paragraph" w:styleId="Titolo3">
    <w:name w:val="heading 3"/>
    <w:basedOn w:val="Normale"/>
    <w:next w:val="Normale"/>
    <w:link w:val="Titolo3Carattere"/>
    <w:uiPriority w:val="99"/>
    <w:qFormat/>
    <w:pPr>
      <w:keepNext/>
      <w:widowControl w:val="0"/>
      <w:autoSpaceDE w:val="0"/>
      <w:autoSpaceDN w:val="0"/>
      <w:adjustRightInd w:val="0"/>
      <w:jc w:val="right"/>
      <w:outlineLvl w:val="2"/>
    </w:pPr>
    <w:rPr>
      <w:rFonts w:ascii="Arial" w:hAnsi="Arial" w:cs="Arial"/>
      <w:sz w:val="28"/>
      <w:szCs w:val="28"/>
    </w:rPr>
  </w:style>
  <w:style w:type="paragraph" w:styleId="Titolo4">
    <w:name w:val="heading 4"/>
    <w:basedOn w:val="Normale"/>
    <w:next w:val="Normale"/>
    <w:link w:val="Titolo4Carattere"/>
    <w:uiPriority w:val="99"/>
    <w:qFormat/>
    <w:pPr>
      <w:keepNext/>
      <w:widowControl w:val="0"/>
      <w:autoSpaceDE w:val="0"/>
      <w:autoSpaceDN w:val="0"/>
      <w:adjustRightInd w:val="0"/>
      <w:jc w:val="center"/>
      <w:outlineLvl w:val="3"/>
    </w:pPr>
    <w:rPr>
      <w:rFonts w:ascii="Arial" w:hAnsi="Arial" w:cs="Arial"/>
      <w:b/>
      <w:bCs/>
    </w:rPr>
  </w:style>
  <w:style w:type="paragraph" w:styleId="Titolo5">
    <w:name w:val="heading 5"/>
    <w:basedOn w:val="Normale"/>
    <w:next w:val="Normale"/>
    <w:link w:val="Titolo5Carattere"/>
    <w:uiPriority w:val="99"/>
    <w:qFormat/>
    <w:pPr>
      <w:keepNext/>
      <w:jc w:val="center"/>
      <w:outlineLvl w:val="4"/>
    </w:pPr>
    <w:rPr>
      <w:rFonts w:ascii="Arial" w:hAnsi="Arial" w:cs="Arial"/>
      <w:sz w:val="32"/>
      <w:szCs w:val="32"/>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paragraph" w:styleId="Corpotesto">
    <w:name w:val="Body Text"/>
    <w:basedOn w:val="Normale"/>
    <w:link w:val="CorpotestoCarattere"/>
    <w:uiPriority w:val="99"/>
    <w:pPr>
      <w:widowControl w:val="0"/>
      <w:autoSpaceDE w:val="0"/>
      <w:autoSpaceDN w:val="0"/>
      <w:adjustRightInd w:val="0"/>
      <w:jc w:val="both"/>
    </w:pPr>
    <w:rPr>
      <w:rFonts w:ascii="Arial" w:hAnsi="Arial" w:cs="Arial"/>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deltesto2">
    <w:name w:val="Body Text 2"/>
    <w:basedOn w:val="Normale"/>
    <w:link w:val="Corpodeltesto2Carattere"/>
    <w:uiPriority w:val="99"/>
    <w:pPr>
      <w:ind w:left="1418" w:hanging="1418"/>
      <w:jc w:val="both"/>
    </w:pPr>
    <w:rPr>
      <w:rFonts w:ascii="Courier New" w:hAnsi="Courier New" w:cs="Courier New"/>
      <w:b/>
      <w:bC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table" w:styleId="Grigliatabella">
    <w:name w:val="Table Grid"/>
    <w:basedOn w:val="Tabellanormale"/>
    <w:uiPriority w:val="99"/>
    <w:rsid w:val="00C879B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pPr>
      <w:spacing w:after="160" w:line="259" w:lineRule="auto"/>
    </w:pPr>
    <w:rPr>
      <w:rFonts w:asciiTheme="minorHAnsi" w:eastAsiaTheme="minorEastAsia" w:hAnsiTheme="minorHAnsi"/>
    </w:rPr>
    <w:tblPr>
      <w:tblInd w:w="0" w:type="dxa"/>
      <w:tblCellMar>
        <w:top w:w="0" w:type="dxa"/>
        <w:left w:w="108" w:type="dxa"/>
        <w:bottom w:w="0" w:type="dxa"/>
        <w:right w:w="108" w:type="dxa"/>
      </w:tblCellMar>
    </w:tblPr>
  </w:style>
  <w:style w:type="paragraph" w:customStyle="1" w:styleId="rtf1ListParagraph">
    <w:name w:val="rtf1 List Paragraph"/>
    <w:basedOn w:val="rtf1Normal"/>
    <w:uiPriority w:val="34"/>
    <w:qFormat/>
    <w:rsid w:val="00A032C1"/>
    <w:pPr>
      <w:ind w:left="720"/>
      <w:contextualSpacing/>
    </w:pPr>
    <w:rPr>
      <w:rFonts w:ascii="Calibri" w:hAnsi="Calibri"/>
      <w:lang w:eastAsia="en-US"/>
    </w:rPr>
  </w:style>
  <w:style w:type="paragraph" w:customStyle="1" w:styleId="rtf1rtf1ListParagraph">
    <w:name w:val="rtf1 rtf1 List Paragraph"/>
    <w:basedOn w:val="rtf1Normal"/>
    <w:uiPriority w:val="34"/>
    <w:qFormat/>
    <w:rsid w:val="00A032C1"/>
    <w:pPr>
      <w:ind w:left="720"/>
      <w:contextualSpacing/>
    </w:pPr>
    <w:rPr>
      <w:rFonts w:ascii="Calibri" w:hAnsi="Calibri"/>
      <w:lang w:eastAsia="en-US"/>
    </w:rPr>
  </w:style>
  <w:style w:type="paragraph" w:customStyle="1" w:styleId="rtf1rtf1rtf1BodyText">
    <w:name w:val="rtf1 rtf1 rtf1 Body Text"/>
    <w:basedOn w:val="rtf1Normal"/>
    <w:link w:val="rtf1rtf1rtf1CorpotestoCarattere"/>
    <w:uiPriority w:val="99"/>
    <w:rsid w:val="00A032C1"/>
    <w:pPr>
      <w:jc w:val="both"/>
    </w:pPr>
    <w:rPr>
      <w:rFonts w:ascii="Calibri" w:hAnsi="Calibri"/>
      <w:szCs w:val="22"/>
    </w:rPr>
  </w:style>
  <w:style w:type="character" w:customStyle="1" w:styleId="rtf1rtf1rtf1CorpotestoCarattere">
    <w:name w:val="rtf1 rtf1 rtf1 Corpo testo Carattere"/>
    <w:link w:val="rtf1rtf1rtf1BodyText"/>
    <w:uiPriority w:val="99"/>
    <w:locked/>
    <w:rsid w:val="00A032C1"/>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Raffaella Rossi</cp:lastModifiedBy>
  <cp:revision>2</cp:revision>
  <dcterms:created xsi:type="dcterms:W3CDTF">2021-01-29T10:46:00Z</dcterms:created>
  <dcterms:modified xsi:type="dcterms:W3CDTF">2021-01-29T10:46:00Z</dcterms:modified>
</cp:coreProperties>
</file>