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B5A861" w14:textId="77777777" w:rsidR="00332D6E" w:rsidRDefault="00332D6E" w:rsidP="00332D6E">
      <w:pPr>
        <w:pStyle w:val="Titolo4"/>
        <w:ind w:right="278"/>
        <w:jc w:val="left"/>
        <w:rPr>
          <w:b/>
          <w:bCs/>
          <w:sz w:val="26"/>
          <w:szCs w:val="26"/>
          <w:u w:val="none"/>
        </w:rPr>
      </w:pPr>
    </w:p>
    <w:p w14:paraId="2B097379" w14:textId="77777777" w:rsidR="00700D97" w:rsidRDefault="00700D97" w:rsidP="00700D97"/>
    <w:p w14:paraId="249FA174" w14:textId="77777777" w:rsidR="00700D97" w:rsidRDefault="00700D97" w:rsidP="00700D97"/>
    <w:tbl>
      <w:tblPr>
        <w:tblStyle w:val="rtf1NormalTable"/>
        <w:tblW w:w="0" w:type="auto"/>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4A0" w:firstRow="1" w:lastRow="0" w:firstColumn="1" w:lastColumn="0" w:noHBand="0" w:noVBand="1"/>
      </w:tblPr>
      <w:tblGrid>
        <w:gridCol w:w="1488"/>
        <w:gridCol w:w="8020"/>
      </w:tblGrid>
      <w:tr w:rsidR="000B6CE6" w14:paraId="5E9CC96F" w14:textId="77777777" w:rsidTr="000B6CE6">
        <w:trPr>
          <w:trHeight w:val="1557"/>
        </w:trPr>
        <w:tc>
          <w:tcPr>
            <w:tcW w:w="1488" w:type="dxa"/>
            <w:tcBorders>
              <w:top w:val="single" w:sz="4" w:space="0" w:color="auto"/>
              <w:bottom w:val="single" w:sz="4" w:space="0" w:color="auto"/>
              <w:right w:val="nil"/>
            </w:tcBorders>
            <w:hideMark/>
          </w:tcPr>
          <w:p w14:paraId="1B01B755" w14:textId="183922CE" w:rsidR="000B6CE6" w:rsidRDefault="00CC1381">
            <w:pPr>
              <w:spacing w:line="240" w:lineRule="atLeast"/>
              <w:ind w:right="278"/>
              <w:jc w:val="both"/>
              <w:rPr>
                <w:sz w:val="22"/>
                <w:szCs w:val="22"/>
              </w:rPr>
            </w:pPr>
            <w:r>
              <w:rPr>
                <w:noProof/>
              </w:rPr>
              <w:drawing>
                <wp:anchor distT="0" distB="0" distL="114300" distR="114300" simplePos="0" relativeHeight="251658240" behindDoc="1" locked="0" layoutInCell="1" allowOverlap="1" wp14:anchorId="73F4EFA4" wp14:editId="2BD4A7E1">
                  <wp:simplePos x="0" y="0"/>
                  <wp:positionH relativeFrom="column">
                    <wp:posOffset>53975</wp:posOffset>
                  </wp:positionH>
                  <wp:positionV relativeFrom="paragraph">
                    <wp:posOffset>153670</wp:posOffset>
                  </wp:positionV>
                  <wp:extent cx="715010" cy="715010"/>
                  <wp:effectExtent l="0" t="0" r="0" b="0"/>
                  <wp:wrapNone/>
                  <wp:docPr id="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5010" cy="71501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8020" w:type="dxa"/>
            <w:tcBorders>
              <w:top w:val="single" w:sz="4" w:space="0" w:color="auto"/>
              <w:left w:val="nil"/>
              <w:bottom w:val="single" w:sz="4" w:space="0" w:color="auto"/>
            </w:tcBorders>
          </w:tcPr>
          <w:p w14:paraId="2BE309B4" w14:textId="77777777" w:rsidR="000B6CE6" w:rsidRDefault="000B6CE6">
            <w:pPr>
              <w:pStyle w:val="rtf1heading1"/>
              <w:spacing w:line="276" w:lineRule="auto"/>
              <w:ind w:right="278"/>
              <w:jc w:val="both"/>
              <w:rPr>
                <w:sz w:val="36"/>
                <w:szCs w:val="36"/>
              </w:rPr>
            </w:pPr>
          </w:p>
          <w:p w14:paraId="3FF7FF5B" w14:textId="77777777" w:rsidR="000B6CE6" w:rsidRDefault="000B6CE6">
            <w:pPr>
              <w:pStyle w:val="rtf1heading1"/>
              <w:spacing w:line="276" w:lineRule="auto"/>
              <w:ind w:right="278"/>
              <w:rPr>
                <w:sz w:val="36"/>
                <w:szCs w:val="36"/>
              </w:rPr>
            </w:pPr>
            <w:r>
              <w:rPr>
                <w:sz w:val="36"/>
                <w:szCs w:val="36"/>
              </w:rPr>
              <w:t>COMUNE DI SANTA MARIA IMBARO</w:t>
            </w:r>
          </w:p>
          <w:p w14:paraId="280C0C0B" w14:textId="77777777" w:rsidR="000B6CE6" w:rsidRDefault="000B6CE6">
            <w:pPr>
              <w:pStyle w:val="rtf1heading2"/>
              <w:spacing w:line="276" w:lineRule="auto"/>
              <w:ind w:right="278"/>
              <w:rPr>
                <w:sz w:val="18"/>
                <w:szCs w:val="18"/>
              </w:rPr>
            </w:pPr>
            <w:r>
              <w:rPr>
                <w:sz w:val="18"/>
                <w:szCs w:val="18"/>
              </w:rPr>
              <w:t>PROVINCIA DI CHIETI</w:t>
            </w:r>
          </w:p>
          <w:p w14:paraId="7136CE7F" w14:textId="77777777" w:rsidR="000B6CE6" w:rsidRDefault="000B6CE6">
            <w:pPr>
              <w:spacing w:line="240" w:lineRule="atLeast"/>
              <w:ind w:right="278"/>
              <w:jc w:val="both"/>
              <w:rPr>
                <w:sz w:val="22"/>
                <w:szCs w:val="22"/>
              </w:rPr>
            </w:pPr>
          </w:p>
        </w:tc>
      </w:tr>
    </w:tbl>
    <w:p w14:paraId="3FE8855C" w14:textId="77777777" w:rsidR="006B0F96" w:rsidRDefault="006B0F96"/>
    <w:p w14:paraId="5650F2B0" w14:textId="77777777" w:rsidR="00332D6E" w:rsidRPr="00332D6E" w:rsidRDefault="00332D6E" w:rsidP="00332D6E">
      <w:pPr>
        <w:pStyle w:val="Titolo4"/>
        <w:ind w:right="278"/>
        <w:jc w:val="left"/>
        <w:rPr>
          <w:b/>
          <w:bCs/>
          <w:sz w:val="26"/>
          <w:szCs w:val="26"/>
          <w:u w:val="none"/>
        </w:rPr>
      </w:pPr>
      <w:r>
        <w:rPr>
          <w:b/>
          <w:bCs/>
          <w:sz w:val="26"/>
          <w:szCs w:val="26"/>
          <w:u w:val="none"/>
        </w:rPr>
        <w:t>ORIGINALE</w:t>
      </w:r>
    </w:p>
    <w:p w14:paraId="7A7B22B9" w14:textId="77777777" w:rsidR="007C0064" w:rsidRDefault="007C0064">
      <w:pPr>
        <w:pStyle w:val="Titolo4"/>
        <w:ind w:right="278"/>
        <w:rPr>
          <w:b/>
          <w:bCs/>
          <w:sz w:val="26"/>
          <w:szCs w:val="26"/>
        </w:rPr>
      </w:pPr>
      <w:r>
        <w:rPr>
          <w:b/>
          <w:bCs/>
          <w:sz w:val="26"/>
          <w:szCs w:val="26"/>
        </w:rPr>
        <w:t>UFFICIO TECNICO</w:t>
      </w:r>
    </w:p>
    <w:p w14:paraId="60F01CC6" w14:textId="77777777" w:rsidR="007C0064" w:rsidRDefault="007C0064">
      <w:pPr>
        <w:ind w:right="278"/>
        <w:jc w:val="both"/>
        <w:rPr>
          <w:sz w:val="26"/>
          <w:szCs w:val="26"/>
        </w:rPr>
      </w:pPr>
    </w:p>
    <w:p w14:paraId="768CC4A6" w14:textId="77777777" w:rsidR="007C0064" w:rsidRDefault="007C0064">
      <w:pPr>
        <w:pStyle w:val="Didascalia"/>
        <w:ind w:right="278"/>
        <w:rPr>
          <w:sz w:val="22"/>
          <w:szCs w:val="22"/>
        </w:rPr>
      </w:pPr>
      <w:r>
        <w:rPr>
          <w:sz w:val="22"/>
          <w:szCs w:val="22"/>
        </w:rPr>
        <w:t>DETERMINAZIONE  DEL  RESPONSABILE  DEL  SERVIZIO</w:t>
      </w:r>
    </w:p>
    <w:p w14:paraId="116103A7" w14:textId="77777777" w:rsidR="007C0064" w:rsidRPr="007C0064" w:rsidRDefault="007C0064" w:rsidP="007C0064"/>
    <w:tbl>
      <w:tblPr>
        <w:tblW w:w="0" w:type="auto"/>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1772"/>
        <w:gridCol w:w="1418"/>
        <w:gridCol w:w="6162"/>
      </w:tblGrid>
      <w:tr w:rsidR="007C0064" w14:paraId="4C9D7EAE" w14:textId="77777777">
        <w:trPr>
          <w:cantSplit/>
        </w:trPr>
        <w:tc>
          <w:tcPr>
            <w:tcW w:w="1772" w:type="dxa"/>
            <w:tcBorders>
              <w:top w:val="double" w:sz="4" w:space="0" w:color="auto"/>
              <w:bottom w:val="double" w:sz="4" w:space="0" w:color="auto"/>
              <w:right w:val="triple" w:sz="4" w:space="0" w:color="auto"/>
            </w:tcBorders>
          </w:tcPr>
          <w:p w14:paraId="51D5CE25" w14:textId="77777777" w:rsidR="007C0064" w:rsidRDefault="007C0064">
            <w:pPr>
              <w:ind w:right="278"/>
              <w:jc w:val="both"/>
              <w:rPr>
                <w:sz w:val="22"/>
                <w:szCs w:val="22"/>
              </w:rPr>
            </w:pPr>
            <w:r>
              <w:rPr>
                <w:sz w:val="22"/>
                <w:szCs w:val="22"/>
              </w:rPr>
              <w:t>N. 13</w:t>
            </w:r>
          </w:p>
          <w:p w14:paraId="12524F4A" w14:textId="77777777" w:rsidR="007C0064" w:rsidRDefault="007C0064">
            <w:pPr>
              <w:ind w:right="278"/>
              <w:jc w:val="both"/>
              <w:rPr>
                <w:sz w:val="22"/>
                <w:szCs w:val="22"/>
              </w:rPr>
            </w:pPr>
            <w:r>
              <w:rPr>
                <w:sz w:val="22"/>
                <w:szCs w:val="22"/>
              </w:rPr>
              <w:t xml:space="preserve"> </w:t>
            </w:r>
          </w:p>
          <w:p w14:paraId="7AB8884B" w14:textId="77777777" w:rsidR="007C0064" w:rsidRDefault="007C0064">
            <w:pPr>
              <w:ind w:right="-6"/>
              <w:jc w:val="both"/>
              <w:rPr>
                <w:sz w:val="22"/>
                <w:szCs w:val="22"/>
              </w:rPr>
            </w:pPr>
            <w:r>
              <w:rPr>
                <w:sz w:val="22"/>
                <w:szCs w:val="22"/>
              </w:rPr>
              <w:t>Del 03-02-2025</w:t>
            </w:r>
          </w:p>
          <w:p w14:paraId="1451B137" w14:textId="77777777" w:rsidR="007C0064" w:rsidRDefault="007C0064">
            <w:pPr>
              <w:ind w:right="-6"/>
              <w:jc w:val="both"/>
              <w:rPr>
                <w:sz w:val="22"/>
                <w:szCs w:val="22"/>
              </w:rPr>
            </w:pPr>
          </w:p>
        </w:tc>
        <w:tc>
          <w:tcPr>
            <w:tcW w:w="1418" w:type="dxa"/>
            <w:tcBorders>
              <w:top w:val="double" w:sz="4" w:space="0" w:color="auto"/>
              <w:left w:val="triple" w:sz="4" w:space="0" w:color="auto"/>
              <w:bottom w:val="double" w:sz="4" w:space="0" w:color="auto"/>
              <w:right w:val="single" w:sz="4" w:space="0" w:color="auto"/>
            </w:tcBorders>
            <w:vAlign w:val="center"/>
          </w:tcPr>
          <w:p w14:paraId="1D084A26" w14:textId="77777777" w:rsidR="007C0064" w:rsidRDefault="007C0064">
            <w:pPr>
              <w:pStyle w:val="Corpotesto"/>
              <w:ind w:right="-148"/>
              <w:rPr>
                <w:sz w:val="22"/>
                <w:szCs w:val="22"/>
              </w:rPr>
            </w:pPr>
            <w:r>
              <w:rPr>
                <w:b/>
                <w:bCs/>
                <w:sz w:val="22"/>
                <w:szCs w:val="22"/>
              </w:rPr>
              <w:t xml:space="preserve">OGGETTO: </w:t>
            </w:r>
          </w:p>
        </w:tc>
        <w:tc>
          <w:tcPr>
            <w:tcW w:w="6162" w:type="dxa"/>
            <w:tcBorders>
              <w:top w:val="double" w:sz="4" w:space="0" w:color="auto"/>
              <w:left w:val="single" w:sz="4" w:space="0" w:color="auto"/>
              <w:bottom w:val="double" w:sz="4" w:space="0" w:color="auto"/>
            </w:tcBorders>
            <w:shd w:val="clear" w:color="auto" w:fill="E6E6E6"/>
          </w:tcPr>
          <w:p w14:paraId="62114C00" w14:textId="77777777" w:rsidR="007C0064" w:rsidRDefault="007C0064">
            <w:pPr>
              <w:pStyle w:val="Corpotesto"/>
              <w:jc w:val="left"/>
              <w:rPr>
                <w:sz w:val="22"/>
                <w:szCs w:val="22"/>
              </w:rPr>
            </w:pPr>
            <w:r>
              <w:rPr>
                <w:sz w:val="22"/>
                <w:szCs w:val="22"/>
              </w:rPr>
              <w:t>VAS A CORREDO DELLA VARIANTE GENERALE AL P.R.E. DEL COMUNE DI SANTA MARIA IMBARO  RISCONTRI AI PARERI DEI SOGGETTI COMPETENTI IN MATERIA AMBIENTALE (SCA) COINVOLTI. EX ART. 14 COMMA 1 D.LGS. 152/2006 ED ESPRESSIONE DEL PARERE MOTIVATO EX ART. 15 COMMA 1 D.LGS. 152/2006.</w:t>
            </w:r>
          </w:p>
        </w:tc>
      </w:tr>
    </w:tbl>
    <w:p w14:paraId="5111BB84" w14:textId="77777777" w:rsidR="00252421" w:rsidRPr="00252421" w:rsidRDefault="00252421">
      <w:pPr>
        <w:ind w:right="278"/>
        <w:jc w:val="both"/>
        <w:rPr>
          <w:sz w:val="8"/>
          <w:szCs w:val="8"/>
        </w:rPr>
      </w:pPr>
      <w:r w:rsidRPr="00252421">
        <w:rPr>
          <w:sz w:val="8"/>
          <w:szCs w:val="8"/>
        </w:rPr>
        <w:tab/>
      </w:r>
      <w:r w:rsidRPr="00252421">
        <w:rPr>
          <w:sz w:val="8"/>
          <w:szCs w:val="8"/>
        </w:rPr>
        <w:tab/>
      </w:r>
      <w:r w:rsidRPr="00252421">
        <w:rPr>
          <w:sz w:val="8"/>
          <w:szCs w:val="8"/>
        </w:rPr>
        <w:tab/>
      </w:r>
      <w:r w:rsidRPr="00252421">
        <w:rPr>
          <w:sz w:val="8"/>
          <w:szCs w:val="8"/>
        </w:rPr>
        <w:tab/>
      </w:r>
      <w:r w:rsidRPr="00252421">
        <w:rPr>
          <w:sz w:val="8"/>
          <w:szCs w:val="8"/>
        </w:rPr>
        <w:tab/>
      </w:r>
      <w:r w:rsidRPr="00252421">
        <w:rPr>
          <w:sz w:val="8"/>
          <w:szCs w:val="8"/>
        </w:rPr>
        <w:tab/>
      </w:r>
      <w:r w:rsidRPr="00252421">
        <w:rPr>
          <w:sz w:val="8"/>
          <w:szCs w:val="8"/>
        </w:rPr>
        <w:tab/>
      </w:r>
      <w:r w:rsidRPr="00252421">
        <w:rPr>
          <w:sz w:val="8"/>
          <w:szCs w:val="8"/>
        </w:rPr>
        <w:tab/>
      </w:r>
      <w:r w:rsidRPr="00252421">
        <w:rPr>
          <w:sz w:val="8"/>
          <w:szCs w:val="8"/>
        </w:rPr>
        <w:tab/>
      </w:r>
      <w:r w:rsidRPr="00252421">
        <w:rPr>
          <w:sz w:val="8"/>
          <w:szCs w:val="8"/>
        </w:rPr>
        <w:tab/>
      </w:r>
    </w:p>
    <w:p w14:paraId="30539CC8" w14:textId="77777777" w:rsidR="00252421" w:rsidRDefault="00252421" w:rsidP="00252421">
      <w:pPr>
        <w:ind w:left="6372" w:right="278" w:firstLine="708"/>
        <w:jc w:val="both"/>
        <w:rPr>
          <w:sz w:val="22"/>
          <w:szCs w:val="22"/>
        </w:rPr>
      </w:pPr>
      <w:r>
        <w:rPr>
          <w:sz w:val="22"/>
          <w:szCs w:val="22"/>
        </w:rPr>
        <w:t xml:space="preserve">CIG: </w:t>
      </w:r>
    </w:p>
    <w:p w14:paraId="12B278BB" w14:textId="77777777" w:rsidR="007C0064" w:rsidRDefault="007C0064">
      <w:pPr>
        <w:jc w:val="center"/>
        <w:rPr>
          <w:b/>
          <w:bCs/>
          <w:sz w:val="22"/>
          <w:szCs w:val="22"/>
        </w:rPr>
      </w:pPr>
      <w:r>
        <w:rPr>
          <w:b/>
          <w:bCs/>
          <w:sz w:val="22"/>
          <w:szCs w:val="22"/>
        </w:rPr>
        <w:t>IL RESPONSABILE DEL SERVIZIO</w:t>
      </w:r>
    </w:p>
    <w:p w14:paraId="63CE49C4" w14:textId="77777777" w:rsidR="007C0064" w:rsidRDefault="007C0064">
      <w:pPr>
        <w:rPr>
          <w:b/>
          <w:bCs/>
          <w:sz w:val="22"/>
          <w:szCs w:val="22"/>
        </w:rPr>
      </w:pPr>
    </w:p>
    <w:p w14:paraId="7BF0C801" w14:textId="77777777" w:rsidR="00F5026C" w:rsidRPr="00F5026C" w:rsidRDefault="00F5026C" w:rsidP="00F5026C">
      <w:pPr>
        <w:widowControl w:val="0"/>
        <w:jc w:val="both"/>
        <w:rPr>
          <w:rFonts w:eastAsia="Times New Roman"/>
          <w:sz w:val="28"/>
          <w:szCs w:val="28"/>
        </w:rPr>
      </w:pPr>
      <w:r w:rsidRPr="00F5026C">
        <w:rPr>
          <w:rFonts w:eastAsia="Times New Roman"/>
          <w:b/>
          <w:sz w:val="28"/>
          <w:szCs w:val="28"/>
        </w:rPr>
        <w:t>PREMESSO</w:t>
      </w:r>
      <w:r w:rsidRPr="00F5026C">
        <w:rPr>
          <w:rFonts w:eastAsia="Times New Roman"/>
          <w:b/>
          <w:bCs/>
          <w:sz w:val="28"/>
          <w:szCs w:val="28"/>
        </w:rPr>
        <w:t xml:space="preserve"> CHE</w:t>
      </w:r>
    </w:p>
    <w:p w14:paraId="5F35CC77" w14:textId="77777777" w:rsidR="00F5026C" w:rsidRPr="00F5026C" w:rsidRDefault="00F5026C" w:rsidP="00F5026C">
      <w:pPr>
        <w:numPr>
          <w:ilvl w:val="0"/>
          <w:numId w:val="4"/>
        </w:numPr>
        <w:spacing w:after="160" w:line="259" w:lineRule="auto"/>
        <w:jc w:val="both"/>
        <w:rPr>
          <w:rFonts w:eastAsia="Times New Roman"/>
          <w:sz w:val="28"/>
          <w:szCs w:val="28"/>
        </w:rPr>
      </w:pPr>
      <w:r w:rsidRPr="00F5026C">
        <w:rPr>
          <w:rFonts w:eastAsia="Times New Roman"/>
          <w:sz w:val="28"/>
          <w:szCs w:val="28"/>
        </w:rPr>
        <w:t>l’Amministrazione Comunale di Santa Maria Imbaro ha da tempo avviato la procedura per la redazione di una Variante Generale al Piano Regolatore Esecutivo ed in data 28.03.2019, con delibera di Consiglio Comunale n. 17 è stato approvato il “</w:t>
      </w:r>
      <w:r w:rsidRPr="00F5026C">
        <w:rPr>
          <w:rFonts w:eastAsia="Times New Roman"/>
          <w:i/>
          <w:sz w:val="28"/>
          <w:szCs w:val="28"/>
        </w:rPr>
        <w:t>Documento di orientamento programmatico per la gestione urbanistica del territorio comunale</w:t>
      </w:r>
      <w:r w:rsidRPr="00F5026C">
        <w:rPr>
          <w:rFonts w:eastAsia="Times New Roman"/>
          <w:sz w:val="28"/>
          <w:szCs w:val="28"/>
        </w:rPr>
        <w:t xml:space="preserve">”; </w:t>
      </w:r>
    </w:p>
    <w:p w14:paraId="2DF1E60C" w14:textId="77777777" w:rsidR="00F5026C" w:rsidRPr="00F5026C" w:rsidRDefault="00F5026C" w:rsidP="00F5026C">
      <w:pPr>
        <w:numPr>
          <w:ilvl w:val="0"/>
          <w:numId w:val="4"/>
        </w:numPr>
        <w:spacing w:after="160" w:line="259" w:lineRule="auto"/>
        <w:jc w:val="both"/>
        <w:rPr>
          <w:rFonts w:eastAsia="Times New Roman"/>
          <w:sz w:val="28"/>
          <w:szCs w:val="28"/>
        </w:rPr>
      </w:pPr>
      <w:r w:rsidRPr="00F5026C">
        <w:rPr>
          <w:rFonts w:eastAsia="Times New Roman"/>
          <w:sz w:val="28"/>
          <w:szCs w:val="28"/>
        </w:rPr>
        <w:t xml:space="preserve">tenendo presente quanto espresso nel “Documento di orientamento programmatico per la gestione urbanistica del territorio comunale”, circa la gestione compatibile dello sviluppo territoriale, ed in particolare la presenza di aree ad alta valenza naturalistica, di siti archeologici e degli insediamenti storici, è stato ritenuto opportuno dall’Amministrazione Comunale dare avvio alla procedura di Valutazione Ambientale Strategica (di seguito VAS) ex art. 13 del D.Lgs. n. 152/2006 e s.m.i.; </w:t>
      </w:r>
    </w:p>
    <w:p w14:paraId="341314A8" w14:textId="77777777" w:rsidR="00F5026C" w:rsidRPr="00F5026C" w:rsidRDefault="00F5026C" w:rsidP="00F5026C">
      <w:pPr>
        <w:numPr>
          <w:ilvl w:val="0"/>
          <w:numId w:val="4"/>
        </w:numPr>
        <w:spacing w:after="160" w:line="259" w:lineRule="auto"/>
        <w:jc w:val="both"/>
        <w:rPr>
          <w:rFonts w:eastAsia="Times New Roman"/>
          <w:sz w:val="28"/>
          <w:szCs w:val="28"/>
        </w:rPr>
      </w:pPr>
      <w:r w:rsidRPr="00F5026C">
        <w:rPr>
          <w:rFonts w:eastAsia="Times New Roman"/>
          <w:sz w:val="28"/>
          <w:szCs w:val="28"/>
        </w:rPr>
        <w:t>in merito, con determina del Servizio Tecnico n. 55 del 13/04/2023, si è dato avvio alla procedura di VAS ai sensi dell'art.13 del D.Lgs. n. 152/2006;</w:t>
      </w:r>
    </w:p>
    <w:p w14:paraId="5B0C30A5" w14:textId="77777777" w:rsidR="00F5026C" w:rsidRPr="00F5026C" w:rsidRDefault="00F5026C" w:rsidP="00F5026C">
      <w:pPr>
        <w:numPr>
          <w:ilvl w:val="0"/>
          <w:numId w:val="4"/>
        </w:numPr>
        <w:spacing w:after="160" w:line="259" w:lineRule="auto"/>
        <w:jc w:val="both"/>
        <w:rPr>
          <w:rFonts w:eastAsia="Times New Roman"/>
          <w:sz w:val="28"/>
          <w:szCs w:val="28"/>
        </w:rPr>
      </w:pPr>
      <w:r w:rsidRPr="00F5026C">
        <w:rPr>
          <w:rFonts w:eastAsia="Times New Roman"/>
          <w:sz w:val="28"/>
          <w:szCs w:val="28"/>
        </w:rPr>
        <w:t>procedendo ad una preventiva analisi dei dati si è ritenuto opportuno procedere direttamente alla fase di Analisi Preliminare (fase di Scoping) ai sensi dell’art.13 comma 1 del D.Lgs. n. 152/2006 e s.m.i. in luogo della valutazione preliminare di assoggettabilità a VAS ex art. 12 dello stesso Decreto;</w:t>
      </w:r>
    </w:p>
    <w:p w14:paraId="7DB30BF2" w14:textId="77777777" w:rsidR="00F5026C" w:rsidRPr="00F5026C" w:rsidRDefault="00F5026C" w:rsidP="00F5026C">
      <w:pPr>
        <w:numPr>
          <w:ilvl w:val="0"/>
          <w:numId w:val="4"/>
        </w:numPr>
        <w:spacing w:after="160" w:line="259" w:lineRule="auto"/>
        <w:jc w:val="both"/>
        <w:rPr>
          <w:rFonts w:eastAsia="Times New Roman"/>
          <w:sz w:val="28"/>
          <w:szCs w:val="28"/>
        </w:rPr>
      </w:pPr>
      <w:r w:rsidRPr="00F5026C">
        <w:rPr>
          <w:rFonts w:eastAsia="Times New Roman"/>
          <w:sz w:val="28"/>
          <w:szCs w:val="28"/>
        </w:rPr>
        <w:t xml:space="preserve">con determinazione del Responsabile del Servizio Tecnico n. 116 del 26/09/2022 è stato incaricato il dott. Tommaso Pagliani a predisporre la documentazione per </w:t>
      </w:r>
      <w:r w:rsidRPr="00F5026C">
        <w:rPr>
          <w:rFonts w:eastAsia="Times New Roman"/>
          <w:sz w:val="28"/>
          <w:szCs w:val="28"/>
        </w:rPr>
        <w:lastRenderedPageBreak/>
        <w:t>la VAS di cui all’art. 13 del D.Lgs. 152/2006, necessaria per la procedura di approvazione della variante urbanistica al P.R.E.;</w:t>
      </w:r>
    </w:p>
    <w:p w14:paraId="58DE333B" w14:textId="77777777" w:rsidR="00F5026C" w:rsidRPr="00F5026C" w:rsidRDefault="00F5026C" w:rsidP="00F5026C">
      <w:pPr>
        <w:numPr>
          <w:ilvl w:val="0"/>
          <w:numId w:val="4"/>
        </w:numPr>
        <w:spacing w:after="160" w:line="259" w:lineRule="auto"/>
        <w:jc w:val="both"/>
        <w:rPr>
          <w:rFonts w:eastAsia="Times New Roman"/>
          <w:sz w:val="28"/>
          <w:szCs w:val="28"/>
        </w:rPr>
      </w:pPr>
      <w:r w:rsidRPr="00F5026C">
        <w:rPr>
          <w:rFonts w:eastAsia="Times New Roman"/>
          <w:kern w:val="2"/>
          <w:sz w:val="28"/>
          <w:szCs w:val="28"/>
          <w:lang w:eastAsia="en-US"/>
        </w:rPr>
        <w:t xml:space="preserve">con deliberazione di Consiglio Comunale n.14 del 06-06-2023 è stata adottata la Variante al Piano Regolatore Esecutivo del Comune di Santa Maria Imbaro; </w:t>
      </w:r>
    </w:p>
    <w:p w14:paraId="5F604310" w14:textId="77777777" w:rsidR="00F5026C" w:rsidRPr="00F5026C" w:rsidRDefault="00F5026C" w:rsidP="00F5026C">
      <w:pPr>
        <w:numPr>
          <w:ilvl w:val="0"/>
          <w:numId w:val="4"/>
        </w:numPr>
        <w:spacing w:after="160" w:line="259" w:lineRule="auto"/>
        <w:contextualSpacing/>
        <w:jc w:val="both"/>
        <w:rPr>
          <w:rFonts w:eastAsia="Times New Roman"/>
          <w:kern w:val="2"/>
          <w:sz w:val="28"/>
          <w:szCs w:val="28"/>
          <w:lang w:eastAsia="en-US"/>
        </w:rPr>
      </w:pPr>
      <w:r w:rsidRPr="00F5026C">
        <w:rPr>
          <w:rFonts w:eastAsia="Times New Roman"/>
          <w:kern w:val="2"/>
          <w:sz w:val="28"/>
          <w:szCs w:val="28"/>
          <w:lang w:eastAsia="en-US"/>
        </w:rPr>
        <w:t>con delibera di Consiglio Comunale n. 13 del 06/06/2023 è stato preso atto del rapporto ambientale preliminare (scoping) della VAS, redatto ai sensi dell’art. 13 del D.lgs n. 152/2006, da parte del dott. Pagliani;</w:t>
      </w:r>
    </w:p>
    <w:p w14:paraId="0AF9947B" w14:textId="77777777" w:rsidR="00F5026C" w:rsidRPr="00F5026C" w:rsidRDefault="00F5026C" w:rsidP="00F5026C">
      <w:pPr>
        <w:numPr>
          <w:ilvl w:val="0"/>
          <w:numId w:val="4"/>
        </w:numPr>
        <w:spacing w:after="160" w:line="259" w:lineRule="auto"/>
        <w:contextualSpacing/>
        <w:jc w:val="both"/>
        <w:rPr>
          <w:rFonts w:eastAsia="Times New Roman"/>
          <w:kern w:val="2"/>
          <w:sz w:val="28"/>
          <w:szCs w:val="28"/>
          <w:lang w:eastAsia="en-US"/>
        </w:rPr>
      </w:pPr>
      <w:r w:rsidRPr="00F5026C">
        <w:rPr>
          <w:rFonts w:eastAsia="Times New Roman"/>
          <w:kern w:val="2"/>
          <w:sz w:val="28"/>
          <w:szCs w:val="28"/>
          <w:lang w:eastAsia="en-US"/>
        </w:rPr>
        <w:t>con nota di prot. com. n. 3463 del 13/06/2023 tale rapporto ambientale preliminare è stato inviato alle autorità competenti per le eventuali proposte o osservazioni;</w:t>
      </w:r>
    </w:p>
    <w:p w14:paraId="23C1FA18" w14:textId="77777777" w:rsidR="00F5026C" w:rsidRPr="00F5026C" w:rsidRDefault="00F5026C" w:rsidP="00F5026C">
      <w:pPr>
        <w:numPr>
          <w:ilvl w:val="0"/>
          <w:numId w:val="4"/>
        </w:numPr>
        <w:spacing w:after="160" w:line="259" w:lineRule="auto"/>
        <w:contextualSpacing/>
        <w:jc w:val="both"/>
        <w:rPr>
          <w:rFonts w:eastAsia="Times New Roman"/>
          <w:kern w:val="2"/>
          <w:sz w:val="28"/>
          <w:szCs w:val="28"/>
          <w:lang w:eastAsia="en-US"/>
        </w:rPr>
      </w:pPr>
      <w:r w:rsidRPr="00F5026C">
        <w:rPr>
          <w:rFonts w:eastAsia="Times New Roman"/>
          <w:kern w:val="2"/>
          <w:sz w:val="28"/>
          <w:szCs w:val="28"/>
          <w:lang w:eastAsia="en-US"/>
        </w:rPr>
        <w:t>con prot. com. n. 7534 del 05/11/2024 il dott. Pagliani ha trasmesso a questo Comune il rapporto ambientale con sintesi non tecnica ai sensi dell’art. 13 del D. Lgs. n. 152/2006;</w:t>
      </w:r>
    </w:p>
    <w:p w14:paraId="63A4222A" w14:textId="77777777" w:rsidR="00F5026C" w:rsidRPr="00F5026C" w:rsidRDefault="00F5026C" w:rsidP="00F5026C">
      <w:pPr>
        <w:numPr>
          <w:ilvl w:val="0"/>
          <w:numId w:val="4"/>
        </w:numPr>
        <w:spacing w:after="160" w:line="259" w:lineRule="auto"/>
        <w:contextualSpacing/>
        <w:jc w:val="both"/>
        <w:rPr>
          <w:rFonts w:eastAsia="Times New Roman"/>
          <w:kern w:val="2"/>
          <w:sz w:val="28"/>
          <w:szCs w:val="28"/>
          <w:lang w:eastAsia="en-US"/>
        </w:rPr>
      </w:pPr>
      <w:r w:rsidRPr="00F5026C">
        <w:rPr>
          <w:rFonts w:eastAsia="Times New Roman"/>
          <w:kern w:val="2"/>
          <w:sz w:val="28"/>
          <w:szCs w:val="28"/>
          <w:lang w:eastAsia="en-US"/>
        </w:rPr>
        <w:t>che la detta documentazione è stata trasmessa alle autorità competenti per il parere di valutazione, ai sensi dell’art. 15, c.1, del D.Lgs. 152/2006;</w:t>
      </w:r>
    </w:p>
    <w:p w14:paraId="2ABF8EFC" w14:textId="77777777" w:rsidR="00F5026C" w:rsidRPr="00F5026C" w:rsidRDefault="00F5026C" w:rsidP="00F5026C">
      <w:pPr>
        <w:numPr>
          <w:ilvl w:val="0"/>
          <w:numId w:val="4"/>
        </w:numPr>
        <w:spacing w:after="160" w:line="259" w:lineRule="auto"/>
        <w:contextualSpacing/>
        <w:jc w:val="both"/>
        <w:rPr>
          <w:rFonts w:eastAsia="Times New Roman"/>
          <w:kern w:val="2"/>
          <w:sz w:val="28"/>
          <w:szCs w:val="28"/>
          <w:lang w:eastAsia="en-US"/>
        </w:rPr>
      </w:pPr>
      <w:r w:rsidRPr="00F5026C">
        <w:rPr>
          <w:rFonts w:eastAsia="Times New Roman"/>
          <w:kern w:val="2"/>
          <w:sz w:val="28"/>
          <w:szCs w:val="28"/>
          <w:lang w:eastAsia="en-US"/>
        </w:rPr>
        <w:t>che tra gli enti preposti coinvolti alla valutazione hanno dato i pareri i seguenti SCA che di seguito si riportano:</w:t>
      </w:r>
    </w:p>
    <w:p w14:paraId="11DD1857" w14:textId="77777777" w:rsidR="00F5026C" w:rsidRPr="00F5026C" w:rsidRDefault="00F5026C" w:rsidP="00F5026C">
      <w:pPr>
        <w:numPr>
          <w:ilvl w:val="0"/>
          <w:numId w:val="4"/>
        </w:numPr>
        <w:spacing w:after="160" w:line="259" w:lineRule="auto"/>
        <w:ind w:left="993" w:firstLine="66"/>
        <w:contextualSpacing/>
        <w:jc w:val="both"/>
        <w:rPr>
          <w:rFonts w:eastAsia="Times New Roman"/>
          <w:kern w:val="2"/>
          <w:sz w:val="28"/>
          <w:szCs w:val="28"/>
          <w:lang w:eastAsia="en-US"/>
        </w:rPr>
      </w:pPr>
      <w:r w:rsidRPr="00F5026C">
        <w:rPr>
          <w:rFonts w:eastAsia="Times New Roman"/>
          <w:kern w:val="2"/>
          <w:sz w:val="28"/>
          <w:szCs w:val="28"/>
          <w:lang w:eastAsia="en-US"/>
        </w:rPr>
        <w:t>Regione Abruzzo (dipartimento territorio – ambiente) - nota prot. n. n.0434761/24 del 11/11/2024 - Codice pratica: 24/0434761</w:t>
      </w:r>
    </w:p>
    <w:p w14:paraId="69FB7D52" w14:textId="77777777" w:rsidR="00F5026C" w:rsidRPr="00F5026C" w:rsidRDefault="00F5026C" w:rsidP="00F5026C">
      <w:pPr>
        <w:numPr>
          <w:ilvl w:val="0"/>
          <w:numId w:val="4"/>
        </w:numPr>
        <w:spacing w:after="160" w:line="259" w:lineRule="auto"/>
        <w:ind w:left="1418"/>
        <w:contextualSpacing/>
        <w:jc w:val="both"/>
        <w:rPr>
          <w:rFonts w:eastAsia="Times New Roman"/>
          <w:kern w:val="2"/>
          <w:sz w:val="28"/>
          <w:szCs w:val="28"/>
          <w:lang w:eastAsia="en-US"/>
        </w:rPr>
      </w:pPr>
      <w:r w:rsidRPr="00F5026C">
        <w:rPr>
          <w:rFonts w:eastAsia="Times New Roman"/>
          <w:kern w:val="2"/>
          <w:sz w:val="28"/>
          <w:szCs w:val="28"/>
          <w:lang w:eastAsia="en-US"/>
        </w:rPr>
        <w:t>ASL02 Abruzzo - nota prot. n. 8486 del 12/12/2024</w:t>
      </w:r>
    </w:p>
    <w:p w14:paraId="7003AA13" w14:textId="77777777" w:rsidR="00F5026C" w:rsidRPr="00F5026C" w:rsidRDefault="00F5026C" w:rsidP="00F5026C">
      <w:pPr>
        <w:numPr>
          <w:ilvl w:val="0"/>
          <w:numId w:val="4"/>
        </w:numPr>
        <w:spacing w:after="160" w:line="259" w:lineRule="auto"/>
        <w:ind w:left="1418"/>
        <w:contextualSpacing/>
        <w:jc w:val="both"/>
        <w:rPr>
          <w:rFonts w:eastAsia="Times New Roman"/>
          <w:kern w:val="2"/>
          <w:sz w:val="28"/>
          <w:szCs w:val="28"/>
          <w:lang w:eastAsia="en-US"/>
        </w:rPr>
      </w:pPr>
      <w:r w:rsidRPr="00F5026C">
        <w:rPr>
          <w:rFonts w:eastAsia="Times New Roman"/>
          <w:kern w:val="2"/>
          <w:sz w:val="28"/>
          <w:szCs w:val="28"/>
          <w:lang w:eastAsia="en-US"/>
        </w:rPr>
        <w:t>ARTA Abruzzo - nota prot. n 50559 del 23/12/2024</w:t>
      </w:r>
    </w:p>
    <w:p w14:paraId="57A07B55"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 xml:space="preserve">A seguito di detti pareri di seguito il riscontro alle osservazioni prodotte dai SCA sopracitati:  </w:t>
      </w:r>
    </w:p>
    <w:p w14:paraId="42A86364" w14:textId="77777777" w:rsidR="00F5026C" w:rsidRPr="00F5026C" w:rsidRDefault="00F5026C" w:rsidP="00F5026C">
      <w:pPr>
        <w:spacing w:after="160" w:line="259" w:lineRule="auto"/>
        <w:jc w:val="both"/>
        <w:rPr>
          <w:rFonts w:eastAsia="Times New Roman"/>
          <w:b/>
          <w:bCs/>
          <w:kern w:val="2"/>
          <w:sz w:val="28"/>
          <w:szCs w:val="28"/>
          <w:lang w:eastAsia="en-US"/>
        </w:rPr>
      </w:pPr>
      <w:r w:rsidRPr="00F5026C">
        <w:rPr>
          <w:rFonts w:eastAsia="Times New Roman"/>
          <w:b/>
          <w:bCs/>
          <w:kern w:val="2"/>
          <w:sz w:val="28"/>
          <w:szCs w:val="28"/>
          <w:lang w:eastAsia="en-US"/>
        </w:rPr>
        <w:t>Regione Abruzzo (dipartimento territorio – ambiente) nota prot. n. n.0434761/24 del 11/11/2024 - Codice pratica: 24/0434761</w:t>
      </w:r>
    </w:p>
    <w:p w14:paraId="50F9C24D"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Mancanza dell’Alternativa ‘Zero’</w:t>
      </w:r>
    </w:p>
    <w:p w14:paraId="189FEF0C"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La Variante del PRE è stata redatta a seguito dell’analisi degli indicatori e delle informazioni presenti nel PRE vigente, oltre che di decisioni di carattere politico e strategico per lo sviluppo del territorio di S. Maria Imbaro. Nell’ipotesi di non predisposizione della Variante si sarebbe verificata un’urbanizzazione complessivamente disordinata, soprattutto a causa delle discontinuità delle unità urbanistiche esistenti. In mancanza, sarebbe proseguito lo sviluppo lineare e nastriforme lungo le arterie principali, con la conseguente necessità di realizzare infrastrutture distribuite sul territorio non in modo aggregato e secondo criteri di contenimento del consumo del suolo, ma anche di risorse e di efficientamento dell’energia.</w:t>
      </w:r>
    </w:p>
    <w:p w14:paraId="4AA2687D"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Ragionevoli alternative</w:t>
      </w:r>
    </w:p>
    <w:p w14:paraId="538F680A"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 xml:space="preserve">L’unica alternativa alla Variante oggetto di valutazione avrebbe potuto mantenere il disegno urbanistico precedente alla fase di presentazione delle osservazioni, non accogliendone alcuna, sia di tipo aumentativo (richiesta di ulteriori previsioni di sviluppo) sia di segno opposto (ritorno delle previsioni di sviluppo ad esempio alla </w:t>
      </w:r>
      <w:r w:rsidRPr="00F5026C">
        <w:rPr>
          <w:rFonts w:eastAsia="Times New Roman"/>
          <w:kern w:val="2"/>
          <w:sz w:val="28"/>
          <w:szCs w:val="28"/>
          <w:lang w:eastAsia="en-US"/>
        </w:rPr>
        <w:lastRenderedPageBreak/>
        <w:t>destinazione agricola dei fondi). Il Comune di Santa Maria Imbaro ha invece deciso di accogliere le osservazioni ricevute procedendo al bilanciamento delle due opposte istanze in termini di consumo di suolo e di armonizzazione degli insediamenti, con qualche minimo ampliamento dell’urbanizzato in aree già edificate e parallelamente alla retrocessione in zona agricola di altrettante superfici.</w:t>
      </w:r>
    </w:p>
    <w:p w14:paraId="3F971F4D"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 xml:space="preserve">Matrice di correlazione </w:t>
      </w:r>
    </w:p>
    <w:p w14:paraId="23989462"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 xml:space="preserve">Accogliendo la gradita proposta, la matrice di correlazione verrà approntata dopo l’approvazione della Variante e verrà utilizzata nell’ambito del necessario monitoraggio ex art. 18 del TUA. </w:t>
      </w:r>
    </w:p>
    <w:p w14:paraId="2F812B0D"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L.R. 58/2023</w:t>
      </w:r>
    </w:p>
    <w:p w14:paraId="095D5516"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La Variante ha già tenuto conto in sede di controdeduzioni alle osservazioni dell’inserimento di quanto prescritto dalla sopraggiunta L.R. 58/2023 relativamente al governo del territorio rurale.</w:t>
      </w:r>
    </w:p>
    <w:p w14:paraId="5C95EBC8" w14:textId="77777777" w:rsidR="00F5026C" w:rsidRPr="00F5026C" w:rsidRDefault="00F5026C" w:rsidP="00F5026C">
      <w:pPr>
        <w:spacing w:after="160" w:line="259" w:lineRule="auto"/>
        <w:jc w:val="both"/>
        <w:rPr>
          <w:rFonts w:eastAsia="Times New Roman"/>
          <w:kern w:val="2"/>
          <w:sz w:val="28"/>
          <w:szCs w:val="28"/>
          <w:lang w:eastAsia="en-US"/>
        </w:rPr>
      </w:pPr>
    </w:p>
    <w:p w14:paraId="7E8339BC" w14:textId="77777777" w:rsidR="00F5026C" w:rsidRPr="00F5026C" w:rsidRDefault="00F5026C" w:rsidP="00F5026C">
      <w:pPr>
        <w:spacing w:after="160" w:line="259" w:lineRule="auto"/>
        <w:jc w:val="both"/>
        <w:rPr>
          <w:rFonts w:eastAsia="Times New Roman"/>
          <w:b/>
          <w:bCs/>
          <w:kern w:val="2"/>
          <w:sz w:val="28"/>
          <w:szCs w:val="28"/>
          <w:lang w:eastAsia="en-US"/>
        </w:rPr>
      </w:pPr>
      <w:r w:rsidRPr="00F5026C">
        <w:rPr>
          <w:rFonts w:eastAsia="Times New Roman"/>
          <w:b/>
          <w:bCs/>
          <w:kern w:val="2"/>
          <w:sz w:val="28"/>
          <w:szCs w:val="28"/>
          <w:lang w:eastAsia="en-US"/>
        </w:rPr>
        <w:t>ASL02 Abruzzo - nota prot. n. 8486 del 12/12/2024</w:t>
      </w:r>
    </w:p>
    <w:p w14:paraId="0B4AD896"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Fattori di rischio</w:t>
      </w:r>
    </w:p>
    <w:p w14:paraId="5163AC90"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 xml:space="preserve">Nella predisposizione della Variante e del Rapporto Ambientale si è tenuto conto dei fattori di rischio per la salute dei residenti, non individuando situazioni di significativa rilevanza. </w:t>
      </w:r>
    </w:p>
    <w:p w14:paraId="77DFE162"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Fasce di rispetto</w:t>
      </w:r>
    </w:p>
    <w:p w14:paraId="62D65AF8"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 xml:space="preserve">La zonazione della Variante ha individuato tutti gli elementi presenti sul territorio (strade, antenne di telefonia mobile, depuratori, cimitero, ecc.) perimetrandone le rispettive fasce di rispetto e tenendone debito conto prima di formulare le previsioni di nuovi insediamenti. </w:t>
      </w:r>
    </w:p>
    <w:p w14:paraId="546CCB5D" w14:textId="77777777" w:rsidR="00F5026C" w:rsidRPr="00F5026C" w:rsidRDefault="00F5026C" w:rsidP="00F5026C">
      <w:pPr>
        <w:spacing w:after="160" w:line="259" w:lineRule="auto"/>
        <w:jc w:val="both"/>
        <w:rPr>
          <w:rFonts w:eastAsia="Times New Roman"/>
          <w:b/>
          <w:bCs/>
          <w:kern w:val="2"/>
          <w:sz w:val="28"/>
          <w:szCs w:val="28"/>
          <w:lang w:eastAsia="en-US"/>
        </w:rPr>
      </w:pPr>
    </w:p>
    <w:p w14:paraId="6CC27E82" w14:textId="77777777" w:rsidR="00F5026C" w:rsidRPr="00F5026C" w:rsidRDefault="00F5026C" w:rsidP="00F5026C">
      <w:pPr>
        <w:spacing w:after="160" w:line="259" w:lineRule="auto"/>
        <w:jc w:val="both"/>
        <w:rPr>
          <w:rFonts w:eastAsia="Times New Roman"/>
          <w:b/>
          <w:bCs/>
          <w:kern w:val="2"/>
          <w:sz w:val="28"/>
          <w:szCs w:val="28"/>
          <w:lang w:eastAsia="en-US"/>
        </w:rPr>
      </w:pPr>
      <w:bookmarkStart w:id="0" w:name="_Hlk188868319"/>
      <w:r w:rsidRPr="00F5026C">
        <w:rPr>
          <w:rFonts w:eastAsia="Times New Roman"/>
          <w:b/>
          <w:bCs/>
          <w:kern w:val="2"/>
          <w:sz w:val="28"/>
          <w:szCs w:val="28"/>
          <w:lang w:eastAsia="en-US"/>
        </w:rPr>
        <w:t>ARTA Abruzzo - nota prot. n 50559 del 23/12/2024</w:t>
      </w:r>
    </w:p>
    <w:bookmarkEnd w:id="0"/>
    <w:p w14:paraId="7C7C2541"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Mancata attuazione delle previsioni del PRE vigente</w:t>
      </w:r>
    </w:p>
    <w:p w14:paraId="41AE1B56"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 xml:space="preserve">Come riportato nel “Documento di orientamento programmatico per la gestione urbanistica” e nella Delibera di Consiglio Comunale n. 17 del 28/03/2019, il Comune di Santa Maria Imbaro, per lungo tempo privo di strumento urbanistico, si era inizialmente dotato di un PRE adottato dal Consiglio Comunale il 23/01/95 e approvato dal Consiglio Provinciale il 30/08/98. A distanza di un quinquennio da allora si erano evidenziate l’inefficacia di molte scelte operate nonché rigidezze e incongruenze, elementi che, unitamente alla mancata attuazione di alcune zone di espansione a causa della crisi economica del periodo, alla nuova normativa urbanistica regionale nel frattempo introdotta e al nuovo PTCP, con impostazioni del tutto originali rispetto al passato, hanno indotto l’Amministrazione comunale a </w:t>
      </w:r>
      <w:r w:rsidRPr="00F5026C">
        <w:rPr>
          <w:rFonts w:eastAsia="Times New Roman"/>
          <w:kern w:val="2"/>
          <w:sz w:val="28"/>
          <w:szCs w:val="28"/>
          <w:lang w:eastAsia="en-US"/>
        </w:rPr>
        <w:lastRenderedPageBreak/>
        <w:t>dotarsi della Variante del PRE, che si pone come strumento snello e dinamico per la gestione e lo sviluppo del territorio.</w:t>
      </w:r>
    </w:p>
    <w:p w14:paraId="4F5B7B4C"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Indicazioni del nuovo PTCP</w:t>
      </w:r>
    </w:p>
    <w:p w14:paraId="0395F046"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L’art. 101 comma 2 della L.R. 58/2023 stabilisce che le previsioni dei PTCP approvati con L.R. 18/1983 conservano efficacia fino all'entrata in vigore dei nuovi PTCP.</w:t>
      </w:r>
    </w:p>
    <w:p w14:paraId="2A2F62DB"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Previsione di alternative</w:t>
      </w:r>
    </w:p>
    <w:p w14:paraId="76F03296"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Valgono le medesime considerazioni formulate sull’argomento in risposta alle osservazioni dell’Ufficio VAS della Regione Abruzzo.</w:t>
      </w:r>
    </w:p>
    <w:p w14:paraId="77D1AC2F"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Matrice delle correlazioni</w:t>
      </w:r>
    </w:p>
    <w:p w14:paraId="41C7857A"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Valgono le medesime considerazioni formulate sull’argomento in risposta alle osservazioni dell’Ufficio VAS della Regione Abruzzo.</w:t>
      </w:r>
    </w:p>
    <w:p w14:paraId="1E5883A5"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Incremento dei vani</w:t>
      </w:r>
    </w:p>
    <w:p w14:paraId="44BF211D"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L’incremento del 26% dei vani previsto dalla Variante non si riferisce al recupero dell’esistente, ma rappresenta la reale espansione dei volumi abitabili residenziali rispetto all’esistente.</w:t>
      </w:r>
    </w:p>
    <w:p w14:paraId="73663D02"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Vincoli</w:t>
      </w:r>
    </w:p>
    <w:p w14:paraId="343F7003"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Il regime vincolistico esistente sul territorio di Santa Maria Imbaro è stato valutato e considerato nelle previsioni della Variante sia nella Relazione tecnica e sia nelle NTA della Variante (art. 11). Il primo documento al par. “Vincolo dei beni storico-artistici ed archeologici e aree boscate” indica che “Rientrano in tale vincolo tendente alla tutela delle cose di interesse artistico e storico ed archeologico di cui alla legge n. 1089/1939 le aree sede di reperti archeologici e/o sede di complessi monumentali. Tra queste tutta la fascia del Tratturo Magno L’Aquila-Foggia, ed il sito di insediamento romano, ricompreso nel centro urbano ma strettamente connesso con il tratturo, in cui sono stati fatti recenti ritrovamenti. Il territorio è interessato da alcune aree boschive di tipo ripariale che sono, insieme con le fasce di rispetto dal mare e dai corsi d’acqua, da preservare e valorizzare per pensare al territorio in termini di ambientali e di sviluppo compatibile.”.</w:t>
      </w:r>
    </w:p>
    <w:p w14:paraId="00B8E75B"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Il secondo all’art. 11 individua l’intero regime vincolistico esistente, anche non di tipo ambientale (rispetto alla viabilità, rispetto alle linee elettriche, beni artistici e archeologici, idrogeologico, forestale ed idrogeologico, paesistico e paesaggistico, cimiteriale, aree boscate, verde di rispetto, impianti di trattamento acque reflue) e ne disciplina il rispetto.</w:t>
      </w:r>
    </w:p>
    <w:p w14:paraId="50902D61"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Indicatori per il monitoraggio</w:t>
      </w:r>
    </w:p>
    <w:p w14:paraId="4629B93B"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 xml:space="preserve">Accogliendo la gradita proposta, il set di indicatori previsto per lo sviluppo del monitoraggio ex art. 18 del TUA verrà integrato con quelli previsti nella Strategia </w:t>
      </w:r>
      <w:r w:rsidRPr="00F5026C">
        <w:rPr>
          <w:rFonts w:eastAsia="Times New Roman"/>
          <w:kern w:val="2"/>
          <w:sz w:val="28"/>
          <w:szCs w:val="28"/>
          <w:lang w:eastAsia="en-US"/>
        </w:rPr>
        <w:lastRenderedPageBreak/>
        <w:t>Regionale per lo Sviluppo Sostenibile nonché con specifici indicatori per la misurazione dell’attuazione delle azioni previste e il raggiungimento degli obiettivi fissati.</w:t>
      </w:r>
    </w:p>
    <w:p w14:paraId="49B3ED51" w14:textId="77777777" w:rsidR="00F5026C" w:rsidRPr="00F5026C" w:rsidRDefault="00F5026C" w:rsidP="00F5026C">
      <w:pPr>
        <w:spacing w:after="160" w:line="259" w:lineRule="auto"/>
        <w:jc w:val="both"/>
        <w:rPr>
          <w:rFonts w:eastAsia="Times New Roman"/>
          <w:kern w:val="2"/>
          <w:sz w:val="28"/>
          <w:szCs w:val="28"/>
          <w:u w:val="single"/>
          <w:lang w:eastAsia="en-US"/>
        </w:rPr>
      </w:pPr>
      <w:r w:rsidRPr="00F5026C">
        <w:rPr>
          <w:rFonts w:eastAsia="Times New Roman"/>
          <w:kern w:val="2"/>
          <w:sz w:val="28"/>
          <w:szCs w:val="28"/>
          <w:u w:val="single"/>
          <w:lang w:eastAsia="en-US"/>
        </w:rPr>
        <w:t>Comparto C01 Perilli</w:t>
      </w:r>
    </w:p>
    <w:p w14:paraId="16A410F3" w14:textId="77777777" w:rsidR="00F5026C" w:rsidRPr="00F5026C" w:rsidRDefault="00F5026C" w:rsidP="00F5026C">
      <w:pPr>
        <w:tabs>
          <w:tab w:val="left" w:pos="709"/>
        </w:tabs>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La nuova tecnica urbanistica consiglia di formulare previsioni tese alla connessione di diverse destinazioni volte a facilitare il risparmio energetico all’interno delle unità urbanistiche. Nella zona Perilli non vi sono previsioni che permettano l’insediamento di attività rumorose di alcun tipo legate alla produzione di beni e servizi né risultano presenti o previsti target vulnerabili all’inquinamento acustico, come d’altra parte la compatibilità della Variante al piano comunale di zonazione acustica ha dimostrato. Nell’attuazione del piano di lottizzazione Perilli e, in generale di tutti quelli previsti dalla Variante, si tenterà di inserire in convenzione ipotesi di gestione diretta.</w:t>
      </w:r>
    </w:p>
    <w:p w14:paraId="2F2AE98F" w14:textId="77777777" w:rsidR="00F5026C" w:rsidRPr="00F5026C" w:rsidRDefault="00F5026C" w:rsidP="00F5026C">
      <w:pPr>
        <w:tabs>
          <w:tab w:val="left" w:pos="709"/>
        </w:tabs>
        <w:spacing w:after="160" w:line="259" w:lineRule="auto"/>
        <w:jc w:val="both"/>
        <w:rPr>
          <w:rFonts w:eastAsia="Times New Roman"/>
          <w:kern w:val="2"/>
          <w:sz w:val="28"/>
          <w:szCs w:val="28"/>
          <w:lang w:eastAsia="en-US"/>
        </w:rPr>
      </w:pPr>
      <w:r w:rsidRPr="00F5026C">
        <w:rPr>
          <w:rFonts w:eastAsia="Times New Roman"/>
          <w:b/>
          <w:bCs/>
          <w:kern w:val="2"/>
          <w:sz w:val="28"/>
          <w:szCs w:val="28"/>
          <w:lang w:eastAsia="en-US"/>
        </w:rPr>
        <w:t xml:space="preserve">RITENUTO </w:t>
      </w:r>
      <w:r w:rsidRPr="00F5026C">
        <w:rPr>
          <w:rFonts w:eastAsia="Times New Roman"/>
          <w:kern w:val="2"/>
          <w:sz w:val="28"/>
          <w:szCs w:val="28"/>
          <w:lang w:eastAsia="en-US"/>
        </w:rPr>
        <w:t>sulla base di quanto considerato, rilevato e valutato di poter provvedere ad esprimere il parere motivato di cui all’art.15 del D.to L.vo n. 152/2006;</w:t>
      </w:r>
    </w:p>
    <w:p w14:paraId="1C4EDE08" w14:textId="77777777" w:rsidR="00F5026C" w:rsidRPr="00F5026C" w:rsidRDefault="00F5026C" w:rsidP="00F5026C">
      <w:pPr>
        <w:tabs>
          <w:tab w:val="left" w:pos="709"/>
        </w:tabs>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Per tutto quanto esposto, ai sensi dell’art. 15, comma 1, del D.to L.vo n. 152/2006 e ss.mm.ii.</w:t>
      </w:r>
    </w:p>
    <w:p w14:paraId="18A88C89" w14:textId="77777777" w:rsidR="00F5026C" w:rsidRPr="00F5026C" w:rsidRDefault="00F5026C" w:rsidP="00F5026C">
      <w:pPr>
        <w:spacing w:after="160" w:line="259" w:lineRule="auto"/>
        <w:jc w:val="both"/>
        <w:rPr>
          <w:rFonts w:eastAsia="Times New Roman"/>
          <w:b/>
          <w:bCs/>
          <w:kern w:val="2"/>
          <w:sz w:val="28"/>
          <w:szCs w:val="28"/>
          <w:lang w:eastAsia="en-US"/>
        </w:rPr>
      </w:pPr>
      <w:r w:rsidRPr="00F5026C">
        <w:rPr>
          <w:rFonts w:eastAsia="Times New Roman"/>
          <w:b/>
          <w:bCs/>
          <w:kern w:val="2"/>
          <w:sz w:val="28"/>
          <w:szCs w:val="28"/>
          <w:lang w:eastAsia="en-US"/>
        </w:rPr>
        <w:t>VISTI</w:t>
      </w:r>
    </w:p>
    <w:p w14:paraId="15241D05" w14:textId="77777777" w:rsidR="00F5026C" w:rsidRPr="00F5026C" w:rsidRDefault="00F5026C" w:rsidP="00F5026C">
      <w:pPr>
        <w:numPr>
          <w:ilvl w:val="0"/>
          <w:numId w:val="3"/>
        </w:numPr>
        <w:spacing w:after="160" w:line="259" w:lineRule="auto"/>
        <w:contextualSpacing/>
        <w:jc w:val="both"/>
        <w:rPr>
          <w:rFonts w:eastAsia="Times New Roman"/>
          <w:kern w:val="2"/>
          <w:sz w:val="28"/>
          <w:szCs w:val="28"/>
          <w:lang w:eastAsia="en-US"/>
        </w:rPr>
      </w:pPr>
      <w:r w:rsidRPr="00F5026C">
        <w:rPr>
          <w:rFonts w:eastAsia="Times New Roman"/>
          <w:kern w:val="2"/>
          <w:sz w:val="28"/>
          <w:szCs w:val="28"/>
          <w:lang w:eastAsia="en-US"/>
        </w:rPr>
        <w:t>il D.Lgs 152/2006 e s.m.i.;</w:t>
      </w:r>
    </w:p>
    <w:p w14:paraId="2579F39A" w14:textId="77777777" w:rsidR="00F5026C" w:rsidRPr="00F5026C" w:rsidRDefault="00F5026C" w:rsidP="00F5026C">
      <w:pPr>
        <w:numPr>
          <w:ilvl w:val="0"/>
          <w:numId w:val="3"/>
        </w:numPr>
        <w:spacing w:after="160" w:line="259" w:lineRule="auto"/>
        <w:contextualSpacing/>
        <w:jc w:val="both"/>
        <w:rPr>
          <w:rFonts w:eastAsia="Times New Roman"/>
          <w:kern w:val="2"/>
          <w:sz w:val="28"/>
          <w:szCs w:val="28"/>
          <w:lang w:eastAsia="en-US"/>
        </w:rPr>
      </w:pPr>
      <w:r w:rsidRPr="00F5026C">
        <w:rPr>
          <w:rFonts w:eastAsia="Times New Roman"/>
          <w:kern w:val="2"/>
          <w:sz w:val="28"/>
          <w:szCs w:val="28"/>
          <w:lang w:eastAsia="en-US"/>
        </w:rPr>
        <w:t>la Determina del Servizio Tecnico n. 55 del 13/04/2023, ad oggetto “redazione variante al Piano Regolatore Esecutivo. Avvio della procedura  di valutazione ambientale strategica (V.A.S., direttiva 2001/42/ce) ai sensi dell'art.13 del D.Lgs. n. 152/2006”;</w:t>
      </w:r>
    </w:p>
    <w:p w14:paraId="528329EB" w14:textId="77777777" w:rsidR="00F5026C" w:rsidRPr="00F5026C" w:rsidRDefault="00F5026C" w:rsidP="00F5026C">
      <w:pPr>
        <w:numPr>
          <w:ilvl w:val="0"/>
          <w:numId w:val="3"/>
        </w:numPr>
        <w:spacing w:after="160" w:line="259" w:lineRule="auto"/>
        <w:contextualSpacing/>
        <w:jc w:val="both"/>
        <w:rPr>
          <w:rFonts w:eastAsia="Times New Roman"/>
          <w:kern w:val="2"/>
          <w:sz w:val="28"/>
          <w:szCs w:val="28"/>
          <w:lang w:eastAsia="en-US"/>
        </w:rPr>
      </w:pPr>
      <w:r w:rsidRPr="00F5026C">
        <w:rPr>
          <w:rFonts w:eastAsia="Times New Roman"/>
          <w:kern w:val="2"/>
          <w:sz w:val="28"/>
          <w:szCs w:val="28"/>
          <w:lang w:eastAsia="en-US"/>
        </w:rPr>
        <w:t>il provvedimento del Sindaco con il quale, ai sensi dell’art.107 del T.U.L.O.E.L. del 18/08/2000, n.267, sono stati attribuiti al sottoscritto compiti, funzioni e responsabilità riferiti al servizio tecnico e tecnico manutentivo, di questo Comune;</w:t>
      </w:r>
    </w:p>
    <w:p w14:paraId="0CEC0772" w14:textId="77777777" w:rsidR="00F5026C" w:rsidRPr="00F5026C" w:rsidRDefault="00F5026C" w:rsidP="00F5026C">
      <w:pPr>
        <w:tabs>
          <w:tab w:val="left" w:pos="709"/>
        </w:tabs>
        <w:spacing w:after="160" w:line="259" w:lineRule="auto"/>
        <w:jc w:val="center"/>
        <w:rPr>
          <w:rFonts w:eastAsia="Times New Roman"/>
          <w:kern w:val="2"/>
          <w:sz w:val="28"/>
          <w:szCs w:val="28"/>
          <w:lang w:eastAsia="en-US"/>
        </w:rPr>
      </w:pPr>
      <w:r w:rsidRPr="00F5026C">
        <w:rPr>
          <w:rFonts w:eastAsia="Times New Roman"/>
          <w:kern w:val="2"/>
          <w:sz w:val="28"/>
          <w:szCs w:val="28"/>
          <w:lang w:eastAsia="en-US"/>
        </w:rPr>
        <w:t>DETERMINA</w:t>
      </w:r>
    </w:p>
    <w:p w14:paraId="55E6698B" w14:textId="77777777" w:rsidR="00F5026C" w:rsidRPr="00F5026C" w:rsidRDefault="00F5026C" w:rsidP="00F5026C">
      <w:pPr>
        <w:tabs>
          <w:tab w:val="left" w:pos="709"/>
        </w:tabs>
        <w:spacing w:after="160" w:line="259" w:lineRule="auto"/>
        <w:jc w:val="center"/>
        <w:rPr>
          <w:rFonts w:eastAsia="Times New Roman"/>
          <w:kern w:val="2"/>
          <w:sz w:val="28"/>
          <w:szCs w:val="28"/>
          <w:lang w:eastAsia="en-US"/>
        </w:rPr>
      </w:pPr>
      <w:r w:rsidRPr="00F5026C">
        <w:rPr>
          <w:rFonts w:eastAsia="Times New Roman"/>
          <w:kern w:val="2"/>
          <w:sz w:val="28"/>
          <w:szCs w:val="28"/>
          <w:lang w:eastAsia="en-US"/>
        </w:rPr>
        <w:t>DI ESPRIMERE PARERE MOTIVATO FAVOREVOLE</w:t>
      </w:r>
    </w:p>
    <w:p w14:paraId="036BDE21" w14:textId="77777777" w:rsidR="00F5026C" w:rsidRPr="00F5026C" w:rsidRDefault="00F5026C" w:rsidP="00F5026C">
      <w:pPr>
        <w:tabs>
          <w:tab w:val="left" w:pos="567"/>
        </w:tabs>
        <w:spacing w:after="160" w:line="259" w:lineRule="auto"/>
        <w:contextualSpacing/>
        <w:jc w:val="both"/>
        <w:rPr>
          <w:rFonts w:eastAsia="Times New Roman"/>
          <w:kern w:val="2"/>
          <w:sz w:val="28"/>
          <w:szCs w:val="28"/>
          <w:lang w:eastAsia="en-US"/>
        </w:rPr>
      </w:pPr>
      <w:r w:rsidRPr="00F5026C">
        <w:rPr>
          <w:rFonts w:eastAsia="Times New Roman"/>
          <w:kern w:val="2"/>
          <w:sz w:val="28"/>
          <w:szCs w:val="28"/>
          <w:lang w:eastAsia="en-US"/>
        </w:rPr>
        <w:t xml:space="preserve">- ai sensi dell'art. 15 del D.Lgs. 3 aprile 2006, n. 152 e s.m.i., al Rapporto Ambientale, alla Sintesi non tecnica ed al Piano di Monitoraggio della Variante al Piano Regolatore Esecutivo del Comune di Santa Maria Imbaro, adottata con deliberazione di Consiglio Comunale n.14 del 06-06-2023, a condizione che sia rispettato quanto previsto dall’art. 18 (“Monitoraggio”) del Decreto Legislativo 3 aprile 2006, n. 152 (Norme in materia ambientale); </w:t>
      </w:r>
    </w:p>
    <w:p w14:paraId="5C35494A" w14:textId="77777777" w:rsidR="00F5026C" w:rsidRPr="00F5026C" w:rsidRDefault="00F5026C" w:rsidP="00F5026C">
      <w:pPr>
        <w:tabs>
          <w:tab w:val="left" w:pos="567"/>
        </w:tabs>
        <w:spacing w:after="160" w:line="259" w:lineRule="auto"/>
        <w:contextualSpacing/>
        <w:jc w:val="both"/>
        <w:rPr>
          <w:rFonts w:eastAsia="Times New Roman"/>
          <w:kern w:val="2"/>
          <w:sz w:val="28"/>
          <w:szCs w:val="28"/>
          <w:lang w:eastAsia="en-US"/>
        </w:rPr>
      </w:pPr>
      <w:r w:rsidRPr="00F5026C">
        <w:rPr>
          <w:rFonts w:eastAsia="Times New Roman"/>
          <w:kern w:val="2"/>
          <w:sz w:val="28"/>
          <w:szCs w:val="28"/>
          <w:lang w:eastAsia="en-US"/>
        </w:rPr>
        <w:t>- di apportare le modifiche proposte nei pareri dei SCA coinvolti nell’ambito dello svolgimento del Rapporto di monitoraggio ex art. 18 D.Lgs 152/2006.</w:t>
      </w:r>
    </w:p>
    <w:p w14:paraId="034989A8" w14:textId="77777777" w:rsidR="00F5026C" w:rsidRPr="00F5026C" w:rsidRDefault="00F5026C" w:rsidP="00F5026C">
      <w:pPr>
        <w:spacing w:after="160" w:line="259" w:lineRule="auto"/>
        <w:jc w:val="both"/>
        <w:rPr>
          <w:rFonts w:eastAsia="Times New Roman"/>
          <w:kern w:val="2"/>
          <w:sz w:val="28"/>
          <w:szCs w:val="28"/>
          <w:lang w:eastAsia="en-US"/>
        </w:rPr>
      </w:pPr>
      <w:r w:rsidRPr="00F5026C">
        <w:rPr>
          <w:rFonts w:eastAsia="Times New Roman"/>
          <w:kern w:val="2"/>
          <w:sz w:val="28"/>
          <w:szCs w:val="28"/>
          <w:lang w:eastAsia="en-US"/>
        </w:rPr>
        <w:t>Il presente Atto è trasmesso all’Autorità Procedente per la prosecuzione del procedimento di approvazione della variante al vigente Piano Regolatore Esecutivo del Comune di Santa Maria Imbaro.</w:t>
      </w:r>
    </w:p>
    <w:p w14:paraId="3732A97B" w14:textId="77777777" w:rsidR="00E10E66" w:rsidRDefault="00E10E66">
      <w:pPr>
        <w:widowControl w:val="0"/>
        <w:autoSpaceDE w:val="0"/>
        <w:autoSpaceDN w:val="0"/>
        <w:adjustRightInd w:val="0"/>
        <w:jc w:val="both"/>
      </w:pPr>
    </w:p>
    <w:p w14:paraId="2D9C970C" w14:textId="77777777" w:rsidR="00E10E66" w:rsidRDefault="00E10E66">
      <w:pPr>
        <w:widowControl w:val="0"/>
        <w:autoSpaceDE w:val="0"/>
        <w:autoSpaceDN w:val="0"/>
        <w:adjustRightInd w:val="0"/>
        <w:jc w:val="both"/>
        <w:rPr>
          <w:rFonts w:eastAsia="Times New Roman"/>
        </w:rPr>
      </w:pPr>
    </w:p>
    <w:tbl>
      <w:tblPr>
        <w:tblW w:w="0" w:type="auto"/>
        <w:tblCellMar>
          <w:left w:w="70" w:type="dxa"/>
          <w:right w:w="70" w:type="dxa"/>
        </w:tblCellMar>
        <w:tblLook w:val="0000" w:firstRow="0" w:lastRow="0" w:firstColumn="0" w:lastColumn="0" w:noHBand="0" w:noVBand="0"/>
      </w:tblPr>
      <w:tblGrid>
        <w:gridCol w:w="4809"/>
        <w:gridCol w:w="4829"/>
      </w:tblGrid>
      <w:tr w:rsidR="007C0064" w14:paraId="50424ED2" w14:textId="77777777">
        <w:tblPrEx>
          <w:tblCellMar>
            <w:top w:w="0" w:type="dxa"/>
            <w:bottom w:w="0" w:type="dxa"/>
          </w:tblCellMar>
        </w:tblPrEx>
        <w:tc>
          <w:tcPr>
            <w:tcW w:w="4889" w:type="dxa"/>
            <w:tcBorders>
              <w:top w:val="nil"/>
              <w:left w:val="nil"/>
              <w:bottom w:val="nil"/>
              <w:right w:val="nil"/>
            </w:tcBorders>
          </w:tcPr>
          <w:p w14:paraId="6B5B7D26" w14:textId="77777777" w:rsidR="007C0064" w:rsidRDefault="007C0064">
            <w:pPr>
              <w:jc w:val="both"/>
              <w:rPr>
                <w:sz w:val="22"/>
                <w:szCs w:val="22"/>
              </w:rPr>
            </w:pPr>
          </w:p>
        </w:tc>
        <w:tc>
          <w:tcPr>
            <w:tcW w:w="4889" w:type="dxa"/>
            <w:tcBorders>
              <w:top w:val="nil"/>
              <w:left w:val="nil"/>
              <w:bottom w:val="nil"/>
              <w:right w:val="nil"/>
            </w:tcBorders>
          </w:tcPr>
          <w:p w14:paraId="2FDD1A2F" w14:textId="77777777" w:rsidR="007C0064" w:rsidRDefault="007C0064">
            <w:pPr>
              <w:jc w:val="center"/>
              <w:rPr>
                <w:sz w:val="22"/>
                <w:szCs w:val="22"/>
              </w:rPr>
            </w:pPr>
            <w:r>
              <w:rPr>
                <w:sz w:val="22"/>
                <w:szCs w:val="22"/>
              </w:rPr>
              <w:t>Il Responsabile del Servizio</w:t>
            </w:r>
          </w:p>
        </w:tc>
      </w:tr>
      <w:tr w:rsidR="007C0064" w14:paraId="720BE845" w14:textId="77777777">
        <w:tblPrEx>
          <w:tblCellMar>
            <w:top w:w="0" w:type="dxa"/>
            <w:bottom w:w="0" w:type="dxa"/>
          </w:tblCellMar>
        </w:tblPrEx>
        <w:tc>
          <w:tcPr>
            <w:tcW w:w="4889" w:type="dxa"/>
            <w:tcBorders>
              <w:top w:val="nil"/>
              <w:left w:val="nil"/>
              <w:bottom w:val="nil"/>
              <w:right w:val="nil"/>
            </w:tcBorders>
          </w:tcPr>
          <w:p w14:paraId="1AD6AEA6" w14:textId="77777777" w:rsidR="007C0064" w:rsidRDefault="007C0064">
            <w:pPr>
              <w:jc w:val="both"/>
              <w:rPr>
                <w:sz w:val="22"/>
                <w:szCs w:val="22"/>
              </w:rPr>
            </w:pPr>
          </w:p>
        </w:tc>
        <w:tc>
          <w:tcPr>
            <w:tcW w:w="4889" w:type="dxa"/>
            <w:tcBorders>
              <w:top w:val="nil"/>
              <w:left w:val="nil"/>
              <w:bottom w:val="nil"/>
              <w:right w:val="nil"/>
            </w:tcBorders>
          </w:tcPr>
          <w:p w14:paraId="38F6E069" w14:textId="77777777" w:rsidR="007C0064" w:rsidRDefault="007C0064">
            <w:pPr>
              <w:jc w:val="center"/>
              <w:rPr>
                <w:sz w:val="22"/>
                <w:szCs w:val="22"/>
              </w:rPr>
            </w:pPr>
            <w:r>
              <w:rPr>
                <w:sz w:val="22"/>
                <w:szCs w:val="22"/>
              </w:rPr>
              <w:t>DI CIANO CAMILLO</w:t>
            </w:r>
          </w:p>
        </w:tc>
      </w:tr>
    </w:tbl>
    <w:p w14:paraId="4DDA8DE3" w14:textId="77777777" w:rsidR="007C0064" w:rsidRDefault="007C0064">
      <w:pPr>
        <w:jc w:val="both"/>
        <w:rPr>
          <w:sz w:val="22"/>
          <w:szCs w:val="22"/>
        </w:rPr>
      </w:pPr>
    </w:p>
    <w:p w14:paraId="548209D1" w14:textId="77777777" w:rsidR="007C0064" w:rsidRDefault="007C0064">
      <w:pPr>
        <w:jc w:val="both"/>
        <w:rPr>
          <w:sz w:val="22"/>
          <w:szCs w:val="22"/>
        </w:rPr>
      </w:pPr>
      <w:r>
        <w:rPr>
          <w:sz w:val="22"/>
          <w:szCs w:val="22"/>
        </w:rPr>
        <w:br w:type="page"/>
      </w:r>
    </w:p>
    <w:p w14:paraId="1BBF744A" w14:textId="77777777" w:rsidR="007C0064" w:rsidRDefault="007C0064">
      <w:pPr>
        <w:jc w:val="both"/>
        <w:rPr>
          <w:sz w:val="22"/>
          <w:szCs w:val="22"/>
        </w:rPr>
      </w:pPr>
    </w:p>
    <w:p w14:paraId="1ADCFACD" w14:textId="77777777" w:rsidR="007C0064" w:rsidRDefault="007C0064">
      <w:pPr>
        <w:jc w:val="both"/>
        <w:rPr>
          <w:sz w:val="22"/>
          <w:szCs w:val="22"/>
        </w:rPr>
      </w:pPr>
      <w:r>
        <w:rPr>
          <w:sz w:val="22"/>
          <w:szCs w:val="22"/>
        </w:rPr>
        <w:tab/>
      </w:r>
      <w:r>
        <w:rPr>
          <w:sz w:val="22"/>
          <w:szCs w:val="22"/>
        </w:rPr>
        <w:tab/>
      </w:r>
      <w:r>
        <w:rPr>
          <w:sz w:val="22"/>
          <w:szCs w:val="22"/>
        </w:rPr>
        <w:tab/>
      </w:r>
    </w:p>
    <w:p w14:paraId="2A8E3BA1" w14:textId="77777777" w:rsidR="007C0064" w:rsidRDefault="007C0064">
      <w:pPr>
        <w:pStyle w:val="Titolo3"/>
        <w:rPr>
          <w:rFonts w:ascii="Times New Roman" w:hAnsi="Times New Roman" w:cs="Times New Roman"/>
          <w:b w:val="0"/>
          <w:bCs w:val="0"/>
          <w:sz w:val="22"/>
          <w:szCs w:val="22"/>
        </w:rPr>
      </w:pPr>
      <w:r>
        <w:rPr>
          <w:rFonts w:ascii="Times New Roman" w:hAnsi="Times New Roman" w:cs="Times New Roman"/>
          <w:b w:val="0"/>
          <w:bCs w:val="0"/>
          <w:sz w:val="22"/>
          <w:szCs w:val="22"/>
        </w:rPr>
        <w:t xml:space="preserve">                                 </w:t>
      </w:r>
      <w:r>
        <w:rPr>
          <w:rFonts w:ascii="Times New Roman" w:hAnsi="Times New Roman" w:cs="Times New Roman"/>
          <w:b w:val="0"/>
          <w:bCs w:val="0"/>
          <w:sz w:val="22"/>
          <w:szCs w:val="22"/>
        </w:rPr>
        <w:tab/>
        <w:t xml:space="preserve">        </w:t>
      </w:r>
    </w:p>
    <w:tbl>
      <w:tblPr>
        <w:tblW w:w="9779" w:type="dxa"/>
        <w:tblLayout w:type="fixed"/>
        <w:tblCellMar>
          <w:left w:w="70" w:type="dxa"/>
          <w:right w:w="70" w:type="dxa"/>
        </w:tblCellMar>
        <w:tblLook w:val="0000" w:firstRow="0" w:lastRow="0" w:firstColumn="0" w:lastColumn="0" w:noHBand="0" w:noVBand="0"/>
      </w:tblPr>
      <w:tblGrid>
        <w:gridCol w:w="4438"/>
        <w:gridCol w:w="27"/>
        <w:gridCol w:w="424"/>
        <w:gridCol w:w="4890"/>
      </w:tblGrid>
      <w:tr w:rsidR="007C0064" w14:paraId="5865930F" w14:textId="77777777">
        <w:tblPrEx>
          <w:tblCellMar>
            <w:top w:w="0" w:type="dxa"/>
            <w:bottom w:w="0" w:type="dxa"/>
          </w:tblCellMar>
        </w:tblPrEx>
        <w:trPr>
          <w:gridAfter w:val="2"/>
          <w:wAfter w:w="5314" w:type="dxa"/>
        </w:trPr>
        <w:tc>
          <w:tcPr>
            <w:tcW w:w="4465" w:type="dxa"/>
            <w:gridSpan w:val="2"/>
            <w:tcBorders>
              <w:top w:val="single" w:sz="6" w:space="0" w:color="auto"/>
              <w:left w:val="single" w:sz="6" w:space="0" w:color="auto"/>
              <w:bottom w:val="single" w:sz="6" w:space="0" w:color="auto"/>
              <w:right w:val="single" w:sz="6" w:space="0" w:color="auto"/>
            </w:tcBorders>
            <w:shd w:val="pct5" w:color="auto" w:fill="auto"/>
          </w:tcPr>
          <w:p w14:paraId="2D9248F6" w14:textId="77777777" w:rsidR="007C0064" w:rsidRDefault="007C0064">
            <w:pPr>
              <w:pStyle w:val="Titolo1"/>
              <w:rPr>
                <w:sz w:val="22"/>
                <w:szCs w:val="22"/>
              </w:rPr>
            </w:pPr>
            <w:r>
              <w:rPr>
                <w:sz w:val="22"/>
                <w:szCs w:val="22"/>
              </w:rPr>
              <w:t>TRASMISSIONE AL SERVIZIO FINANZIARIO</w:t>
            </w:r>
          </w:p>
          <w:p w14:paraId="6005C50E" w14:textId="77777777" w:rsidR="007C0064" w:rsidRDefault="007C0064">
            <w:pPr>
              <w:rPr>
                <w:sz w:val="22"/>
                <w:szCs w:val="22"/>
              </w:rPr>
            </w:pPr>
          </w:p>
        </w:tc>
      </w:tr>
      <w:tr w:rsidR="007C0064" w14:paraId="51C84030" w14:textId="77777777">
        <w:tblPrEx>
          <w:tblBorders>
            <w:top w:val="single" w:sz="6" w:space="0" w:color="auto"/>
            <w:left w:val="single" w:sz="6" w:space="0" w:color="auto"/>
            <w:bottom w:val="single" w:sz="6" w:space="0" w:color="auto"/>
            <w:right w:val="single" w:sz="6" w:space="0" w:color="auto"/>
          </w:tblBorders>
          <w:tblCellMar>
            <w:top w:w="0" w:type="dxa"/>
            <w:bottom w:w="0" w:type="dxa"/>
          </w:tblCellMar>
        </w:tblPrEx>
        <w:trPr>
          <w:cantSplit/>
          <w:trHeight w:val="885"/>
        </w:trPr>
        <w:tc>
          <w:tcPr>
            <w:tcW w:w="9779" w:type="dxa"/>
            <w:gridSpan w:val="4"/>
            <w:tcBorders>
              <w:top w:val="single" w:sz="4" w:space="0" w:color="auto"/>
              <w:bottom w:val="nil"/>
            </w:tcBorders>
          </w:tcPr>
          <w:p w14:paraId="4BC792A5" w14:textId="77777777" w:rsidR="007C0064" w:rsidRDefault="007C0064">
            <w:pPr>
              <w:rPr>
                <w:sz w:val="22"/>
                <w:szCs w:val="22"/>
              </w:rPr>
            </w:pPr>
            <w:r>
              <w:rPr>
                <w:sz w:val="22"/>
                <w:szCs w:val="22"/>
              </w:rPr>
              <w:t xml:space="preserve">            Si trasmette al responsabile del servizio finanziario in originale e copia per l'apposizione del visto di regolarità contabile attestante la copertura finanziaria, ai sensi delle vigenti disposizioni in materia.</w:t>
            </w:r>
          </w:p>
          <w:p w14:paraId="4251A8DF" w14:textId="77777777" w:rsidR="007C0064" w:rsidRDefault="007C0064" w:rsidP="00AC7F9F">
            <w:pPr>
              <w:rPr>
                <w:sz w:val="22"/>
                <w:szCs w:val="22"/>
              </w:rPr>
            </w:pPr>
          </w:p>
        </w:tc>
      </w:tr>
      <w:tr w:rsidR="007C0064" w14:paraId="13D89551" w14:textId="77777777">
        <w:tblPrEx>
          <w:tblBorders>
            <w:top w:val="single" w:sz="6" w:space="0" w:color="auto"/>
            <w:left w:val="single" w:sz="6" w:space="0" w:color="auto"/>
            <w:bottom w:val="single" w:sz="6" w:space="0" w:color="auto"/>
            <w:right w:val="single" w:sz="6" w:space="0" w:color="auto"/>
          </w:tblBorders>
          <w:tblCellMar>
            <w:top w:w="0" w:type="dxa"/>
            <w:bottom w:w="0" w:type="dxa"/>
          </w:tblCellMar>
        </w:tblPrEx>
        <w:trPr>
          <w:trHeight w:val="885"/>
        </w:trPr>
        <w:tc>
          <w:tcPr>
            <w:tcW w:w="4438" w:type="dxa"/>
            <w:tcBorders>
              <w:top w:val="nil"/>
              <w:bottom w:val="single" w:sz="6" w:space="0" w:color="auto"/>
              <w:right w:val="nil"/>
            </w:tcBorders>
          </w:tcPr>
          <w:p w14:paraId="0A534EBA" w14:textId="77777777" w:rsidR="007C0064" w:rsidRDefault="007C0064">
            <w:pPr>
              <w:rPr>
                <w:sz w:val="22"/>
                <w:szCs w:val="22"/>
              </w:rPr>
            </w:pPr>
            <w:r>
              <w:rPr>
                <w:sz w:val="22"/>
                <w:szCs w:val="22"/>
              </w:rPr>
              <w:t xml:space="preserve">Lì 03-02-2025                                                                                             </w:t>
            </w:r>
          </w:p>
        </w:tc>
        <w:tc>
          <w:tcPr>
            <w:tcW w:w="5341" w:type="dxa"/>
            <w:gridSpan w:val="3"/>
            <w:tcBorders>
              <w:top w:val="nil"/>
              <w:left w:val="nil"/>
              <w:bottom w:val="single" w:sz="6" w:space="0" w:color="auto"/>
            </w:tcBorders>
          </w:tcPr>
          <w:p w14:paraId="38FFEE84" w14:textId="77777777" w:rsidR="007C0064" w:rsidRDefault="007C0064">
            <w:pPr>
              <w:jc w:val="center"/>
              <w:rPr>
                <w:sz w:val="22"/>
                <w:szCs w:val="22"/>
              </w:rPr>
            </w:pPr>
            <w:r>
              <w:rPr>
                <w:sz w:val="22"/>
                <w:szCs w:val="22"/>
              </w:rPr>
              <w:t>Il Responsabile del Servizio</w:t>
            </w:r>
          </w:p>
          <w:p w14:paraId="4D6E1997" w14:textId="77777777" w:rsidR="007C0064" w:rsidRDefault="007C0064">
            <w:pPr>
              <w:jc w:val="center"/>
              <w:rPr>
                <w:sz w:val="22"/>
                <w:szCs w:val="22"/>
              </w:rPr>
            </w:pPr>
            <w:r>
              <w:rPr>
                <w:sz w:val="22"/>
                <w:szCs w:val="22"/>
              </w:rPr>
              <w:t>DI CIANO CAMILLO</w:t>
            </w:r>
          </w:p>
        </w:tc>
      </w:tr>
      <w:tr w:rsidR="007C0064" w14:paraId="28BC9949" w14:textId="77777777">
        <w:tblPrEx>
          <w:tblCellMar>
            <w:top w:w="0" w:type="dxa"/>
            <w:bottom w:w="0" w:type="dxa"/>
          </w:tblCellMar>
        </w:tblPrEx>
        <w:trPr>
          <w:gridAfter w:val="3"/>
          <w:wAfter w:w="5341" w:type="dxa"/>
        </w:trPr>
        <w:tc>
          <w:tcPr>
            <w:tcW w:w="4438" w:type="dxa"/>
            <w:tcBorders>
              <w:top w:val="single" w:sz="6" w:space="0" w:color="auto"/>
              <w:left w:val="single" w:sz="6" w:space="0" w:color="auto"/>
              <w:bottom w:val="single" w:sz="6" w:space="0" w:color="auto"/>
              <w:right w:val="single" w:sz="6" w:space="0" w:color="auto"/>
            </w:tcBorders>
            <w:shd w:val="pct5" w:color="auto" w:fill="auto"/>
          </w:tcPr>
          <w:p w14:paraId="76E507A2" w14:textId="77777777" w:rsidR="007C0064" w:rsidRDefault="007C0064">
            <w:pPr>
              <w:spacing w:line="240" w:lineRule="atLeast"/>
              <w:rPr>
                <w:b/>
                <w:bCs/>
                <w:sz w:val="22"/>
                <w:szCs w:val="22"/>
              </w:rPr>
            </w:pPr>
            <w:r>
              <w:rPr>
                <w:b/>
                <w:bCs/>
                <w:sz w:val="22"/>
                <w:szCs w:val="22"/>
              </w:rPr>
              <w:t>SERVIZIO FINANZIARIO E CONTABILE</w:t>
            </w:r>
          </w:p>
          <w:p w14:paraId="4B62CF6E" w14:textId="77777777" w:rsidR="007C0064" w:rsidRDefault="007C0064">
            <w:pPr>
              <w:spacing w:line="240" w:lineRule="atLeast"/>
              <w:rPr>
                <w:sz w:val="22"/>
                <w:szCs w:val="22"/>
              </w:rPr>
            </w:pPr>
          </w:p>
        </w:tc>
      </w:tr>
      <w:tr w:rsidR="007C0064" w14:paraId="09B91640" w14:textId="77777777">
        <w:tblPrEx>
          <w:tblCellMar>
            <w:top w:w="0" w:type="dxa"/>
            <w:bottom w:w="0" w:type="dxa"/>
          </w:tblCellMar>
        </w:tblPrEx>
        <w:trPr>
          <w:cantSplit/>
          <w:trHeight w:val="1515"/>
        </w:trPr>
        <w:tc>
          <w:tcPr>
            <w:tcW w:w="9779" w:type="dxa"/>
            <w:gridSpan w:val="4"/>
            <w:tcBorders>
              <w:top w:val="single" w:sz="6" w:space="0" w:color="auto"/>
              <w:left w:val="single" w:sz="6" w:space="0" w:color="auto"/>
              <w:bottom w:val="nil"/>
              <w:right w:val="single" w:sz="6" w:space="0" w:color="auto"/>
            </w:tcBorders>
          </w:tcPr>
          <w:p w14:paraId="665155B1" w14:textId="77777777" w:rsidR="007C0064" w:rsidRDefault="007C0064">
            <w:pPr>
              <w:jc w:val="both"/>
              <w:rPr>
                <w:sz w:val="22"/>
                <w:szCs w:val="22"/>
              </w:rPr>
            </w:pPr>
            <w:r>
              <w:rPr>
                <w:sz w:val="22"/>
                <w:szCs w:val="22"/>
              </w:rPr>
              <w:t xml:space="preserve">       </w:t>
            </w:r>
          </w:p>
          <w:p w14:paraId="59514EC7" w14:textId="77777777" w:rsidR="007C0064" w:rsidRDefault="007C0064">
            <w:pPr>
              <w:jc w:val="both"/>
              <w:rPr>
                <w:sz w:val="22"/>
                <w:szCs w:val="22"/>
              </w:rPr>
            </w:pPr>
            <w:r>
              <w:rPr>
                <w:sz w:val="22"/>
                <w:szCs w:val="22"/>
              </w:rPr>
              <w:t xml:space="preserve">          Visto, si esprime parere di regolarità contabile sulla determinazione che precede e se ne attesta la copertura finanziaria, ai sensi dell'art. 151 del T.U.L.O.E.L. approvato con decreto legislativo 18.08.2000, n. 267.</w:t>
            </w:r>
          </w:p>
          <w:p w14:paraId="1F47FC37" w14:textId="77777777" w:rsidR="007C0064" w:rsidRDefault="007C0064">
            <w:pPr>
              <w:rPr>
                <w:sz w:val="22"/>
                <w:szCs w:val="22"/>
              </w:rPr>
            </w:pPr>
            <w:r>
              <w:rPr>
                <w:sz w:val="22"/>
                <w:szCs w:val="22"/>
              </w:rPr>
              <w:t>Impegno  n. …….../..........</w:t>
            </w:r>
          </w:p>
          <w:p w14:paraId="27A38E3E" w14:textId="77777777" w:rsidR="007C0064" w:rsidRDefault="007C0064">
            <w:pPr>
              <w:rPr>
                <w:sz w:val="22"/>
                <w:szCs w:val="22"/>
              </w:rPr>
            </w:pPr>
            <w:r>
              <w:rPr>
                <w:sz w:val="22"/>
                <w:szCs w:val="22"/>
              </w:rPr>
              <w:t>Mandato  n. ........../.........</w:t>
            </w:r>
          </w:p>
          <w:p w14:paraId="4894A635" w14:textId="77777777" w:rsidR="007C0064" w:rsidRDefault="007C0064" w:rsidP="00AC7F9F">
            <w:pPr>
              <w:rPr>
                <w:sz w:val="22"/>
                <w:szCs w:val="22"/>
              </w:rPr>
            </w:pPr>
          </w:p>
        </w:tc>
      </w:tr>
      <w:tr w:rsidR="007C0064" w14:paraId="7CAA7B6B" w14:textId="77777777">
        <w:tblPrEx>
          <w:tblCellMar>
            <w:top w:w="0" w:type="dxa"/>
            <w:bottom w:w="0" w:type="dxa"/>
          </w:tblCellMar>
        </w:tblPrEx>
        <w:trPr>
          <w:trHeight w:val="1515"/>
        </w:trPr>
        <w:tc>
          <w:tcPr>
            <w:tcW w:w="4438" w:type="dxa"/>
            <w:tcBorders>
              <w:top w:val="nil"/>
              <w:left w:val="single" w:sz="6" w:space="0" w:color="auto"/>
              <w:bottom w:val="single" w:sz="6" w:space="0" w:color="auto"/>
              <w:right w:val="nil"/>
            </w:tcBorders>
          </w:tcPr>
          <w:p w14:paraId="1C97444F" w14:textId="77777777" w:rsidR="007C0064" w:rsidRDefault="007C0064">
            <w:pPr>
              <w:jc w:val="both"/>
              <w:rPr>
                <w:sz w:val="22"/>
                <w:szCs w:val="22"/>
              </w:rPr>
            </w:pPr>
            <w:r>
              <w:rPr>
                <w:sz w:val="22"/>
                <w:szCs w:val="22"/>
              </w:rPr>
              <w:t xml:space="preserve">Lì                                                                                   </w:t>
            </w:r>
          </w:p>
        </w:tc>
        <w:tc>
          <w:tcPr>
            <w:tcW w:w="5341" w:type="dxa"/>
            <w:gridSpan w:val="3"/>
            <w:tcBorders>
              <w:top w:val="nil"/>
              <w:left w:val="nil"/>
              <w:bottom w:val="single" w:sz="6" w:space="0" w:color="auto"/>
              <w:right w:val="single" w:sz="6" w:space="0" w:color="auto"/>
            </w:tcBorders>
          </w:tcPr>
          <w:p w14:paraId="722440DF" w14:textId="77777777" w:rsidR="007C0064" w:rsidRDefault="007C0064">
            <w:pPr>
              <w:jc w:val="center"/>
              <w:rPr>
                <w:sz w:val="22"/>
                <w:szCs w:val="22"/>
              </w:rPr>
            </w:pPr>
            <w:r>
              <w:rPr>
                <w:sz w:val="22"/>
                <w:szCs w:val="22"/>
              </w:rPr>
              <w:t>Il Responsabile del Servizio Finanziario</w:t>
            </w:r>
          </w:p>
          <w:p w14:paraId="73D9915C" w14:textId="77777777" w:rsidR="007C0064" w:rsidRDefault="007C0064">
            <w:pPr>
              <w:jc w:val="center"/>
              <w:rPr>
                <w:sz w:val="22"/>
                <w:szCs w:val="22"/>
              </w:rPr>
            </w:pPr>
            <w:r>
              <w:rPr>
                <w:sz w:val="22"/>
                <w:szCs w:val="22"/>
              </w:rPr>
              <w:t>DI NUNZIO MARIA GIULIA</w:t>
            </w:r>
          </w:p>
        </w:tc>
      </w:tr>
      <w:tr w:rsidR="007C0064" w14:paraId="796BE376" w14:textId="77777777">
        <w:tblPrEx>
          <w:tblCellMar>
            <w:top w:w="0" w:type="dxa"/>
            <w:bottom w:w="0" w:type="dxa"/>
          </w:tblCellMar>
        </w:tblPrEx>
        <w:trPr>
          <w:gridAfter w:val="3"/>
          <w:wAfter w:w="5341" w:type="dxa"/>
        </w:trPr>
        <w:tc>
          <w:tcPr>
            <w:tcW w:w="4438" w:type="dxa"/>
            <w:tcBorders>
              <w:top w:val="single" w:sz="6" w:space="0" w:color="auto"/>
              <w:left w:val="single" w:sz="6" w:space="0" w:color="auto"/>
              <w:bottom w:val="single" w:sz="6" w:space="0" w:color="auto"/>
              <w:right w:val="single" w:sz="6" w:space="0" w:color="auto"/>
            </w:tcBorders>
            <w:shd w:val="pct5" w:color="auto" w:fill="auto"/>
          </w:tcPr>
          <w:p w14:paraId="334DA199" w14:textId="77777777" w:rsidR="007C0064" w:rsidRDefault="007C0064">
            <w:pPr>
              <w:spacing w:line="240" w:lineRule="atLeast"/>
              <w:rPr>
                <w:b/>
                <w:bCs/>
                <w:sz w:val="22"/>
                <w:szCs w:val="22"/>
              </w:rPr>
            </w:pPr>
            <w:r>
              <w:rPr>
                <w:b/>
                <w:bCs/>
                <w:sz w:val="22"/>
                <w:szCs w:val="22"/>
              </w:rPr>
              <w:t>ATTESTATO DI ESECUTIVITA'</w:t>
            </w:r>
          </w:p>
          <w:p w14:paraId="443D2972" w14:textId="77777777" w:rsidR="007C0064" w:rsidRDefault="007C0064">
            <w:pPr>
              <w:spacing w:line="240" w:lineRule="atLeast"/>
              <w:rPr>
                <w:sz w:val="22"/>
                <w:szCs w:val="22"/>
              </w:rPr>
            </w:pPr>
          </w:p>
        </w:tc>
      </w:tr>
      <w:tr w:rsidR="007C0064" w14:paraId="3DA77975" w14:textId="77777777">
        <w:tblPrEx>
          <w:tblCellMar>
            <w:top w:w="0" w:type="dxa"/>
            <w:bottom w:w="0" w:type="dxa"/>
          </w:tblCellMar>
        </w:tblPrEx>
        <w:trPr>
          <w:cantSplit/>
          <w:trHeight w:val="3038"/>
        </w:trPr>
        <w:tc>
          <w:tcPr>
            <w:tcW w:w="9779" w:type="dxa"/>
            <w:gridSpan w:val="4"/>
            <w:tcBorders>
              <w:top w:val="single" w:sz="6" w:space="0" w:color="auto"/>
              <w:left w:val="single" w:sz="6" w:space="0" w:color="auto"/>
              <w:bottom w:val="nil"/>
              <w:right w:val="single" w:sz="6" w:space="0" w:color="auto"/>
            </w:tcBorders>
          </w:tcPr>
          <w:p w14:paraId="3B021908" w14:textId="77777777" w:rsidR="007C0064" w:rsidRDefault="007C0064">
            <w:pPr>
              <w:jc w:val="both"/>
              <w:rPr>
                <w:sz w:val="22"/>
                <w:szCs w:val="22"/>
              </w:rPr>
            </w:pPr>
            <w:r>
              <w:rPr>
                <w:sz w:val="22"/>
                <w:szCs w:val="22"/>
              </w:rPr>
              <w:t xml:space="preserve">       </w:t>
            </w:r>
          </w:p>
          <w:p w14:paraId="5A8728CA" w14:textId="77777777" w:rsidR="007C0064" w:rsidRDefault="007C0064">
            <w:pPr>
              <w:jc w:val="both"/>
              <w:rPr>
                <w:sz w:val="22"/>
                <w:szCs w:val="22"/>
              </w:rPr>
            </w:pPr>
            <w:r>
              <w:rPr>
                <w:sz w:val="22"/>
                <w:szCs w:val="22"/>
              </w:rPr>
              <w:t xml:space="preserve">          Il sottoscritto, visti gli atti d’ufficio,</w:t>
            </w:r>
          </w:p>
          <w:p w14:paraId="0E34A1E8" w14:textId="77777777" w:rsidR="007C0064" w:rsidRDefault="007C0064">
            <w:pPr>
              <w:jc w:val="both"/>
              <w:rPr>
                <w:sz w:val="22"/>
                <w:szCs w:val="22"/>
              </w:rPr>
            </w:pPr>
          </w:p>
          <w:p w14:paraId="1433F090" w14:textId="77777777" w:rsidR="007C0064" w:rsidRDefault="007C0064">
            <w:pPr>
              <w:jc w:val="center"/>
              <w:rPr>
                <w:sz w:val="22"/>
                <w:szCs w:val="22"/>
              </w:rPr>
            </w:pPr>
            <w:r>
              <w:rPr>
                <w:sz w:val="22"/>
                <w:szCs w:val="22"/>
              </w:rPr>
              <w:t>ATTESTA</w:t>
            </w:r>
          </w:p>
          <w:p w14:paraId="27A08F64" w14:textId="77777777" w:rsidR="007C0064" w:rsidRDefault="007C0064">
            <w:pPr>
              <w:jc w:val="both"/>
              <w:rPr>
                <w:sz w:val="22"/>
                <w:szCs w:val="22"/>
              </w:rPr>
            </w:pPr>
          </w:p>
          <w:p w14:paraId="55A9C951" w14:textId="77777777" w:rsidR="007C0064" w:rsidRDefault="007C0064">
            <w:pPr>
              <w:jc w:val="both"/>
              <w:rPr>
                <w:sz w:val="22"/>
                <w:szCs w:val="22"/>
              </w:rPr>
            </w:pPr>
            <w:r>
              <w:rPr>
                <w:sz w:val="22"/>
                <w:szCs w:val="22"/>
              </w:rPr>
              <w:t>- che la presente determinazione:</w:t>
            </w:r>
          </w:p>
          <w:p w14:paraId="6D9D0808" w14:textId="77777777" w:rsidR="007C0064" w:rsidRDefault="007C0064">
            <w:pPr>
              <w:jc w:val="both"/>
              <w:rPr>
                <w:sz w:val="22"/>
                <w:szCs w:val="22"/>
              </w:rPr>
            </w:pPr>
          </w:p>
          <w:p w14:paraId="3C4A126B" w14:textId="77777777" w:rsidR="007C0064" w:rsidRDefault="007C0064">
            <w:pPr>
              <w:jc w:val="both"/>
              <w:rPr>
                <w:sz w:val="22"/>
                <w:szCs w:val="22"/>
              </w:rPr>
            </w:pPr>
            <w:r>
              <w:rPr>
                <w:sz w:val="22"/>
                <w:szCs w:val="22"/>
              </w:rPr>
              <w:t>[X] è divenuta esecutiva con l’apposizione del visto di regolarità contabile e di copertura finanziaria, ai sensi dell’art.151 del T.U.O.L.EL. 18.08.2000, N. 267;</w:t>
            </w:r>
          </w:p>
          <w:p w14:paraId="00B161ED" w14:textId="77777777" w:rsidR="007C0064" w:rsidRDefault="007C0064">
            <w:pPr>
              <w:jc w:val="both"/>
              <w:rPr>
                <w:sz w:val="22"/>
                <w:szCs w:val="22"/>
              </w:rPr>
            </w:pPr>
          </w:p>
          <w:p w14:paraId="3006666A" w14:textId="77777777" w:rsidR="007C0064" w:rsidRDefault="007C0064">
            <w:pPr>
              <w:jc w:val="both"/>
              <w:rPr>
                <w:sz w:val="22"/>
                <w:szCs w:val="22"/>
              </w:rPr>
            </w:pPr>
            <w:r>
              <w:rPr>
                <w:sz w:val="22"/>
                <w:szCs w:val="22"/>
              </w:rPr>
              <w:t>[X] viene affissa oggi, per mera pubblicità, all’Albo Pretorio comunale</w:t>
            </w:r>
            <w:r w:rsidR="00AC7F9F">
              <w:rPr>
                <w:sz w:val="22"/>
                <w:szCs w:val="22"/>
              </w:rPr>
              <w:t xml:space="preserve"> al n. 68</w:t>
            </w:r>
            <w:r>
              <w:rPr>
                <w:sz w:val="22"/>
                <w:szCs w:val="22"/>
              </w:rPr>
              <w:t xml:space="preserve"> per rimanervi per quindici giorni consecutivi;</w:t>
            </w:r>
          </w:p>
          <w:p w14:paraId="0093B586" w14:textId="77777777" w:rsidR="007C0064" w:rsidRDefault="007C0064">
            <w:pPr>
              <w:jc w:val="both"/>
              <w:rPr>
                <w:sz w:val="22"/>
                <w:szCs w:val="22"/>
              </w:rPr>
            </w:pPr>
            <w:r>
              <w:rPr>
                <w:sz w:val="22"/>
                <w:szCs w:val="22"/>
              </w:rPr>
              <w:t xml:space="preserve">                                                                                                    </w:t>
            </w:r>
          </w:p>
        </w:tc>
      </w:tr>
      <w:tr w:rsidR="007C0064" w14:paraId="55F1A543" w14:textId="77777777">
        <w:tblPrEx>
          <w:tblCellMar>
            <w:top w:w="0" w:type="dxa"/>
            <w:bottom w:w="0" w:type="dxa"/>
          </w:tblCellMar>
        </w:tblPrEx>
        <w:trPr>
          <w:trHeight w:val="719"/>
        </w:trPr>
        <w:tc>
          <w:tcPr>
            <w:tcW w:w="4889" w:type="dxa"/>
            <w:gridSpan w:val="3"/>
            <w:tcBorders>
              <w:top w:val="nil"/>
              <w:left w:val="single" w:sz="6" w:space="0" w:color="auto"/>
              <w:bottom w:val="single" w:sz="6" w:space="0" w:color="auto"/>
              <w:right w:val="nil"/>
            </w:tcBorders>
          </w:tcPr>
          <w:p w14:paraId="5CEB604C" w14:textId="77777777" w:rsidR="007C0064" w:rsidRDefault="007C0064">
            <w:pPr>
              <w:jc w:val="both"/>
              <w:rPr>
                <w:sz w:val="22"/>
                <w:szCs w:val="22"/>
              </w:rPr>
            </w:pPr>
            <w:r>
              <w:rPr>
                <w:sz w:val="22"/>
                <w:szCs w:val="22"/>
              </w:rPr>
              <w:t>Dalla Residenza Municipale lì 03-02-2025</w:t>
            </w:r>
          </w:p>
          <w:p w14:paraId="4CDA28B0" w14:textId="77777777" w:rsidR="007C0064" w:rsidRDefault="007C0064">
            <w:pPr>
              <w:jc w:val="both"/>
              <w:rPr>
                <w:sz w:val="22"/>
                <w:szCs w:val="22"/>
              </w:rPr>
            </w:pPr>
          </w:p>
        </w:tc>
        <w:tc>
          <w:tcPr>
            <w:tcW w:w="4890" w:type="dxa"/>
            <w:tcBorders>
              <w:top w:val="nil"/>
              <w:left w:val="nil"/>
              <w:bottom w:val="single" w:sz="6" w:space="0" w:color="auto"/>
              <w:right w:val="single" w:sz="6" w:space="0" w:color="auto"/>
            </w:tcBorders>
          </w:tcPr>
          <w:p w14:paraId="6857C30C" w14:textId="77777777" w:rsidR="007C0064" w:rsidRDefault="007C0064">
            <w:pPr>
              <w:jc w:val="center"/>
              <w:rPr>
                <w:sz w:val="22"/>
                <w:szCs w:val="22"/>
              </w:rPr>
            </w:pPr>
            <w:r>
              <w:rPr>
                <w:sz w:val="22"/>
                <w:szCs w:val="22"/>
              </w:rPr>
              <w:t>Il Responsabile del Servizio</w:t>
            </w:r>
          </w:p>
          <w:p w14:paraId="09E29EC5" w14:textId="77777777" w:rsidR="007C0064" w:rsidRDefault="007C0064">
            <w:pPr>
              <w:jc w:val="center"/>
              <w:rPr>
                <w:sz w:val="22"/>
                <w:szCs w:val="22"/>
              </w:rPr>
            </w:pPr>
            <w:r>
              <w:rPr>
                <w:sz w:val="22"/>
                <w:szCs w:val="22"/>
              </w:rPr>
              <w:t>DI CIANO CAMILLO</w:t>
            </w:r>
          </w:p>
        </w:tc>
      </w:tr>
    </w:tbl>
    <w:p w14:paraId="325DCFEF" w14:textId="77777777" w:rsidR="007C0064" w:rsidRDefault="007C0064">
      <w:pPr>
        <w:jc w:val="right"/>
        <w:rPr>
          <w:sz w:val="22"/>
          <w:szCs w:val="22"/>
        </w:rPr>
      </w:pPr>
    </w:p>
    <w:p w14:paraId="53FEE06F" w14:textId="77777777" w:rsidR="007C0064" w:rsidRDefault="007C0064">
      <w:pPr>
        <w:ind w:right="278"/>
        <w:jc w:val="both"/>
        <w:rPr>
          <w:sz w:val="22"/>
          <w:szCs w:val="22"/>
          <w:u w:val="single"/>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p>
    <w:sectPr w:rsidR="007C0064">
      <w:pgSz w:w="11906" w:h="16838" w:code="9"/>
      <w:pgMar w:top="567" w:right="1134" w:bottom="1134" w:left="1134" w:header="720" w:footer="720" w:gutter="0"/>
      <w:cols w:space="708"/>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C57F3E" w14:textId="77777777" w:rsidR="009F5F17" w:rsidRDefault="009F5F17">
      <w:pPr>
        <w:rPr>
          <w:sz w:val="23"/>
          <w:szCs w:val="23"/>
        </w:rPr>
      </w:pPr>
      <w:r>
        <w:rPr>
          <w:sz w:val="23"/>
          <w:szCs w:val="23"/>
        </w:rPr>
        <w:separator/>
      </w:r>
    </w:p>
  </w:endnote>
  <w:endnote w:type="continuationSeparator" w:id="0">
    <w:p w14:paraId="49E98E95" w14:textId="77777777" w:rsidR="009F5F17" w:rsidRDefault="009F5F17">
      <w:pPr>
        <w:rPr>
          <w:sz w:val="23"/>
          <w:szCs w:val="23"/>
        </w:rPr>
      </w:pPr>
      <w:r>
        <w:rPr>
          <w:sz w:val="23"/>
          <w:szCs w:val="23"/>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79F793" w14:textId="77777777" w:rsidR="009F5F17" w:rsidRDefault="009F5F17">
      <w:pPr>
        <w:rPr>
          <w:sz w:val="23"/>
          <w:szCs w:val="23"/>
        </w:rPr>
      </w:pPr>
      <w:r>
        <w:rPr>
          <w:sz w:val="23"/>
          <w:szCs w:val="23"/>
        </w:rPr>
        <w:separator/>
      </w:r>
    </w:p>
  </w:footnote>
  <w:footnote w:type="continuationSeparator" w:id="0">
    <w:p w14:paraId="71F882B4" w14:textId="77777777" w:rsidR="009F5F17" w:rsidRDefault="009F5F17">
      <w:pPr>
        <w:rPr>
          <w:sz w:val="23"/>
          <w:szCs w:val="23"/>
        </w:rPr>
      </w:pPr>
      <w:r>
        <w:rPr>
          <w:sz w:val="23"/>
          <w:szCs w:val="23"/>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1F57BF"/>
    <w:multiLevelType w:val="hybridMultilevel"/>
    <w:tmpl w:val="FFFFFFFF"/>
    <w:lvl w:ilvl="0" w:tplc="75CC6FAC">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A8D545E"/>
    <w:multiLevelType w:val="hybridMultilevel"/>
    <w:tmpl w:val="FFFFFFFF"/>
    <w:lvl w:ilvl="0" w:tplc="B310E0D8">
      <w:start w:val="12"/>
      <w:numFmt w:val="bullet"/>
      <w:lvlText w:val="-"/>
      <w:lvlJc w:val="left"/>
      <w:pPr>
        <w:ind w:left="720" w:hanging="360"/>
      </w:pPr>
      <w:rPr>
        <w:rFonts w:ascii="Calibri" w:eastAsia="Times New Roman" w:hAnsi="Calibr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4E29327E"/>
    <w:multiLevelType w:val="hybridMultilevel"/>
    <w:tmpl w:val="FFFFFFFF"/>
    <w:lvl w:ilvl="0" w:tplc="125CC43E">
      <w:numFmt w:val="bullet"/>
      <w:lvlText w:val="-"/>
      <w:lvlJc w:val="left"/>
      <w:pPr>
        <w:ind w:left="360" w:hanging="360"/>
      </w:pPr>
      <w:rPr>
        <w:rFonts w:ascii="Century Gothic" w:eastAsia="Times New Roman" w:hAnsi="Century Gothic" w:hint="default"/>
        <w:sz w:val="24"/>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 w15:restartNumberingAfterBreak="0">
    <w:nsid w:val="659B29F2"/>
    <w:multiLevelType w:val="singleLevel"/>
    <w:tmpl w:val="FFFFFFFF"/>
    <w:lvl w:ilvl="0">
      <w:start w:val="1"/>
      <w:numFmt w:val="upperLetter"/>
      <w:lvlText w:val="%1)"/>
      <w:lvlJc w:val="left"/>
      <w:pPr>
        <w:tabs>
          <w:tab w:val="num" w:pos="927"/>
        </w:tabs>
        <w:ind w:left="927" w:hanging="360"/>
      </w:pPr>
      <w:rPr>
        <w:rFonts w:cs="Times New Roman" w:hint="default"/>
      </w:rPr>
    </w:lvl>
  </w:abstractNum>
  <w:num w:numId="1" w16cid:durableId="442043760">
    <w:abstractNumId w:val="3"/>
  </w:num>
  <w:num w:numId="2" w16cid:durableId="553615188">
    <w:abstractNumId w:val="0"/>
  </w:num>
  <w:num w:numId="3" w16cid:durableId="100927339">
    <w:abstractNumId w:val="1"/>
  </w:num>
  <w:num w:numId="4" w16cid:durableId="14000530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defaultTabStop w:val="708"/>
  <w:hyphenationZone w:val="283"/>
  <w:doNotHyphenateCaps/>
  <w:drawingGridHorizontalSpacing w:val="78"/>
  <w:drawingGridVerticalSpacing w:val="106"/>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064"/>
    <w:rsid w:val="000B5607"/>
    <w:rsid w:val="000B6CE6"/>
    <w:rsid w:val="001907E9"/>
    <w:rsid w:val="00252421"/>
    <w:rsid w:val="00332D6E"/>
    <w:rsid w:val="00662D40"/>
    <w:rsid w:val="006B0F96"/>
    <w:rsid w:val="00700D97"/>
    <w:rsid w:val="007C0064"/>
    <w:rsid w:val="008D4942"/>
    <w:rsid w:val="009F5F17"/>
    <w:rsid w:val="00A96C57"/>
    <w:rsid w:val="00AC7F9F"/>
    <w:rsid w:val="00CA6457"/>
    <w:rsid w:val="00CC1381"/>
    <w:rsid w:val="00D31AEB"/>
    <w:rsid w:val="00E10E66"/>
    <w:rsid w:val="00F5026C"/>
    <w:rsid w:val="00FA024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1285B17E"/>
  <w14:defaultImageDpi w14:val="0"/>
  <w15:docId w15:val="{2A04538E-07E6-4EAC-8CE5-C1190D156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Body Text 2" w:semiHidden="1"/>
    <w:lsdException w:name="Block Text" w:semiHidden="1"/>
    <w:lsdException w:name="Strong" w:uiPriority="22" w:qFormat="1"/>
    <w:lsdException w:name="Emphasis" w:uiPriority="20" w:qFormat="1"/>
    <w:lsdException w:name="Balloon Text" w:semiHidden="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0" w:line="240" w:lineRule="auto"/>
    </w:pPr>
    <w:rPr>
      <w:rFonts w:ascii="Times New Roman" w:hAnsi="Times New Roman"/>
      <w:sz w:val="24"/>
      <w:szCs w:val="24"/>
    </w:rPr>
  </w:style>
  <w:style w:type="paragraph" w:styleId="Titolo1">
    <w:name w:val="heading 1"/>
    <w:basedOn w:val="Normale"/>
    <w:next w:val="Normale"/>
    <w:link w:val="Titolo1Carattere"/>
    <w:uiPriority w:val="99"/>
    <w:qFormat/>
    <w:pPr>
      <w:keepNext/>
      <w:snapToGrid w:val="0"/>
      <w:jc w:val="center"/>
      <w:outlineLvl w:val="0"/>
    </w:pPr>
    <w:rPr>
      <w:rFonts w:ascii="Arial" w:hAnsi="Arial" w:cs="Arial"/>
      <w:b/>
      <w:bCs/>
      <w:sz w:val="48"/>
      <w:szCs w:val="48"/>
    </w:rPr>
  </w:style>
  <w:style w:type="paragraph" w:styleId="Titolo2">
    <w:name w:val="heading 2"/>
    <w:basedOn w:val="Normale"/>
    <w:next w:val="Normale"/>
    <w:link w:val="Titolo2Carattere"/>
    <w:uiPriority w:val="99"/>
    <w:qFormat/>
    <w:pPr>
      <w:keepNext/>
      <w:snapToGrid w:val="0"/>
      <w:jc w:val="center"/>
      <w:outlineLvl w:val="1"/>
    </w:pPr>
    <w:rPr>
      <w:rFonts w:ascii="Arial" w:hAnsi="Arial" w:cs="Arial"/>
      <w:sz w:val="28"/>
      <w:szCs w:val="28"/>
    </w:rPr>
  </w:style>
  <w:style w:type="paragraph" w:styleId="Titolo3">
    <w:name w:val="heading 3"/>
    <w:basedOn w:val="Normale"/>
    <w:next w:val="Normale"/>
    <w:link w:val="Titolo3Carattere"/>
    <w:uiPriority w:val="99"/>
    <w:qFormat/>
    <w:pPr>
      <w:keepNext/>
      <w:snapToGrid w:val="0"/>
      <w:jc w:val="both"/>
      <w:outlineLvl w:val="2"/>
    </w:pPr>
    <w:rPr>
      <w:rFonts w:ascii="Arial" w:hAnsi="Arial" w:cs="Arial"/>
      <w:b/>
      <w:bCs/>
      <w:sz w:val="16"/>
      <w:szCs w:val="16"/>
    </w:rPr>
  </w:style>
  <w:style w:type="paragraph" w:styleId="Titolo4">
    <w:name w:val="heading 4"/>
    <w:basedOn w:val="Normale"/>
    <w:next w:val="Normale"/>
    <w:link w:val="Titolo4Carattere"/>
    <w:uiPriority w:val="99"/>
    <w:qFormat/>
    <w:pPr>
      <w:keepNext/>
      <w:ind w:right="512"/>
      <w:jc w:val="center"/>
      <w:outlineLvl w:val="3"/>
    </w:pPr>
    <w:rPr>
      <w:u w:val="single"/>
    </w:rPr>
  </w:style>
  <w:style w:type="character" w:default="1" w:styleId="Carpredefinitoparagrafo">
    <w:name w:val="Default Paragraph Font"/>
    <w:uiPriority w:val="99"/>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locked/>
    <w:rPr>
      <w:rFonts w:asciiTheme="majorHAnsi" w:eastAsiaTheme="majorEastAsia" w:hAnsiTheme="majorHAnsi" w:cs="Times New Roman"/>
      <w:b/>
      <w:bCs/>
      <w:kern w:val="32"/>
      <w:sz w:val="32"/>
      <w:szCs w:val="32"/>
    </w:rPr>
  </w:style>
  <w:style w:type="character" w:customStyle="1" w:styleId="Titolo2Carattere">
    <w:name w:val="Titolo 2 Carattere"/>
    <w:basedOn w:val="Carpredefinitoparagrafo"/>
    <w:link w:val="Titolo2"/>
    <w:uiPriority w:val="9"/>
    <w:semiHidden/>
    <w:locked/>
    <w:rPr>
      <w:rFonts w:asciiTheme="majorHAnsi" w:eastAsiaTheme="majorEastAsia" w:hAnsiTheme="majorHAnsi" w:cs="Times New Roman"/>
      <w:b/>
      <w:bCs/>
      <w:i/>
      <w:iCs/>
      <w:sz w:val="28"/>
      <w:szCs w:val="28"/>
    </w:rPr>
  </w:style>
  <w:style w:type="character" w:customStyle="1" w:styleId="Titolo3Carattere">
    <w:name w:val="Titolo 3 Carattere"/>
    <w:basedOn w:val="Carpredefinitoparagrafo"/>
    <w:link w:val="Titolo3"/>
    <w:uiPriority w:val="9"/>
    <w:semiHidden/>
    <w:locked/>
    <w:rPr>
      <w:rFonts w:asciiTheme="majorHAnsi" w:eastAsiaTheme="majorEastAsia" w:hAnsiTheme="majorHAnsi" w:cs="Times New Roman"/>
      <w:b/>
      <w:bCs/>
      <w:sz w:val="26"/>
      <w:szCs w:val="26"/>
    </w:rPr>
  </w:style>
  <w:style w:type="character" w:customStyle="1" w:styleId="Titolo4Carattere">
    <w:name w:val="Titolo 4 Carattere"/>
    <w:basedOn w:val="Carpredefinitoparagrafo"/>
    <w:link w:val="Titolo4"/>
    <w:uiPriority w:val="9"/>
    <w:semiHidden/>
    <w:locked/>
    <w:rPr>
      <w:rFonts w:cs="Times New Roman"/>
      <w:b/>
      <w:bCs/>
      <w:sz w:val="28"/>
      <w:szCs w:val="28"/>
    </w:rPr>
  </w:style>
  <w:style w:type="paragraph" w:customStyle="1" w:styleId="Stile2">
    <w:name w:val="Stile2"/>
    <w:basedOn w:val="Normale"/>
    <w:uiPriority w:val="99"/>
  </w:style>
  <w:style w:type="paragraph" w:customStyle="1" w:styleId="Stile3">
    <w:name w:val="Stile3"/>
    <w:basedOn w:val="Normale"/>
    <w:uiPriority w:val="99"/>
  </w:style>
  <w:style w:type="paragraph" w:styleId="Didascalia">
    <w:name w:val="caption"/>
    <w:basedOn w:val="Normale"/>
    <w:next w:val="Normale"/>
    <w:uiPriority w:val="99"/>
    <w:qFormat/>
    <w:pPr>
      <w:ind w:right="512"/>
      <w:jc w:val="center"/>
    </w:pPr>
    <w:rPr>
      <w:b/>
      <w:bCs/>
    </w:rPr>
  </w:style>
  <w:style w:type="paragraph" w:styleId="Testofumetto">
    <w:name w:val="Balloon Text"/>
    <w:basedOn w:val="Normale"/>
    <w:link w:val="TestofumettoCarattere"/>
    <w:uiPriority w:val="99"/>
    <w:rPr>
      <w:rFonts w:ascii="Tahoma" w:hAnsi="Tahoma" w:cs="Tahoma"/>
      <w:sz w:val="16"/>
      <w:szCs w:val="16"/>
    </w:rPr>
  </w:style>
  <w:style w:type="character" w:customStyle="1" w:styleId="TestofumettoCarattere">
    <w:name w:val="Testo fumetto Carattere"/>
    <w:basedOn w:val="Carpredefinitoparagrafo"/>
    <w:link w:val="Testofumetto"/>
    <w:uiPriority w:val="99"/>
    <w:semiHidden/>
    <w:locked/>
    <w:rPr>
      <w:rFonts w:ascii="Tahoma" w:hAnsi="Tahoma" w:cs="Tahoma"/>
      <w:sz w:val="16"/>
      <w:szCs w:val="16"/>
    </w:rPr>
  </w:style>
  <w:style w:type="paragraph" w:styleId="Corpotesto">
    <w:name w:val="Body Text"/>
    <w:basedOn w:val="Normale"/>
    <w:link w:val="CorpotestoCarattere"/>
    <w:uiPriority w:val="99"/>
    <w:pPr>
      <w:ind w:right="278"/>
      <w:jc w:val="both"/>
    </w:pPr>
  </w:style>
  <w:style w:type="character" w:customStyle="1" w:styleId="CorpotestoCarattere">
    <w:name w:val="Corpo testo Carattere"/>
    <w:basedOn w:val="Carpredefinitoparagrafo"/>
    <w:link w:val="Corpotesto"/>
    <w:uiPriority w:val="99"/>
    <w:semiHidden/>
    <w:locked/>
    <w:rPr>
      <w:rFonts w:ascii="Times New Roman" w:hAnsi="Times New Roman" w:cs="Times New Roman"/>
      <w:sz w:val="24"/>
      <w:szCs w:val="24"/>
    </w:rPr>
  </w:style>
  <w:style w:type="paragraph" w:styleId="Corpodeltesto2">
    <w:name w:val="Body Text 2"/>
    <w:basedOn w:val="Normale"/>
    <w:link w:val="Corpodeltesto2Carattere"/>
    <w:uiPriority w:val="99"/>
    <w:pPr>
      <w:spacing w:after="120" w:line="480" w:lineRule="auto"/>
    </w:pPr>
  </w:style>
  <w:style w:type="character" w:customStyle="1" w:styleId="Corpodeltesto2Carattere">
    <w:name w:val="Corpo del testo 2 Carattere"/>
    <w:basedOn w:val="Carpredefinitoparagrafo"/>
    <w:link w:val="Corpodeltesto2"/>
    <w:uiPriority w:val="99"/>
    <w:semiHidden/>
    <w:locked/>
    <w:rPr>
      <w:rFonts w:ascii="Times New Roman" w:hAnsi="Times New Roman" w:cs="Times New Roman"/>
      <w:sz w:val="24"/>
      <w:szCs w:val="24"/>
    </w:rPr>
  </w:style>
  <w:style w:type="paragraph" w:styleId="Intestazione">
    <w:name w:val="header"/>
    <w:basedOn w:val="Normale"/>
    <w:link w:val="IntestazioneCarattere"/>
    <w:uiPriority w:val="99"/>
    <w:pPr>
      <w:tabs>
        <w:tab w:val="center" w:pos="4819"/>
        <w:tab w:val="right" w:pos="9638"/>
      </w:tabs>
    </w:pPr>
  </w:style>
  <w:style w:type="character" w:customStyle="1" w:styleId="IntestazioneCarattere">
    <w:name w:val="Intestazione Carattere"/>
    <w:basedOn w:val="Carpredefinitoparagrafo"/>
    <w:link w:val="Intestazione"/>
    <w:uiPriority w:val="99"/>
    <w:semiHidden/>
    <w:locked/>
    <w:rPr>
      <w:rFonts w:ascii="Times New Roman" w:hAnsi="Times New Roman" w:cs="Times New Roman"/>
      <w:sz w:val="24"/>
      <w:szCs w:val="24"/>
    </w:rPr>
  </w:style>
  <w:style w:type="paragraph" w:styleId="Pidipagina">
    <w:name w:val="footer"/>
    <w:basedOn w:val="Normale"/>
    <w:link w:val="PidipaginaCarattere"/>
    <w:uiPriority w:val="99"/>
    <w:pPr>
      <w:tabs>
        <w:tab w:val="center" w:pos="4819"/>
        <w:tab w:val="right" w:pos="9638"/>
      </w:tabs>
    </w:pPr>
  </w:style>
  <w:style w:type="character" w:customStyle="1" w:styleId="PidipaginaCarattere">
    <w:name w:val="Piè di pagina Carattere"/>
    <w:basedOn w:val="Carpredefinitoparagrafo"/>
    <w:link w:val="Pidipagina"/>
    <w:uiPriority w:val="99"/>
    <w:semiHidden/>
    <w:locked/>
    <w:rPr>
      <w:rFonts w:ascii="Times New Roman" w:hAnsi="Times New Roman" w:cs="Times New Roman"/>
      <w:sz w:val="24"/>
      <w:szCs w:val="24"/>
    </w:rPr>
  </w:style>
  <w:style w:type="paragraph" w:styleId="Testodelblocco">
    <w:name w:val="Block Text"/>
    <w:basedOn w:val="Normale"/>
    <w:uiPriority w:val="99"/>
    <w:pPr>
      <w:ind w:left="567" w:right="567"/>
      <w:jc w:val="center"/>
    </w:pPr>
  </w:style>
  <w:style w:type="paragraph" w:customStyle="1" w:styleId="rtf1Normal">
    <w:name w:val="rtf1 Normal"/>
    <w:qFormat/>
    <w:rsid w:val="000B6CE6"/>
    <w:pPr>
      <w:spacing w:after="0" w:line="240" w:lineRule="auto"/>
    </w:pPr>
    <w:rPr>
      <w:rFonts w:ascii="Times New Roman" w:hAnsi="Times New Roman"/>
      <w:sz w:val="24"/>
      <w:szCs w:val="24"/>
    </w:rPr>
  </w:style>
  <w:style w:type="paragraph" w:customStyle="1" w:styleId="rtf1heading1">
    <w:name w:val="rtf1 heading 1"/>
    <w:basedOn w:val="rtf1Normal"/>
    <w:next w:val="rtf1Normal"/>
    <w:link w:val="rtf1Titolo1Carattere"/>
    <w:uiPriority w:val="99"/>
    <w:qFormat/>
    <w:rsid w:val="000B6CE6"/>
    <w:pPr>
      <w:keepNext/>
      <w:snapToGrid w:val="0"/>
      <w:jc w:val="center"/>
      <w:outlineLvl w:val="0"/>
    </w:pPr>
    <w:rPr>
      <w:rFonts w:ascii="Arial" w:hAnsi="Arial" w:cs="Arial"/>
      <w:b/>
      <w:bCs/>
      <w:sz w:val="48"/>
      <w:szCs w:val="48"/>
    </w:rPr>
  </w:style>
  <w:style w:type="paragraph" w:customStyle="1" w:styleId="rtf1heading2">
    <w:name w:val="rtf1 heading 2"/>
    <w:basedOn w:val="rtf1Normal"/>
    <w:next w:val="rtf1Normal"/>
    <w:link w:val="rtf1Titolo2Carattere"/>
    <w:uiPriority w:val="99"/>
    <w:semiHidden/>
    <w:unhideWhenUsed/>
    <w:qFormat/>
    <w:rsid w:val="000B6CE6"/>
    <w:pPr>
      <w:keepNext/>
      <w:snapToGrid w:val="0"/>
      <w:jc w:val="center"/>
      <w:outlineLvl w:val="1"/>
    </w:pPr>
    <w:rPr>
      <w:rFonts w:ascii="Arial" w:hAnsi="Arial" w:cs="Arial"/>
      <w:sz w:val="28"/>
      <w:szCs w:val="28"/>
    </w:rPr>
  </w:style>
  <w:style w:type="character" w:customStyle="1" w:styleId="rtf1DefaultParagraphFont">
    <w:name w:val="rtf1 Default Paragraph Font"/>
    <w:uiPriority w:val="1"/>
    <w:semiHidden/>
    <w:unhideWhenUsed/>
  </w:style>
  <w:style w:type="table" w:customStyle="1" w:styleId="rtf1NormalTable">
    <w:name w:val="rtf1 Normal Table"/>
    <w:uiPriority w:val="99"/>
    <w:semiHidden/>
    <w:unhideWhenUsed/>
    <w:pPr>
      <w:spacing w:after="160" w:line="259" w:lineRule="auto"/>
    </w:pPr>
    <w:rPr>
      <w:lang w:eastAsia="en-US"/>
    </w:rPr>
    <w:tblPr>
      <w:tblInd w:w="0" w:type="dxa"/>
      <w:tblCellMar>
        <w:top w:w="0" w:type="dxa"/>
        <w:left w:w="108" w:type="dxa"/>
        <w:bottom w:w="0" w:type="dxa"/>
        <w:right w:w="108" w:type="dxa"/>
      </w:tblCellMar>
    </w:tblPr>
  </w:style>
  <w:style w:type="character" w:customStyle="1" w:styleId="rtf1Titolo1Carattere">
    <w:name w:val="rtf1 Titolo 1 Carattere"/>
    <w:basedOn w:val="rtf1DefaultParagraphFont"/>
    <w:link w:val="rtf1heading1"/>
    <w:uiPriority w:val="99"/>
    <w:locked/>
    <w:rsid w:val="000B6CE6"/>
    <w:rPr>
      <w:rFonts w:ascii="Arial" w:hAnsi="Arial" w:cs="Arial"/>
      <w:b/>
      <w:bCs/>
      <w:sz w:val="48"/>
      <w:szCs w:val="48"/>
      <w:lang w:val="x-none" w:eastAsia="it-IT"/>
    </w:rPr>
  </w:style>
  <w:style w:type="character" w:customStyle="1" w:styleId="rtf1Titolo2Carattere">
    <w:name w:val="rtf1 Titolo 2 Carattere"/>
    <w:basedOn w:val="rtf1DefaultParagraphFont"/>
    <w:link w:val="rtf1heading2"/>
    <w:uiPriority w:val="99"/>
    <w:semiHidden/>
    <w:locked/>
    <w:rsid w:val="000B6CE6"/>
    <w:rPr>
      <w:rFonts w:ascii="Arial" w:hAnsi="Arial" w:cs="Arial"/>
      <w:sz w:val="28"/>
      <w:szCs w:val="28"/>
      <w:lang w:val="x-none" w:eastAsia="it-IT"/>
    </w:rPr>
  </w:style>
  <w:style w:type="paragraph" w:customStyle="1" w:styleId="rtf2Normal">
    <w:name w:val="rtf2 Normal"/>
    <w:qFormat/>
    <w:pPr>
      <w:widowControl w:val="0"/>
      <w:autoSpaceDE w:val="0"/>
      <w:autoSpaceDN w:val="0"/>
      <w:adjustRightInd w:val="0"/>
      <w:spacing w:after="0" w:line="240" w:lineRule="auto"/>
    </w:pPr>
    <w:rPr>
      <w:rFonts w:ascii="Times New Roman" w:hAnsi="Times New Roman"/>
      <w:sz w:val="24"/>
      <w:szCs w:val="24"/>
    </w:rPr>
  </w:style>
  <w:style w:type="character" w:customStyle="1" w:styleId="rtf2DefaultParagraphFont">
    <w:name w:val="rtf2 Default Paragraph Font"/>
    <w:uiPriority w:val="99"/>
  </w:style>
  <w:style w:type="table" w:customStyle="1" w:styleId="rtf2NormalTable">
    <w:name w:val="rtf2 Normal Table"/>
    <w:uiPriority w:val="99"/>
    <w:semiHidden/>
    <w:unhideWhenUsed/>
    <w:pPr>
      <w:spacing w:after="160" w:line="278" w:lineRule="auto"/>
    </w:pPr>
    <w:rPr>
      <w:kern w:val="2"/>
      <w:sz w:val="24"/>
      <w:szCs w:val="24"/>
    </w:rPr>
    <w:tblPr>
      <w:tblInd w:w="0" w:type="dxa"/>
      <w:tblCellMar>
        <w:top w:w="0" w:type="dxa"/>
        <w:left w:w="108" w:type="dxa"/>
        <w:bottom w:w="0" w:type="dxa"/>
        <w:right w:w="108" w:type="dxa"/>
      </w:tblCellMar>
    </w:tblPr>
  </w:style>
  <w:style w:type="character" w:customStyle="1" w:styleId="rtf2Stiledidefault">
    <w:name w:val="rtf2 Stile di default"/>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2013</Words>
  <Characters>11477</Characters>
  <Application>Microsoft Office Word</Application>
  <DocSecurity>0</DocSecurity>
  <Lines>95</Lines>
  <Paragraphs>26</Paragraphs>
  <ScaleCrop>false</ScaleCrop>
  <Company>Comune di Santa Maria Imbaro</Company>
  <LinksUpToDate>false</LinksUpToDate>
  <CharactersWithSpaces>13464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Anagrafe</dc:creator>
  <cp:keywords/>
  <dc:description/>
  <cp:lastModifiedBy>utente</cp:lastModifiedBy>
  <cp:revision>2</cp:revision>
  <cp:lastPrinted>2007-05-19T07:41:00Z</cp:lastPrinted>
  <dcterms:created xsi:type="dcterms:W3CDTF">2025-02-03T10:11:00Z</dcterms:created>
  <dcterms:modified xsi:type="dcterms:W3CDTF">2025-02-03T10:11:00Z</dcterms:modified>
</cp:coreProperties>
</file>