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48F47" w14:textId="77777777" w:rsidR="00D677E1" w:rsidRPr="00D677E1" w:rsidRDefault="00D677E1" w:rsidP="00D677E1">
      <w:r w:rsidRPr="00D677E1">
        <w:t>Nel seguito è elencata la documentazione da allegare all’</w:t>
      </w:r>
      <w:r w:rsidRPr="00D677E1">
        <w:rPr>
          <w:b/>
          <w:bCs/>
        </w:rPr>
        <w:t>istanza di accesso al contributo PNRR</w:t>
      </w:r>
      <w:r w:rsidRPr="00D677E1">
        <w:t xml:space="preserve">: </w:t>
      </w:r>
    </w:p>
    <w:p w14:paraId="3B19720E" w14:textId="77777777" w:rsidR="00D677E1" w:rsidRPr="00D677E1" w:rsidRDefault="00D677E1" w:rsidP="00D677E1">
      <w:pPr>
        <w:numPr>
          <w:ilvl w:val="0"/>
          <w:numId w:val="1"/>
        </w:numPr>
      </w:pPr>
      <w:r w:rsidRPr="00D677E1">
        <w:t xml:space="preserve">copia di un documento di riconoscimento in corso di validità del sottoscrittore; </w:t>
      </w:r>
    </w:p>
    <w:p w14:paraId="5A396611" w14:textId="77777777" w:rsidR="00D677E1" w:rsidRPr="00D677E1" w:rsidRDefault="00D677E1" w:rsidP="00D677E1">
      <w:pPr>
        <w:numPr>
          <w:ilvl w:val="0"/>
          <w:numId w:val="1"/>
        </w:numPr>
      </w:pPr>
      <w:r w:rsidRPr="00D677E1">
        <w:t xml:space="preserve">copia della procura conferita al procuratore (nel solo caso in cui il sottoscrittore rivesta il ruolo di procuratore); </w:t>
      </w:r>
    </w:p>
    <w:p w14:paraId="670D71FD" w14:textId="77777777" w:rsidR="00D677E1" w:rsidRPr="00D677E1" w:rsidRDefault="00D677E1" w:rsidP="00D677E1">
      <w:pPr>
        <w:numPr>
          <w:ilvl w:val="0"/>
          <w:numId w:val="1"/>
        </w:numPr>
      </w:pPr>
      <w:r w:rsidRPr="00D677E1">
        <w:t xml:space="preserve">copia delle eventuali dichiarazioni dei titolari effettivi; </w:t>
      </w:r>
    </w:p>
    <w:p w14:paraId="09DAF29F" w14:textId="77777777" w:rsidR="00D677E1" w:rsidRPr="00D677E1" w:rsidRDefault="00D677E1" w:rsidP="00D677E1">
      <w:pPr>
        <w:numPr>
          <w:ilvl w:val="0"/>
          <w:numId w:val="1"/>
        </w:numPr>
      </w:pPr>
      <w:r w:rsidRPr="00D677E1">
        <w:t xml:space="preserve">dichiarazione dell’eventuale esposizione politica (nel solo caso in cui il beneficiario sia una persona fisica); </w:t>
      </w:r>
    </w:p>
    <w:p w14:paraId="2F9A6CF8" w14:textId="77777777" w:rsidR="00D677E1" w:rsidRPr="00D677E1" w:rsidRDefault="00D677E1" w:rsidP="00D677E1">
      <w:pPr>
        <w:numPr>
          <w:ilvl w:val="0"/>
          <w:numId w:val="1"/>
        </w:numPr>
      </w:pPr>
      <w:r w:rsidRPr="00D677E1">
        <w:t>preventivo di connessione rilasciato dal Gestore di Rete e documentazione attestante l’avvenuto invio della dichiarazione di accettazione al Gestore di Rete (</w:t>
      </w:r>
      <w:proofErr w:type="gramStart"/>
      <w:r w:rsidRPr="00D677E1">
        <w:t>per nel</w:t>
      </w:r>
      <w:proofErr w:type="gramEnd"/>
      <w:r w:rsidRPr="00D677E1">
        <w:t xml:space="preserve"> caso di impianto di produzione/potenziamento per cui non viene presentata al Gestore di Rete una richiesta di connessione in iter semplificato – c.d. Modello Unico); </w:t>
      </w:r>
    </w:p>
    <w:p w14:paraId="254A5878" w14:textId="620DCF25" w:rsidR="00D677E1" w:rsidRPr="00D677E1" w:rsidRDefault="00D677E1" w:rsidP="00D677E1">
      <w:pPr>
        <w:numPr>
          <w:ilvl w:val="0"/>
          <w:numId w:val="1"/>
        </w:numPr>
      </w:pPr>
      <w:r w:rsidRPr="00D677E1">
        <w:t xml:space="preserve">atto costitutivo e/o statuto della comunità di energia rinnovabile (solo nel caso di configurazione di CER), con evidenziati i passaggi da cui sia possibile riscontrare che: </w:t>
      </w:r>
    </w:p>
    <w:p w14:paraId="3030B0D0" w14:textId="77777777" w:rsidR="00D677E1" w:rsidRPr="00D677E1" w:rsidRDefault="00D677E1" w:rsidP="00D677E1">
      <w:pPr>
        <w:numPr>
          <w:ilvl w:val="1"/>
          <w:numId w:val="3"/>
        </w:numPr>
      </w:pPr>
      <w:r w:rsidRPr="00D677E1">
        <w:t xml:space="preserve">l’oggetto sociale prevalente della comunità è quello di fornire benefici ambientali, economici o sociali a livello di comunità ai propri membri o soci o alle aree locali in cui opera, e non quello di ottenere profitti finanziari; </w:t>
      </w:r>
    </w:p>
    <w:p w14:paraId="56FBDE66" w14:textId="77777777" w:rsidR="00D677E1" w:rsidRPr="00D677E1" w:rsidRDefault="00D677E1" w:rsidP="00D677E1">
      <w:pPr>
        <w:numPr>
          <w:ilvl w:val="1"/>
          <w:numId w:val="3"/>
        </w:numPr>
      </w:pPr>
      <w:r w:rsidRPr="00D677E1">
        <w:t xml:space="preserve">i membri o soci che esercitano poteri di controllo possono essere solo persone fisiche, piccole e medie imprese (PMI), associazioni con personalità giuridica di diritto privato, enti territoriali o autorità locali, ivi incluse, ai sensi dell’art. 31, comma 1 lettera b) del </w:t>
      </w:r>
      <w:proofErr w:type="spellStart"/>
      <w:r w:rsidRPr="00D677E1">
        <w:t>D.Lgs.</w:t>
      </w:r>
      <w:proofErr w:type="spellEnd"/>
      <w:r w:rsidRPr="00D677E1">
        <w:t xml:space="preserve"> 199/21, le amministrazioni comunali, gli enti di ricerca e formazione, gli enti religiosi, del terzo settore e di protezione ambientale nonché le amministrazioni locali contenute nell’elenco delle amministrazioni pubbliche divulgato dall’Istituto Nazionale di Statistica (di seguito anche: ISTAT) secondo quanto previsto all’articolo 1, comma 3, della legge 31 dicembre 2009, n. 196, situati nel territorio degli stessi Comuni in cui sono ubicati gli impianti di produzione detenuti dalla comunità di energia rinnovabile; </w:t>
      </w:r>
    </w:p>
    <w:p w14:paraId="178FC9CC" w14:textId="77777777" w:rsidR="00D677E1" w:rsidRPr="00D677E1" w:rsidRDefault="00D677E1" w:rsidP="00D677E1">
      <w:pPr>
        <w:numPr>
          <w:ilvl w:val="1"/>
          <w:numId w:val="3"/>
        </w:numPr>
      </w:pPr>
      <w:r w:rsidRPr="00D677E1">
        <w:t xml:space="preserve">la comunità è un soggetto autonomo e ha una partecipazione aperta e volontaria (a condizione che le imprese siano PMI e che la partecipazione alla comunità di energia rinnovabile non costituisca l’attività commerciale e/o industriale principale); </w:t>
      </w:r>
    </w:p>
    <w:p w14:paraId="023D4951" w14:textId="77777777" w:rsidR="00D677E1" w:rsidRPr="00D677E1" w:rsidRDefault="00D677E1" w:rsidP="00D677E1">
      <w:pPr>
        <w:numPr>
          <w:ilvl w:val="1"/>
          <w:numId w:val="3"/>
        </w:numPr>
      </w:pPr>
      <w:r w:rsidRPr="00D677E1">
        <w:t xml:space="preserve">la partecipazione dei membri o dei soci alla comunità prevede il mantenimento dei diritti di cliente finale, compreso quello di scegliere il proprio venditore e che per essi sia possibile in ogni momento uscire dalla configurazione fermi restando, in caso di recesso anticipato, eventuali corrispettivi, equi e proporzionati, concordati per la compartecipazione agli investimenti sostenuti; </w:t>
      </w:r>
    </w:p>
    <w:p w14:paraId="0432505E" w14:textId="77777777" w:rsidR="00D677E1" w:rsidRPr="00D677E1" w:rsidRDefault="00D677E1" w:rsidP="00D677E1">
      <w:pPr>
        <w:numPr>
          <w:ilvl w:val="1"/>
          <w:numId w:val="3"/>
        </w:numPr>
      </w:pPr>
      <w:r w:rsidRPr="00D677E1">
        <w:t xml:space="preserve">è stato individuato un soggetto delegato responsabile del riparto dell’energia elettrica condivisa; </w:t>
      </w:r>
    </w:p>
    <w:p w14:paraId="1941D283" w14:textId="77777777" w:rsidR="00D677E1" w:rsidRPr="00D677E1" w:rsidRDefault="00D677E1" w:rsidP="00D677E1">
      <w:pPr>
        <w:numPr>
          <w:ilvl w:val="1"/>
          <w:numId w:val="3"/>
        </w:numPr>
      </w:pPr>
      <w:r w:rsidRPr="00D677E1">
        <w:lastRenderedPageBreak/>
        <w:t xml:space="preserve">l’eventuale importo della tariffa premio eccedentario, rispetto a quello determinato in applicazione del valore soglia di energia condivisa espresso in percentuale di cui all’Allegato 1 del Decreto, sarà destinato ai soli consumatori diversi dalle imprese e\o utilizzato per finalità sociali aventi ricadute sui territori ove sono ubicati gli impianti per la condivisione; </w:t>
      </w:r>
    </w:p>
    <w:p w14:paraId="0D35A414" w14:textId="77777777" w:rsidR="00D677E1" w:rsidRPr="00D677E1" w:rsidRDefault="00D677E1" w:rsidP="00D677E1">
      <w:pPr>
        <w:numPr>
          <w:ilvl w:val="1"/>
          <w:numId w:val="2"/>
        </w:numPr>
      </w:pPr>
      <w:r w:rsidRPr="00D677E1">
        <w:t xml:space="preserve">7. schema elettrico unifilare con indicazione degli eventuali accumuli, del posizionamento dei contatori e della potenza dell’impianto, firmato e timbrato dal tecnico abilitato; </w:t>
      </w:r>
    </w:p>
    <w:p w14:paraId="5DE45C35" w14:textId="77777777" w:rsidR="00D677E1" w:rsidRPr="00D677E1" w:rsidRDefault="00D677E1" w:rsidP="00D677E1">
      <w:pPr>
        <w:numPr>
          <w:ilvl w:val="1"/>
          <w:numId w:val="2"/>
        </w:numPr>
      </w:pPr>
      <w:r w:rsidRPr="00D677E1">
        <w:t xml:space="preserve">8. relazione tecnica sui sistemi di pompaggio (nel solo caso di impianto di produzione/potenziamento di tipo idroelettrico che presenta sistemi di pompaggio); </w:t>
      </w:r>
    </w:p>
    <w:p w14:paraId="1CB243A5" w14:textId="77777777" w:rsidR="00D677E1" w:rsidRPr="00D677E1" w:rsidRDefault="00D677E1" w:rsidP="00D677E1">
      <w:pPr>
        <w:numPr>
          <w:ilvl w:val="1"/>
          <w:numId w:val="2"/>
        </w:numPr>
      </w:pPr>
      <w:r w:rsidRPr="00D677E1">
        <w:t xml:space="preserve">9. provvedimento di concessione del/dei contributo/i in conto capitale diversi da quelli sostenuti da altri programmi e strumenti dell'Unione Europea (nel solo caso in cui si è usufruito/si usufruirà di altri contributi in conto capitale diversi da quelli sostenuti da altri programmi e strumenti dell'Unione Europea); </w:t>
      </w:r>
    </w:p>
    <w:p w14:paraId="7DD9DFC3" w14:textId="77777777" w:rsidR="00D677E1" w:rsidRPr="00D677E1" w:rsidRDefault="00D677E1" w:rsidP="00D677E1">
      <w:pPr>
        <w:numPr>
          <w:ilvl w:val="1"/>
          <w:numId w:val="2"/>
        </w:numPr>
      </w:pPr>
      <w:r w:rsidRPr="00D677E1">
        <w:t xml:space="preserve">10. check list DNSH; </w:t>
      </w:r>
    </w:p>
    <w:p w14:paraId="2A6A3F57" w14:textId="77777777" w:rsidR="00D677E1" w:rsidRPr="00D677E1" w:rsidRDefault="00D677E1" w:rsidP="00D677E1">
      <w:pPr>
        <w:numPr>
          <w:ilvl w:val="1"/>
          <w:numId w:val="2"/>
        </w:numPr>
      </w:pPr>
      <w:r w:rsidRPr="00D677E1">
        <w:t xml:space="preserve">11. titolo autorizzativo per la costruzione e l’esercizio dell’impianto/potenziamento con annesso progetto autorizzato (nel solo caso di impianto di produzione/potenziamento di tipo termoelettrico); </w:t>
      </w:r>
    </w:p>
    <w:p w14:paraId="490CBE0D" w14:textId="77777777" w:rsidR="00D677E1" w:rsidRPr="00D677E1" w:rsidRDefault="00D677E1" w:rsidP="00D677E1">
      <w:pPr>
        <w:numPr>
          <w:ilvl w:val="1"/>
          <w:numId w:val="2"/>
        </w:numPr>
      </w:pPr>
      <w:r w:rsidRPr="00D677E1">
        <w:t xml:space="preserve">12. relazione tecnica (nel solo caso di impianto di produzione/potenziamento di tipo termoelettrico); </w:t>
      </w:r>
    </w:p>
    <w:p w14:paraId="08E3E393" w14:textId="77777777" w:rsidR="00D677E1" w:rsidRPr="00D677E1" w:rsidRDefault="00D677E1" w:rsidP="00D677E1">
      <w:pPr>
        <w:numPr>
          <w:ilvl w:val="1"/>
          <w:numId w:val="2"/>
        </w:numPr>
      </w:pPr>
      <w:r w:rsidRPr="00D677E1">
        <w:t xml:space="preserve">13. schema di impianto (P&amp;I) (nel solo caso di impianto di produzione/potenziamento di tipo termoelettrico). </w:t>
      </w:r>
    </w:p>
    <w:p w14:paraId="128B9CBD" w14:textId="77777777" w:rsidR="000A0324" w:rsidRDefault="000A0324"/>
    <w:sectPr w:rsidR="000A0324" w:rsidSect="00116748">
      <w:pgSz w:w="11906" w:h="16838" w:code="9"/>
      <w:pgMar w:top="1417"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07453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E280F"/>
    <w:multiLevelType w:val="hybridMultilevel"/>
    <w:tmpl w:val="636A61AC"/>
    <w:lvl w:ilvl="0" w:tplc="FFFFFFFF">
      <w:start w:val="1"/>
      <w:numFmt w:val="ideographDigital"/>
      <w:lvlText w:val="."/>
      <w:lvlJc w:val="left"/>
    </w:lvl>
    <w:lvl w:ilvl="1" w:tplc="D21046EC">
      <w:numFmt w:val="bullet"/>
      <w:lvlText w:val="-"/>
      <w:lvlJc w:val="left"/>
      <w:pPr>
        <w:ind w:left="360" w:hanging="360"/>
      </w:pPr>
      <w:rPr>
        <w:rFonts w:ascii="Aptos" w:eastAsiaTheme="minorHAnsi" w:hAnsi="Aptos" w:cstheme="minorBid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6F0E98"/>
    <w:multiLevelType w:val="hybridMultilevel"/>
    <w:tmpl w:val="CB808A80"/>
    <w:lvl w:ilvl="0" w:tplc="AF7A91E6">
      <w:start w:val="1"/>
      <w:numFmt w:val="decimal"/>
      <w:suff w:val="space"/>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4266743">
    <w:abstractNumId w:val="2"/>
  </w:num>
  <w:num w:numId="2" w16cid:durableId="1314602483">
    <w:abstractNumId w:val="0"/>
  </w:num>
  <w:num w:numId="3" w16cid:durableId="32054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1F"/>
    <w:rsid w:val="0008161F"/>
    <w:rsid w:val="000A0324"/>
    <w:rsid w:val="00116748"/>
    <w:rsid w:val="003B706A"/>
    <w:rsid w:val="00D677E1"/>
    <w:rsid w:val="00E8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AED2"/>
  <w15:chartTrackingRefBased/>
  <w15:docId w15:val="{0C2A7E95-284E-4BAB-BDB6-41B39501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81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81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8161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8161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8161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816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816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816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816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161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8161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8161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8161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8161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816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816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816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816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81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816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8161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816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8161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8161F"/>
    <w:rPr>
      <w:i/>
      <w:iCs/>
      <w:color w:val="404040" w:themeColor="text1" w:themeTint="BF"/>
    </w:rPr>
  </w:style>
  <w:style w:type="paragraph" w:styleId="Paragrafoelenco">
    <w:name w:val="List Paragraph"/>
    <w:basedOn w:val="Normale"/>
    <w:uiPriority w:val="34"/>
    <w:qFormat/>
    <w:rsid w:val="0008161F"/>
    <w:pPr>
      <w:ind w:left="720"/>
      <w:contextualSpacing/>
    </w:pPr>
  </w:style>
  <w:style w:type="character" w:styleId="Enfasiintensa">
    <w:name w:val="Intense Emphasis"/>
    <w:basedOn w:val="Carpredefinitoparagrafo"/>
    <w:uiPriority w:val="21"/>
    <w:qFormat/>
    <w:rsid w:val="0008161F"/>
    <w:rPr>
      <w:i/>
      <w:iCs/>
      <w:color w:val="0F4761" w:themeColor="accent1" w:themeShade="BF"/>
    </w:rPr>
  </w:style>
  <w:style w:type="paragraph" w:styleId="Citazioneintensa">
    <w:name w:val="Intense Quote"/>
    <w:basedOn w:val="Normale"/>
    <w:next w:val="Normale"/>
    <w:link w:val="CitazioneintensaCarattere"/>
    <w:uiPriority w:val="30"/>
    <w:qFormat/>
    <w:rsid w:val="00081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8161F"/>
    <w:rPr>
      <w:i/>
      <w:iCs/>
      <w:color w:val="0F4761" w:themeColor="accent1" w:themeShade="BF"/>
    </w:rPr>
  </w:style>
  <w:style w:type="character" w:styleId="Riferimentointenso">
    <w:name w:val="Intense Reference"/>
    <w:basedOn w:val="Carpredefinitoparagrafo"/>
    <w:uiPriority w:val="32"/>
    <w:qFormat/>
    <w:rsid w:val="00081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cer2</dc:creator>
  <cp:keywords/>
  <dc:description/>
  <cp:lastModifiedBy>cer2</cp:lastModifiedBy>
  <cp:revision>3</cp:revision>
  <cp:lastPrinted>2024-09-11T08:44:00Z</cp:lastPrinted>
  <dcterms:created xsi:type="dcterms:W3CDTF">2024-09-11T08:18:00Z</dcterms:created>
  <dcterms:modified xsi:type="dcterms:W3CDTF">2024-09-11T13:30:00Z</dcterms:modified>
</cp:coreProperties>
</file>