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B24C" w14:textId="77777777" w:rsidR="00D671A1" w:rsidRPr="0002509B" w:rsidRDefault="00D671A1" w:rsidP="001C2896">
      <w:pPr>
        <w:jc w:val="center"/>
        <w:rPr>
          <w:b/>
          <w:sz w:val="22"/>
          <w:szCs w:val="2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509B">
        <w:rPr>
          <w:b/>
          <w:sz w:val="22"/>
          <w:szCs w:val="2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CONSOLAZIONE E.T.A.B.</w:t>
      </w:r>
    </w:p>
    <w:p w14:paraId="42C90D36" w14:textId="77777777" w:rsidR="00D671A1" w:rsidRPr="0002509B" w:rsidRDefault="00D671A1" w:rsidP="001C2896">
      <w:pPr>
        <w:pStyle w:val="Standard"/>
        <w:jc w:val="center"/>
        <w:rPr>
          <w:color w:val="000000"/>
          <w:sz w:val="22"/>
          <w:szCs w:val="22"/>
        </w:rPr>
      </w:pPr>
      <w:r w:rsidRPr="0002509B">
        <w:rPr>
          <w:color w:val="000000"/>
          <w:sz w:val="22"/>
          <w:szCs w:val="22"/>
        </w:rPr>
        <w:t>06059 TODI (PG), Piazza Umberto I, n°. 6</w:t>
      </w:r>
    </w:p>
    <w:p w14:paraId="360CB745" w14:textId="558474C0" w:rsidR="00D671A1" w:rsidRPr="0002509B" w:rsidRDefault="00D671A1" w:rsidP="001C2896">
      <w:pPr>
        <w:pStyle w:val="Standard"/>
        <w:jc w:val="center"/>
        <w:rPr>
          <w:color w:val="000000"/>
          <w:sz w:val="22"/>
          <w:szCs w:val="22"/>
          <w:lang w:val="en-US"/>
        </w:rPr>
      </w:pPr>
      <w:r w:rsidRPr="0002509B">
        <w:rPr>
          <w:color w:val="000000"/>
          <w:sz w:val="22"/>
          <w:szCs w:val="22"/>
          <w:lang w:val="en-US"/>
        </w:rPr>
        <w:t xml:space="preserve">Tel. 075/8942216 – Fax 075/8949819 – Email </w:t>
      </w:r>
      <w:hyperlink r:id="rId4" w:history="1">
        <w:r w:rsidR="00F75A9E">
          <w:rPr>
            <w:rStyle w:val="Collegamentoipertestuale"/>
            <w:sz w:val="22"/>
            <w:szCs w:val="22"/>
            <w:lang w:val="en-US"/>
          </w:rPr>
          <w:t>consolazione@etabtodi.it</w:t>
        </w:r>
      </w:hyperlink>
    </w:p>
    <w:p w14:paraId="20DFA610" w14:textId="77777777" w:rsidR="00D671A1" w:rsidRPr="0002509B" w:rsidRDefault="00D671A1" w:rsidP="001C2896">
      <w:pPr>
        <w:pStyle w:val="Standard"/>
        <w:jc w:val="center"/>
        <w:rPr>
          <w:color w:val="000000"/>
          <w:sz w:val="22"/>
          <w:szCs w:val="22"/>
        </w:rPr>
      </w:pPr>
      <w:r w:rsidRPr="0002509B">
        <w:rPr>
          <w:color w:val="000000"/>
          <w:sz w:val="22"/>
          <w:szCs w:val="22"/>
        </w:rPr>
        <w:t xml:space="preserve">Sito web </w:t>
      </w:r>
      <w:hyperlink r:id="rId5" w:history="1">
        <w:r w:rsidRPr="0002509B">
          <w:rPr>
            <w:rStyle w:val="Collegamentoipertestuale"/>
            <w:sz w:val="22"/>
            <w:szCs w:val="22"/>
          </w:rPr>
          <w:t>www.etabtodi.it</w:t>
        </w:r>
      </w:hyperlink>
      <w:r w:rsidRPr="0002509B">
        <w:rPr>
          <w:color w:val="000000"/>
          <w:sz w:val="22"/>
          <w:szCs w:val="22"/>
        </w:rPr>
        <w:t xml:space="preserve"> PEC </w:t>
      </w:r>
      <w:hyperlink r:id="rId6" w:history="1">
        <w:r w:rsidRPr="0002509B">
          <w:rPr>
            <w:rStyle w:val="Collegamentoipertestuale"/>
            <w:sz w:val="22"/>
            <w:szCs w:val="22"/>
          </w:rPr>
          <w:t>consolazione@pec.it</w:t>
        </w:r>
      </w:hyperlink>
      <w:r w:rsidRPr="0002509B">
        <w:rPr>
          <w:color w:val="000000"/>
          <w:sz w:val="22"/>
          <w:szCs w:val="22"/>
        </w:rPr>
        <w:t xml:space="preserve"> </w:t>
      </w:r>
    </w:p>
    <w:p w14:paraId="78008A8E" w14:textId="77777777" w:rsidR="00D671A1" w:rsidRDefault="00D671A1" w:rsidP="001C2896">
      <w:pPr>
        <w:pStyle w:val="Standard"/>
        <w:jc w:val="center"/>
        <w:rPr>
          <w:b/>
          <w:bCs/>
          <w:color w:val="000000"/>
          <w:sz w:val="22"/>
          <w:szCs w:val="22"/>
        </w:rPr>
      </w:pPr>
      <w:r w:rsidRPr="0002509B">
        <w:rPr>
          <w:b/>
          <w:bCs/>
          <w:color w:val="000000"/>
          <w:sz w:val="22"/>
          <w:szCs w:val="22"/>
        </w:rPr>
        <w:t>AVVISO</w:t>
      </w:r>
    </w:p>
    <w:p w14:paraId="47D06751" w14:textId="7528CDAC" w:rsidR="00D671A1" w:rsidRDefault="00D671A1" w:rsidP="001C2896">
      <w:pPr>
        <w:pStyle w:val="Standard"/>
        <w:jc w:val="center"/>
        <w:rPr>
          <w:sz w:val="22"/>
          <w:szCs w:val="22"/>
        </w:rPr>
      </w:pPr>
      <w:r w:rsidRPr="0002509B">
        <w:rPr>
          <w:color w:val="000000"/>
          <w:sz w:val="22"/>
          <w:szCs w:val="22"/>
        </w:rPr>
        <w:t xml:space="preserve">(allegato A Bis – delibera </w:t>
      </w:r>
      <w:r w:rsidR="001C63DA" w:rsidRPr="0002509B">
        <w:rPr>
          <w:color w:val="000000"/>
          <w:sz w:val="22"/>
          <w:szCs w:val="22"/>
        </w:rPr>
        <w:t xml:space="preserve">n°. </w:t>
      </w:r>
      <w:r w:rsidR="005F6D0B">
        <w:rPr>
          <w:color w:val="000000"/>
          <w:sz w:val="22"/>
          <w:szCs w:val="22"/>
        </w:rPr>
        <w:t>64 del 22.07.2025</w:t>
      </w:r>
      <w:r w:rsidRPr="0002509B">
        <w:rPr>
          <w:sz w:val="22"/>
          <w:szCs w:val="22"/>
        </w:rPr>
        <w:t>)</w:t>
      </w:r>
    </w:p>
    <w:p w14:paraId="13B0345A" w14:textId="4831D21E" w:rsidR="00353DF6" w:rsidRDefault="00353DF6" w:rsidP="00353DF6">
      <w:pPr>
        <w:pStyle w:val="Standard"/>
        <w:jc w:val="both"/>
        <w:rPr>
          <w:b/>
          <w:bCs/>
          <w:color w:val="000000"/>
          <w:sz w:val="24"/>
          <w:szCs w:val="24"/>
          <w:u w:val="single"/>
        </w:rPr>
      </w:pPr>
      <w:bookmarkStart w:id="0" w:name="_Hlk192152484"/>
      <w:bookmarkStart w:id="1" w:name="_Hlk98851906"/>
      <w:r w:rsidRPr="005B3550">
        <w:rPr>
          <w:b/>
          <w:bCs/>
          <w:color w:val="000000"/>
          <w:sz w:val="24"/>
          <w:szCs w:val="24"/>
          <w:u w:val="single"/>
        </w:rPr>
        <w:t xml:space="preserve">LICITAZIONE PRIVATA PER LA CONCESSIONE IN AFFITTO DI TERRENI AGRICOLI </w:t>
      </w:r>
      <w:r w:rsidR="00571DC1">
        <w:rPr>
          <w:b/>
          <w:bCs/>
          <w:color w:val="000000"/>
          <w:sz w:val="24"/>
          <w:szCs w:val="24"/>
          <w:u w:val="single"/>
        </w:rPr>
        <w:t>SITI IN</w:t>
      </w:r>
      <w:r>
        <w:rPr>
          <w:b/>
          <w:bCs/>
          <w:color w:val="000000"/>
          <w:sz w:val="24"/>
          <w:szCs w:val="24"/>
          <w:u w:val="single"/>
        </w:rPr>
        <w:t xml:space="preserve"> COLLAZZONE. </w:t>
      </w:r>
    </w:p>
    <w:bookmarkEnd w:id="0"/>
    <w:p w14:paraId="291999A3" w14:textId="16C56A2C" w:rsidR="00D671A1" w:rsidRPr="0002509B" w:rsidRDefault="00D671A1" w:rsidP="001C2896">
      <w:pPr>
        <w:pStyle w:val="Testonotaapidipagina"/>
        <w:jc w:val="both"/>
        <w:rPr>
          <w:sz w:val="22"/>
          <w:szCs w:val="22"/>
        </w:rPr>
      </w:pPr>
      <w:r w:rsidRPr="0002509B">
        <w:rPr>
          <w:sz w:val="22"/>
          <w:szCs w:val="22"/>
        </w:rPr>
        <w:t xml:space="preserve">In esecuzione alla </w:t>
      </w:r>
      <w:r w:rsidRPr="0002509B">
        <w:rPr>
          <w:color w:val="000000"/>
          <w:sz w:val="22"/>
          <w:szCs w:val="22"/>
        </w:rPr>
        <w:t xml:space="preserve">delibera </w:t>
      </w:r>
      <w:r w:rsidR="00F75A9E" w:rsidRPr="0002509B">
        <w:rPr>
          <w:color w:val="000000"/>
          <w:sz w:val="22"/>
          <w:szCs w:val="22"/>
        </w:rPr>
        <w:t xml:space="preserve">n°. </w:t>
      </w:r>
      <w:r w:rsidR="005F6D0B">
        <w:rPr>
          <w:color w:val="000000"/>
          <w:sz w:val="22"/>
          <w:szCs w:val="22"/>
        </w:rPr>
        <w:t>64 del 22.07.2025</w:t>
      </w:r>
      <w:r w:rsidRPr="0002509B">
        <w:rPr>
          <w:color w:val="000000"/>
          <w:sz w:val="22"/>
          <w:szCs w:val="22"/>
        </w:rPr>
        <w:t xml:space="preserve">, si rende noto che </w:t>
      </w:r>
      <w:r w:rsidRPr="0002509B">
        <w:rPr>
          <w:sz w:val="22"/>
          <w:szCs w:val="22"/>
        </w:rPr>
        <w:t xml:space="preserve">è indetta il giorno </w:t>
      </w:r>
      <w:r w:rsidR="005F6D0B">
        <w:rPr>
          <w:b/>
          <w:sz w:val="22"/>
          <w:szCs w:val="22"/>
        </w:rPr>
        <w:t>10</w:t>
      </w:r>
      <w:r w:rsidR="00AE2B05">
        <w:rPr>
          <w:b/>
          <w:sz w:val="22"/>
          <w:szCs w:val="22"/>
        </w:rPr>
        <w:t xml:space="preserve"> </w:t>
      </w:r>
      <w:r w:rsidR="005F6D0B">
        <w:rPr>
          <w:b/>
          <w:sz w:val="22"/>
          <w:szCs w:val="22"/>
        </w:rPr>
        <w:t>settembre</w:t>
      </w:r>
      <w:r w:rsidR="00AE2B05">
        <w:rPr>
          <w:b/>
          <w:sz w:val="22"/>
          <w:szCs w:val="22"/>
        </w:rPr>
        <w:t xml:space="preserve"> 202</w:t>
      </w:r>
      <w:r w:rsidR="005F6D0B">
        <w:rPr>
          <w:b/>
          <w:sz w:val="22"/>
          <w:szCs w:val="22"/>
        </w:rPr>
        <w:t>5</w:t>
      </w:r>
      <w:r w:rsidRPr="0002509B">
        <w:rPr>
          <w:b/>
          <w:bCs/>
          <w:sz w:val="22"/>
          <w:szCs w:val="22"/>
        </w:rPr>
        <w:t xml:space="preserve">, ore 12,00 (termine scadenza offerte </w:t>
      </w:r>
      <w:r w:rsidR="005F6D0B">
        <w:rPr>
          <w:b/>
          <w:sz w:val="22"/>
          <w:szCs w:val="22"/>
        </w:rPr>
        <w:t>10</w:t>
      </w:r>
      <w:r w:rsidR="00AE2B05">
        <w:rPr>
          <w:b/>
          <w:sz w:val="22"/>
          <w:szCs w:val="22"/>
        </w:rPr>
        <w:t xml:space="preserve"> </w:t>
      </w:r>
      <w:r w:rsidR="005F6D0B">
        <w:rPr>
          <w:b/>
          <w:sz w:val="22"/>
          <w:szCs w:val="22"/>
        </w:rPr>
        <w:t>settembre</w:t>
      </w:r>
      <w:r w:rsidR="00AE2B05">
        <w:rPr>
          <w:b/>
          <w:sz w:val="22"/>
          <w:szCs w:val="22"/>
        </w:rPr>
        <w:t xml:space="preserve"> 202</w:t>
      </w:r>
      <w:r w:rsidR="00571DC1">
        <w:rPr>
          <w:b/>
          <w:sz w:val="22"/>
          <w:szCs w:val="22"/>
        </w:rPr>
        <w:t>5</w:t>
      </w:r>
      <w:r w:rsidRPr="0002509B">
        <w:rPr>
          <w:b/>
          <w:sz w:val="22"/>
          <w:szCs w:val="22"/>
        </w:rPr>
        <w:t xml:space="preserve">, </w:t>
      </w:r>
      <w:r w:rsidRPr="0002509B">
        <w:rPr>
          <w:b/>
          <w:bCs/>
          <w:sz w:val="22"/>
          <w:szCs w:val="22"/>
        </w:rPr>
        <w:t>ore 11),</w:t>
      </w:r>
      <w:r w:rsidRPr="0002509B">
        <w:rPr>
          <w:sz w:val="22"/>
          <w:szCs w:val="22"/>
        </w:rPr>
        <w:t xml:space="preserve"> presso la sede dell'Ente, in Todi, Piazza Umberto I, n°. 6, una gara nella forma della licitazione privata col metodo delle offerte segrete alla quale la S.V. è invitata a partecipare ai sensi del combinato disposto dell'art. 89 lett. a) del regolamento per l'Amministrazione del patrimonio e per la contabilità generale dello Stato, approvato con R.D. 23 maggio 1924 n. 827 e </w:t>
      </w:r>
      <w:proofErr w:type="spellStart"/>
      <w:r w:rsidRPr="0002509B">
        <w:rPr>
          <w:sz w:val="22"/>
          <w:szCs w:val="22"/>
        </w:rPr>
        <w:t>s.m.i.</w:t>
      </w:r>
      <w:proofErr w:type="spellEnd"/>
      <w:r w:rsidRPr="0002509B">
        <w:rPr>
          <w:sz w:val="22"/>
          <w:szCs w:val="22"/>
        </w:rPr>
        <w:t xml:space="preserve"> e dell’art. 22 Legge 11.02.1971, n°. 11 e </w:t>
      </w:r>
      <w:proofErr w:type="spellStart"/>
      <w:r w:rsidRPr="0002509B">
        <w:rPr>
          <w:sz w:val="22"/>
          <w:szCs w:val="22"/>
        </w:rPr>
        <w:t>s.m.i.</w:t>
      </w:r>
      <w:proofErr w:type="spellEnd"/>
      <w:r w:rsidRPr="0002509B">
        <w:rPr>
          <w:sz w:val="22"/>
          <w:szCs w:val="22"/>
        </w:rPr>
        <w:t xml:space="preserve"> per l'affitto dei terreni sotto indicati:</w:t>
      </w:r>
    </w:p>
    <w:p w14:paraId="1F3D9735" w14:textId="77777777" w:rsidR="005F6D0B" w:rsidRDefault="005F6D0B" w:rsidP="006A47F5">
      <w:pPr>
        <w:ind w:left="3540" w:firstLine="708"/>
        <w:jc w:val="both"/>
      </w:pPr>
    </w:p>
    <w:p w14:paraId="0A9FC638" w14:textId="64E4B030" w:rsidR="005F6D0B" w:rsidRDefault="005F6D0B" w:rsidP="005F6D0B">
      <w:pPr>
        <w:jc w:val="both"/>
      </w:pPr>
      <w:bookmarkStart w:id="2" w:name="_Hlk192070181"/>
      <w:proofErr w:type="spellStart"/>
      <w:r>
        <w:t>Terreni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Todi, </w:t>
      </w:r>
      <w:proofErr w:type="spellStart"/>
      <w:r>
        <w:t>Frazione</w:t>
      </w:r>
      <w:proofErr w:type="spellEnd"/>
      <w:r>
        <w:t xml:space="preserve"> Monticello, </w:t>
      </w:r>
      <w:proofErr w:type="spellStart"/>
      <w:r>
        <w:t>Vocabolo</w:t>
      </w:r>
      <w:proofErr w:type="spellEnd"/>
      <w:r>
        <w:t xml:space="preserve"> </w:t>
      </w:r>
      <w:proofErr w:type="spellStart"/>
      <w:r>
        <w:t>Figareto</w:t>
      </w:r>
      <w:proofErr w:type="spellEnd"/>
      <w:r>
        <w:t xml:space="preserve"> </w:t>
      </w:r>
      <w:proofErr w:type="spellStart"/>
      <w:r>
        <w:t>individuati</w:t>
      </w:r>
      <w:proofErr w:type="spellEnd"/>
      <w:r>
        <w:t xml:space="preserve"> al C.T. del </w:t>
      </w:r>
      <w:proofErr w:type="spellStart"/>
      <w:r>
        <w:t>Comune</w:t>
      </w:r>
      <w:proofErr w:type="spellEnd"/>
      <w:r>
        <w:t xml:space="preserve"> di Todi al </w:t>
      </w:r>
      <w:proofErr w:type="spellStart"/>
      <w:r>
        <w:t>Foglio</w:t>
      </w:r>
      <w:proofErr w:type="spellEnd"/>
      <w:r>
        <w:t xml:space="preserve"> 55, </w:t>
      </w:r>
      <w:proofErr w:type="spellStart"/>
      <w:r>
        <w:t>p.lle</w:t>
      </w:r>
      <w:proofErr w:type="spellEnd"/>
      <w:r>
        <w:t xml:space="preserve"> 72, 73, 74, 76, 77 Sup. </w:t>
      </w:r>
      <w:proofErr w:type="spellStart"/>
      <w:r>
        <w:t>Catastale</w:t>
      </w:r>
      <w:proofErr w:type="spellEnd"/>
      <w:r>
        <w:t xml:space="preserve"> Ha 3.68.30 circa di </w:t>
      </w:r>
      <w:proofErr w:type="spellStart"/>
      <w:r>
        <w:t>cui</w:t>
      </w:r>
      <w:proofErr w:type="spellEnd"/>
      <w:r>
        <w:t xml:space="preserve"> S.A.U  </w:t>
      </w:r>
      <w:proofErr w:type="spellStart"/>
      <w:r>
        <w:t>indicativa</w:t>
      </w:r>
      <w:proofErr w:type="spellEnd"/>
      <w:r>
        <w:t xml:space="preserve"> Ha 3,2 circa</w:t>
      </w:r>
      <w:r>
        <w:t xml:space="preserve"> </w:t>
      </w:r>
      <w:proofErr w:type="spellStart"/>
      <w:r>
        <w:t>come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precisato</w:t>
      </w:r>
      <w:proofErr w:type="spellEnd"/>
      <w:r>
        <w:t>:</w:t>
      </w:r>
    </w:p>
    <w:p w14:paraId="18BD86F8" w14:textId="77777777" w:rsidR="00011E21" w:rsidRDefault="00011E21" w:rsidP="005F6D0B">
      <w:pPr>
        <w:jc w:val="both"/>
      </w:pPr>
    </w:p>
    <w:p w14:paraId="37CD9D4B" w14:textId="77777777" w:rsidR="005F6D0B" w:rsidRPr="00CB1824" w:rsidRDefault="005F6D0B" w:rsidP="005F6D0B">
      <w:pPr>
        <w:pStyle w:val="Standard"/>
        <w:jc w:val="both"/>
        <w:rPr>
          <w:sz w:val="24"/>
        </w:rPr>
      </w:pPr>
      <w:bookmarkStart w:id="3" w:name="_Hlk203735890"/>
      <w:r w:rsidRPr="00CB1824">
        <w:rPr>
          <w:sz w:val="24"/>
        </w:rPr>
        <w:t xml:space="preserve">foglio </w:t>
      </w:r>
      <w:r w:rsidRPr="00CB1824">
        <w:rPr>
          <w:sz w:val="24"/>
        </w:rPr>
        <w:tab/>
      </w:r>
      <w:proofErr w:type="spellStart"/>
      <w:r w:rsidRPr="00CB1824">
        <w:rPr>
          <w:sz w:val="24"/>
        </w:rPr>
        <w:t>partic</w:t>
      </w:r>
      <w:proofErr w:type="spellEnd"/>
      <w:r w:rsidRPr="00CB1824">
        <w:rPr>
          <w:sz w:val="24"/>
        </w:rPr>
        <w:t>.</w:t>
      </w:r>
      <w:r w:rsidRPr="00CB1824">
        <w:rPr>
          <w:sz w:val="24"/>
        </w:rPr>
        <w:tab/>
        <w:t xml:space="preserve"> </w:t>
      </w:r>
      <w:proofErr w:type="spellStart"/>
      <w:r w:rsidRPr="00CB1824">
        <w:rPr>
          <w:sz w:val="24"/>
        </w:rPr>
        <w:t>superf</w:t>
      </w:r>
      <w:proofErr w:type="spellEnd"/>
      <w:r w:rsidRPr="00CB1824">
        <w:rPr>
          <w:sz w:val="24"/>
        </w:rPr>
        <w:t xml:space="preserve">. </w:t>
      </w:r>
      <w:r w:rsidRPr="00CB1824">
        <w:rPr>
          <w:sz w:val="24"/>
        </w:rPr>
        <w:tab/>
        <w:t>qual.</w:t>
      </w:r>
      <w:r w:rsidRPr="00CB1824">
        <w:rPr>
          <w:sz w:val="24"/>
        </w:rPr>
        <w:tab/>
      </w:r>
      <w:proofErr w:type="spellStart"/>
      <w:r w:rsidRPr="00CB1824">
        <w:rPr>
          <w:sz w:val="24"/>
        </w:rPr>
        <w:t>clas</w:t>
      </w:r>
      <w:proofErr w:type="spellEnd"/>
      <w:r w:rsidRPr="00CB1824">
        <w:rPr>
          <w:sz w:val="24"/>
        </w:rPr>
        <w:t>.</w:t>
      </w:r>
      <w:r w:rsidRPr="00CB1824">
        <w:rPr>
          <w:sz w:val="24"/>
        </w:rPr>
        <w:tab/>
        <w:t>R.D.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R.A.</w:t>
      </w:r>
      <w:r w:rsidRPr="00CB1824">
        <w:rPr>
          <w:sz w:val="24"/>
        </w:rPr>
        <w:tab/>
      </w:r>
    </w:p>
    <w:p w14:paraId="661808A1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74</w:t>
      </w:r>
      <w:r w:rsidRPr="00CB1824">
        <w:rPr>
          <w:sz w:val="24"/>
        </w:rPr>
        <w:tab/>
        <w:t xml:space="preserve"> 12.140 </w:t>
      </w:r>
      <w:r w:rsidRPr="00CB1824">
        <w:rPr>
          <w:sz w:val="24"/>
        </w:rPr>
        <w:tab/>
        <w:t>S.A.</w:t>
      </w:r>
      <w:r w:rsidRPr="00CB1824">
        <w:rPr>
          <w:sz w:val="24"/>
        </w:rPr>
        <w:tab/>
        <w:t>3</w:t>
      </w:r>
      <w:r w:rsidRPr="00CB1824">
        <w:rPr>
          <w:sz w:val="24"/>
        </w:rPr>
        <w:tab/>
        <w:t xml:space="preserve">€53,29 </w:t>
      </w:r>
      <w:r>
        <w:rPr>
          <w:sz w:val="24"/>
        </w:rPr>
        <w:tab/>
      </w:r>
      <w:r w:rsidRPr="00CB1824">
        <w:rPr>
          <w:sz w:val="24"/>
        </w:rPr>
        <w:t xml:space="preserve">€53,29 </w:t>
      </w:r>
      <w:r w:rsidRPr="00CB1824">
        <w:rPr>
          <w:sz w:val="24"/>
        </w:rPr>
        <w:tab/>
      </w:r>
    </w:p>
    <w:p w14:paraId="43100625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76</w:t>
      </w:r>
      <w:r w:rsidRPr="00CB1824">
        <w:rPr>
          <w:sz w:val="24"/>
        </w:rPr>
        <w:tab/>
        <w:t xml:space="preserve"> 7.900 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S.</w:t>
      </w:r>
      <w:r w:rsidRPr="00CB1824">
        <w:rPr>
          <w:sz w:val="24"/>
        </w:rPr>
        <w:tab/>
        <w:t>3</w:t>
      </w:r>
      <w:r w:rsidRPr="00CB1824">
        <w:rPr>
          <w:sz w:val="24"/>
        </w:rPr>
        <w:tab/>
        <w:t xml:space="preserve">€34,68 </w:t>
      </w:r>
      <w:r>
        <w:rPr>
          <w:sz w:val="24"/>
        </w:rPr>
        <w:tab/>
      </w:r>
      <w:r w:rsidRPr="00CB1824">
        <w:rPr>
          <w:sz w:val="24"/>
        </w:rPr>
        <w:t xml:space="preserve">€36,72 </w:t>
      </w:r>
      <w:r w:rsidRPr="00CB1824">
        <w:rPr>
          <w:sz w:val="24"/>
        </w:rPr>
        <w:tab/>
      </w:r>
    </w:p>
    <w:p w14:paraId="58C8845E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72 AA</w:t>
      </w:r>
      <w:r w:rsidRPr="00CB1824">
        <w:rPr>
          <w:sz w:val="24"/>
        </w:rPr>
        <w:tab/>
        <w:t xml:space="preserve"> 868 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S.</w:t>
      </w:r>
      <w:r w:rsidRPr="00CB1824">
        <w:rPr>
          <w:sz w:val="24"/>
        </w:rPr>
        <w:tab/>
        <w:t>3</w:t>
      </w:r>
      <w:r w:rsidRPr="00CB1824">
        <w:rPr>
          <w:sz w:val="24"/>
        </w:rPr>
        <w:tab/>
        <w:t>€ 3,81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€ 4,03</w:t>
      </w:r>
      <w:r w:rsidRPr="00CB1824">
        <w:rPr>
          <w:sz w:val="24"/>
        </w:rPr>
        <w:tab/>
      </w:r>
    </w:p>
    <w:p w14:paraId="1F8AFC91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72 AB</w:t>
      </w:r>
      <w:r w:rsidRPr="00CB1824">
        <w:rPr>
          <w:sz w:val="24"/>
        </w:rPr>
        <w:tab/>
        <w:t xml:space="preserve"> 2.280 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B.M.</w:t>
      </w:r>
      <w:r w:rsidRPr="00CB1824">
        <w:rPr>
          <w:sz w:val="24"/>
        </w:rPr>
        <w:tab/>
        <w:t>2</w:t>
      </w:r>
      <w:r w:rsidRPr="00CB1824">
        <w:rPr>
          <w:sz w:val="24"/>
        </w:rPr>
        <w:tab/>
        <w:t>€ 1,88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€ 0,59</w:t>
      </w:r>
      <w:r w:rsidRPr="00CB1824">
        <w:rPr>
          <w:sz w:val="24"/>
        </w:rPr>
        <w:tab/>
      </w:r>
    </w:p>
    <w:p w14:paraId="3208082A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72 AC</w:t>
      </w:r>
      <w:r w:rsidRPr="00CB1824">
        <w:rPr>
          <w:sz w:val="24"/>
        </w:rPr>
        <w:tab/>
        <w:t xml:space="preserve"> 3.192 </w:t>
      </w:r>
      <w:r>
        <w:rPr>
          <w:sz w:val="24"/>
        </w:rPr>
        <w:tab/>
      </w:r>
      <w:r w:rsidRPr="00CB1824">
        <w:rPr>
          <w:sz w:val="24"/>
        </w:rPr>
        <w:tab/>
        <w:t>P.A.</w:t>
      </w:r>
      <w:r w:rsidRPr="00CB1824">
        <w:rPr>
          <w:sz w:val="24"/>
        </w:rPr>
        <w:tab/>
        <w:t>2</w:t>
      </w:r>
      <w:r w:rsidRPr="00CB1824">
        <w:rPr>
          <w:sz w:val="24"/>
        </w:rPr>
        <w:tab/>
        <w:t>€ 2,47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€ 1,32</w:t>
      </w:r>
      <w:r w:rsidRPr="00CB1824">
        <w:rPr>
          <w:sz w:val="24"/>
        </w:rPr>
        <w:tab/>
      </w:r>
    </w:p>
    <w:p w14:paraId="792E03A7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73 AA</w:t>
      </w:r>
      <w:r w:rsidRPr="00CB1824">
        <w:rPr>
          <w:sz w:val="24"/>
        </w:rPr>
        <w:tab/>
        <w:t xml:space="preserve"> 5.024 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S.</w:t>
      </w:r>
      <w:r w:rsidRPr="00CB1824">
        <w:rPr>
          <w:sz w:val="24"/>
        </w:rPr>
        <w:tab/>
        <w:t>4</w:t>
      </w:r>
      <w:r w:rsidRPr="00CB1824">
        <w:rPr>
          <w:sz w:val="24"/>
        </w:rPr>
        <w:tab/>
        <w:t xml:space="preserve">€16,87 </w:t>
      </w:r>
      <w:r>
        <w:rPr>
          <w:sz w:val="24"/>
        </w:rPr>
        <w:tab/>
      </w:r>
      <w:r w:rsidRPr="00CB1824">
        <w:rPr>
          <w:sz w:val="24"/>
        </w:rPr>
        <w:t>€</w:t>
      </w:r>
      <w:r>
        <w:rPr>
          <w:sz w:val="24"/>
        </w:rPr>
        <w:t xml:space="preserve"> </w:t>
      </w:r>
      <w:r w:rsidRPr="00CB1824">
        <w:rPr>
          <w:sz w:val="24"/>
        </w:rPr>
        <w:t xml:space="preserve">20,76 </w:t>
      </w:r>
      <w:r w:rsidRPr="00CB1824">
        <w:rPr>
          <w:sz w:val="24"/>
        </w:rPr>
        <w:tab/>
      </w:r>
    </w:p>
    <w:p w14:paraId="754F1A0C" w14:textId="77777777" w:rsidR="005F6D0B" w:rsidRPr="00CB1824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>55</w:t>
      </w:r>
      <w:r w:rsidRPr="00CB1824">
        <w:rPr>
          <w:sz w:val="24"/>
        </w:rPr>
        <w:tab/>
        <w:t>73 AB</w:t>
      </w:r>
      <w:r w:rsidRPr="00CB1824">
        <w:rPr>
          <w:sz w:val="24"/>
        </w:rPr>
        <w:tab/>
        <w:t xml:space="preserve"> </w:t>
      </w:r>
      <w:r w:rsidRPr="00CB1824">
        <w:rPr>
          <w:strike/>
          <w:sz w:val="24"/>
        </w:rPr>
        <w:t>5.426</w:t>
      </w:r>
      <w:r w:rsidRPr="00CB1824">
        <w:rPr>
          <w:sz w:val="24"/>
        </w:rPr>
        <w:t xml:space="preserve"> </w:t>
      </w:r>
      <w:r w:rsidRPr="00CB1824">
        <w:rPr>
          <w:sz w:val="24"/>
        </w:rPr>
        <w:tab/>
      </w:r>
      <w:r>
        <w:rPr>
          <w:sz w:val="24"/>
        </w:rPr>
        <w:tab/>
      </w:r>
      <w:r w:rsidRPr="00CB1824">
        <w:rPr>
          <w:sz w:val="24"/>
        </w:rPr>
        <w:t>Prato</w:t>
      </w:r>
      <w:r w:rsidRPr="00CB1824">
        <w:rPr>
          <w:sz w:val="24"/>
        </w:rPr>
        <w:tab/>
      </w:r>
      <w:r w:rsidRPr="00CB1824">
        <w:rPr>
          <w:sz w:val="24"/>
        </w:rPr>
        <w:tab/>
      </w:r>
      <w:r w:rsidRPr="00CB1824">
        <w:rPr>
          <w:sz w:val="24"/>
          <w:u w:val="single"/>
        </w:rPr>
        <w:t xml:space="preserve">€3,64 </w:t>
      </w:r>
      <w:r w:rsidRPr="00CB1824">
        <w:rPr>
          <w:sz w:val="24"/>
          <w:u w:val="single"/>
        </w:rPr>
        <w:tab/>
      </w:r>
      <w:r w:rsidRPr="00CB1824">
        <w:rPr>
          <w:sz w:val="24"/>
          <w:u w:val="single"/>
        </w:rPr>
        <w:tab/>
        <w:t>€ 2,24</w:t>
      </w:r>
      <w:r w:rsidRPr="00CB1824">
        <w:rPr>
          <w:sz w:val="24"/>
        </w:rPr>
        <w:t xml:space="preserve"> </w:t>
      </w:r>
    </w:p>
    <w:p w14:paraId="76A72C47" w14:textId="77777777" w:rsidR="005F6D0B" w:rsidRDefault="005F6D0B" w:rsidP="005F6D0B">
      <w:pPr>
        <w:pStyle w:val="Standard"/>
        <w:jc w:val="both"/>
        <w:rPr>
          <w:sz w:val="24"/>
        </w:rPr>
      </w:pPr>
      <w:r w:rsidRPr="00CB1824">
        <w:rPr>
          <w:sz w:val="24"/>
        </w:rPr>
        <w:tab/>
      </w:r>
      <w:r w:rsidRPr="00CB1824">
        <w:rPr>
          <w:sz w:val="24"/>
        </w:rPr>
        <w:tab/>
        <w:t xml:space="preserve"> 36.830 </w:t>
      </w:r>
      <w:r w:rsidRPr="00CB1824">
        <w:rPr>
          <w:sz w:val="24"/>
        </w:rPr>
        <w:tab/>
      </w:r>
      <w:r w:rsidRPr="00CB1824">
        <w:rPr>
          <w:sz w:val="24"/>
        </w:rPr>
        <w:tab/>
      </w:r>
      <w:r w:rsidRPr="00CB1824">
        <w:rPr>
          <w:sz w:val="24"/>
        </w:rPr>
        <w:tab/>
        <w:t>116,64 €</w:t>
      </w:r>
      <w:r w:rsidRPr="00CB1824">
        <w:rPr>
          <w:sz w:val="24"/>
        </w:rPr>
        <w:tab/>
        <w:t>118,95 €</w:t>
      </w:r>
      <w:r w:rsidRPr="00CB1824">
        <w:rPr>
          <w:sz w:val="24"/>
        </w:rPr>
        <w:tab/>
      </w:r>
    </w:p>
    <w:bookmarkEnd w:id="3"/>
    <w:p w14:paraId="065A8B9E" w14:textId="77777777" w:rsidR="005F6D0B" w:rsidRDefault="005F6D0B" w:rsidP="005F6D0B">
      <w:pPr>
        <w:pStyle w:val="Standard"/>
        <w:jc w:val="both"/>
        <w:rPr>
          <w:sz w:val="24"/>
        </w:rPr>
      </w:pPr>
    </w:p>
    <w:p w14:paraId="4CBE3394" w14:textId="77777777" w:rsidR="005F6D0B" w:rsidRDefault="005F6D0B" w:rsidP="005F6D0B">
      <w:pPr>
        <w:jc w:val="both"/>
      </w:pPr>
    </w:p>
    <w:p w14:paraId="2E83F8C9" w14:textId="77777777" w:rsidR="005F6D0B" w:rsidRDefault="005F6D0B" w:rsidP="005F6D0B">
      <w:pPr>
        <w:jc w:val="both"/>
      </w:pPr>
      <w:proofErr w:type="spellStart"/>
      <w:r>
        <w:t>Canone</w:t>
      </w:r>
      <w:proofErr w:type="spellEnd"/>
      <w:r>
        <w:t xml:space="preserve"> per </w:t>
      </w:r>
      <w:proofErr w:type="spellStart"/>
      <w:r>
        <w:t>l’annualità</w:t>
      </w:r>
      <w:proofErr w:type="spellEnd"/>
      <w:r>
        <w:t xml:space="preserve"> 2026 a </w:t>
      </w:r>
      <w:proofErr w:type="spellStart"/>
      <w:r>
        <w:t>base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 Euro 1.250,00 (a </w:t>
      </w:r>
      <w:proofErr w:type="spellStart"/>
      <w:r>
        <w:t>cui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applicato</w:t>
      </w:r>
      <w:proofErr w:type="spellEnd"/>
      <w:r>
        <w:t xml:space="preserve"> </w:t>
      </w:r>
      <w:proofErr w:type="spellStart"/>
      <w:r>
        <w:t>l’eventuale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in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) </w:t>
      </w:r>
    </w:p>
    <w:p w14:paraId="17EBF177" w14:textId="77777777" w:rsidR="005F6D0B" w:rsidRDefault="005F6D0B" w:rsidP="005F6D0B">
      <w:pPr>
        <w:jc w:val="both"/>
      </w:pPr>
      <w:proofErr w:type="spellStart"/>
      <w:r>
        <w:t>Rateo</w:t>
      </w:r>
      <w:proofErr w:type="spellEnd"/>
      <w:r>
        <w:t xml:space="preserve"> del </w:t>
      </w:r>
      <w:proofErr w:type="spellStart"/>
      <w:r>
        <w:t>canone</w:t>
      </w:r>
      <w:proofErr w:type="spellEnd"/>
      <w:r>
        <w:t xml:space="preserve"> per il </w:t>
      </w:r>
      <w:proofErr w:type="spellStart"/>
      <w:r>
        <w:t>periodo</w:t>
      </w:r>
      <w:proofErr w:type="spellEnd"/>
      <w:r>
        <w:t xml:space="preserve"> 11.11.2025 </w:t>
      </w:r>
      <w:proofErr w:type="spellStart"/>
      <w:r>
        <w:t>fino</w:t>
      </w:r>
      <w:proofErr w:type="spellEnd"/>
      <w:r>
        <w:t xml:space="preserve"> al 31.12.2025 Euro 174,66 (a </w:t>
      </w:r>
      <w:proofErr w:type="spellStart"/>
      <w:r>
        <w:t>cui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applicato</w:t>
      </w:r>
      <w:proofErr w:type="spellEnd"/>
      <w:r>
        <w:t xml:space="preserve"> </w:t>
      </w:r>
      <w:proofErr w:type="spellStart"/>
      <w:r>
        <w:t>l’eventuale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in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gara</w:t>
      </w:r>
      <w:proofErr w:type="spellEnd"/>
      <w:r>
        <w:t xml:space="preserve">) </w:t>
      </w:r>
    </w:p>
    <w:p w14:paraId="519B2FC8" w14:textId="77777777" w:rsidR="005F6D0B" w:rsidRDefault="005F6D0B" w:rsidP="005F6D0B">
      <w:pPr>
        <w:jc w:val="both"/>
      </w:pPr>
      <w:r>
        <w:t xml:space="preserve">Il </w:t>
      </w:r>
      <w:proofErr w:type="spellStart"/>
      <w:r>
        <w:t>canone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ad </w:t>
      </w:r>
      <w:proofErr w:type="spellStart"/>
      <w:r>
        <w:t>aggiornamento</w:t>
      </w:r>
      <w:proofErr w:type="spellEnd"/>
      <w:r>
        <w:t xml:space="preserve"> </w:t>
      </w:r>
      <w:proofErr w:type="spellStart"/>
      <w:r>
        <w:t>soltanto</w:t>
      </w:r>
      <w:proofErr w:type="spellEnd"/>
      <w:r>
        <w:t xml:space="preserve"> in </w:t>
      </w:r>
      <w:proofErr w:type="spellStart"/>
      <w:r>
        <w:t>aumento</w:t>
      </w:r>
      <w:proofErr w:type="spellEnd"/>
      <w:r>
        <w:t xml:space="preserve">, a </w:t>
      </w:r>
      <w:proofErr w:type="spellStart"/>
      <w:r>
        <w:t>decorrere</w:t>
      </w:r>
      <w:proofErr w:type="spellEnd"/>
      <w:r>
        <w:t xml:space="preserve"> </w:t>
      </w:r>
      <w:proofErr w:type="spellStart"/>
      <w:r>
        <w:t>dell’a.a</w:t>
      </w:r>
      <w:proofErr w:type="spellEnd"/>
      <w:r>
        <w:t xml:space="preserve">. </w:t>
      </w:r>
      <w:proofErr w:type="spellStart"/>
      <w:r>
        <w:t>successive</w:t>
      </w:r>
      <w:proofErr w:type="spellEnd"/>
      <w:r>
        <w:t xml:space="preserve"> alla prima,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del 100% </w:t>
      </w:r>
      <w:proofErr w:type="spellStart"/>
      <w:r>
        <w:t>dell’indice</w:t>
      </w:r>
      <w:proofErr w:type="spellEnd"/>
      <w:r>
        <w:t xml:space="preserve"> annuale ISTAT F.O.I. </w:t>
      </w:r>
      <w:proofErr w:type="spellStart"/>
      <w:r>
        <w:t>accertato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mese</w:t>
      </w:r>
      <w:proofErr w:type="spellEnd"/>
      <w:r>
        <w:t xml:space="preserve"> di </w:t>
      </w:r>
      <w:proofErr w:type="spellStart"/>
      <w:r>
        <w:t>giugno</w:t>
      </w:r>
      <w:proofErr w:type="spellEnd"/>
      <w:r>
        <w:t>.</w:t>
      </w:r>
    </w:p>
    <w:p w14:paraId="4984E56C" w14:textId="77777777" w:rsidR="005F6D0B" w:rsidRDefault="005F6D0B" w:rsidP="005F6D0B">
      <w:pPr>
        <w:jc w:val="both"/>
      </w:pPr>
      <w:proofErr w:type="spellStart"/>
      <w:r>
        <w:t>Durata</w:t>
      </w:r>
      <w:proofErr w:type="spellEnd"/>
      <w:r>
        <w:t xml:space="preserve">: </w:t>
      </w:r>
      <w:proofErr w:type="spellStart"/>
      <w:r>
        <w:t>anni</w:t>
      </w:r>
      <w:proofErr w:type="spellEnd"/>
      <w:r>
        <w:t xml:space="preserve"> 6 (1.1.2026 e </w:t>
      </w:r>
      <w:proofErr w:type="spellStart"/>
      <w:r>
        <w:t>fino</w:t>
      </w:r>
      <w:proofErr w:type="spellEnd"/>
      <w:r>
        <w:t xml:space="preserve"> al 31.12.2030)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l’annualità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dall’11.11.2025 o prima se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la </w:t>
      </w:r>
      <w:proofErr w:type="spellStart"/>
      <w:r>
        <w:t>consegna</w:t>
      </w:r>
      <w:proofErr w:type="spellEnd"/>
      <w:r>
        <w:t xml:space="preserve"> </w:t>
      </w:r>
      <w:proofErr w:type="spellStart"/>
      <w:r>
        <w:t>anticipata</w:t>
      </w:r>
      <w:proofErr w:type="spellEnd"/>
      <w:r>
        <w:t xml:space="preserve"> e </w:t>
      </w:r>
      <w:proofErr w:type="spellStart"/>
      <w:r>
        <w:t>fino</w:t>
      </w:r>
      <w:proofErr w:type="spellEnd"/>
      <w:r>
        <w:t xml:space="preserve"> al 31.12.2025.</w:t>
      </w:r>
    </w:p>
    <w:p w14:paraId="0A622AF1" w14:textId="77777777" w:rsidR="005F6D0B" w:rsidRDefault="005F6D0B" w:rsidP="005F6D0B">
      <w:pPr>
        <w:jc w:val="both"/>
      </w:pPr>
      <w:r>
        <w:t xml:space="preserve">Disciplina </w:t>
      </w:r>
      <w:proofErr w:type="spellStart"/>
      <w:r>
        <w:t>affitto</w:t>
      </w:r>
      <w:proofErr w:type="spellEnd"/>
      <w:r>
        <w:t xml:space="preserve"> </w:t>
      </w:r>
      <w:proofErr w:type="spellStart"/>
      <w:r>
        <w:t>patto</w:t>
      </w:r>
      <w:proofErr w:type="spellEnd"/>
      <w:r>
        <w:t xml:space="preserve"> in </w:t>
      </w:r>
      <w:proofErr w:type="spellStart"/>
      <w:r>
        <w:t>deroga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alla </w:t>
      </w:r>
      <w:proofErr w:type="spellStart"/>
      <w:r>
        <w:t>legge</w:t>
      </w:r>
      <w:proofErr w:type="spellEnd"/>
      <w:r>
        <w:t xml:space="preserve"> 3 Maggio 1982 n. 203 </w:t>
      </w:r>
      <w:proofErr w:type="spellStart"/>
      <w:r>
        <w:t>secondo</w:t>
      </w:r>
      <w:proofErr w:type="spellEnd"/>
      <w:r>
        <w:t xml:space="preserve"> la </w:t>
      </w:r>
      <w:proofErr w:type="spellStart"/>
      <w:r>
        <w:t>modulistica</w:t>
      </w:r>
      <w:proofErr w:type="spellEnd"/>
      <w:r>
        <w:t xml:space="preserve"> e </w:t>
      </w:r>
      <w:proofErr w:type="spellStart"/>
      <w:r>
        <w:t>modalità</w:t>
      </w:r>
      <w:proofErr w:type="spellEnd"/>
      <w:r>
        <w:t xml:space="preserve"> in </w:t>
      </w:r>
      <w:proofErr w:type="spellStart"/>
      <w:r>
        <w:t>uso</w:t>
      </w:r>
      <w:proofErr w:type="spellEnd"/>
    </w:p>
    <w:p w14:paraId="3E171E03" w14:textId="7195D1E8" w:rsidR="00571DC1" w:rsidRPr="00571DC1" w:rsidRDefault="00571DC1" w:rsidP="001C2896">
      <w:pPr>
        <w:jc w:val="both"/>
        <w:rPr>
          <w:b/>
          <w:bCs/>
          <w:sz w:val="22"/>
          <w:szCs w:val="22"/>
          <w:u w:val="single"/>
          <w:lang w:val="it-IT"/>
        </w:rPr>
      </w:pPr>
      <w:bookmarkStart w:id="4" w:name="_Hlk192152282"/>
      <w:bookmarkStart w:id="5" w:name="_Hlk127357976"/>
      <w:bookmarkStart w:id="6" w:name="_Hlk98851958"/>
      <w:bookmarkEnd w:id="1"/>
      <w:bookmarkEnd w:id="2"/>
      <w:r>
        <w:rPr>
          <w:b/>
          <w:bCs/>
          <w:sz w:val="22"/>
          <w:szCs w:val="22"/>
          <w:u w:val="single"/>
          <w:lang w:val="it-IT"/>
        </w:rPr>
        <w:t xml:space="preserve">Per il </w:t>
      </w:r>
      <w:r w:rsidRPr="00571DC1">
        <w:rPr>
          <w:b/>
          <w:bCs/>
          <w:sz w:val="22"/>
          <w:szCs w:val="22"/>
          <w:u w:val="single"/>
          <w:lang w:val="it-IT"/>
        </w:rPr>
        <w:t xml:space="preserve">terreno è </w:t>
      </w:r>
      <w:r>
        <w:rPr>
          <w:b/>
          <w:bCs/>
          <w:sz w:val="22"/>
          <w:szCs w:val="22"/>
          <w:u w:val="single"/>
          <w:lang w:val="it-IT"/>
        </w:rPr>
        <w:t>in corso il</w:t>
      </w:r>
      <w:r w:rsidRPr="00571DC1">
        <w:rPr>
          <w:b/>
          <w:bCs/>
          <w:sz w:val="22"/>
          <w:szCs w:val="22"/>
          <w:u w:val="single"/>
          <w:lang w:val="it-IT"/>
        </w:rPr>
        <w:t xml:space="preserve"> rilasci</w:t>
      </w:r>
      <w:r>
        <w:rPr>
          <w:b/>
          <w:bCs/>
          <w:sz w:val="22"/>
          <w:szCs w:val="22"/>
          <w:u w:val="single"/>
          <w:lang w:val="it-IT"/>
        </w:rPr>
        <w:t>o</w:t>
      </w:r>
      <w:r w:rsidRPr="00571DC1">
        <w:rPr>
          <w:b/>
          <w:bCs/>
          <w:sz w:val="22"/>
          <w:szCs w:val="22"/>
          <w:u w:val="single"/>
          <w:lang w:val="it-IT"/>
        </w:rPr>
        <w:t xml:space="preserve"> </w:t>
      </w:r>
      <w:r w:rsidR="00332FA3">
        <w:rPr>
          <w:b/>
          <w:bCs/>
          <w:sz w:val="22"/>
          <w:szCs w:val="22"/>
          <w:u w:val="single"/>
          <w:lang w:val="it-IT"/>
        </w:rPr>
        <w:t xml:space="preserve">da parte del conduttore attuale </w:t>
      </w:r>
      <w:r w:rsidRPr="00571DC1">
        <w:rPr>
          <w:b/>
          <w:bCs/>
          <w:sz w:val="22"/>
          <w:szCs w:val="22"/>
          <w:u w:val="single"/>
          <w:lang w:val="it-IT"/>
        </w:rPr>
        <w:t>e quindi non è previsto alcun diritto di prelazione.</w:t>
      </w:r>
      <w:r>
        <w:rPr>
          <w:b/>
          <w:bCs/>
          <w:sz w:val="22"/>
          <w:szCs w:val="22"/>
          <w:u w:val="single"/>
          <w:lang w:val="it-IT"/>
        </w:rPr>
        <w:t xml:space="preserve"> Ne consegue</w:t>
      </w:r>
      <w:r w:rsidR="00332FA3">
        <w:rPr>
          <w:b/>
          <w:bCs/>
          <w:sz w:val="22"/>
          <w:szCs w:val="22"/>
          <w:u w:val="single"/>
          <w:lang w:val="it-IT"/>
        </w:rPr>
        <w:t>,</w:t>
      </w:r>
      <w:r>
        <w:rPr>
          <w:b/>
          <w:bCs/>
          <w:sz w:val="22"/>
          <w:szCs w:val="22"/>
          <w:u w:val="single"/>
          <w:lang w:val="it-IT"/>
        </w:rPr>
        <w:t xml:space="preserve"> altresì</w:t>
      </w:r>
      <w:r w:rsidR="00332FA3">
        <w:rPr>
          <w:b/>
          <w:bCs/>
          <w:sz w:val="22"/>
          <w:szCs w:val="22"/>
          <w:u w:val="single"/>
          <w:lang w:val="it-IT"/>
        </w:rPr>
        <w:t>,</w:t>
      </w:r>
      <w:r>
        <w:rPr>
          <w:b/>
          <w:bCs/>
          <w:sz w:val="22"/>
          <w:szCs w:val="22"/>
          <w:u w:val="single"/>
          <w:lang w:val="it-IT"/>
        </w:rPr>
        <w:t xml:space="preserve"> che l’aggiudicazione è subordinata all’effettivo rilascio </w:t>
      </w:r>
      <w:r w:rsidR="00332FA3">
        <w:rPr>
          <w:b/>
          <w:bCs/>
          <w:sz w:val="22"/>
          <w:szCs w:val="22"/>
          <w:u w:val="single"/>
          <w:lang w:val="it-IT"/>
        </w:rPr>
        <w:t>del terreno oggetto di affidamento</w:t>
      </w:r>
      <w:r w:rsidR="005F6D0B">
        <w:rPr>
          <w:b/>
          <w:bCs/>
          <w:sz w:val="22"/>
          <w:szCs w:val="22"/>
          <w:u w:val="single"/>
          <w:lang w:val="it-IT"/>
        </w:rPr>
        <w:t xml:space="preserve"> in corso di approntamento alla data di indizione della gara</w:t>
      </w:r>
      <w:r>
        <w:rPr>
          <w:b/>
          <w:bCs/>
          <w:sz w:val="22"/>
          <w:szCs w:val="22"/>
          <w:u w:val="single"/>
          <w:lang w:val="it-IT"/>
        </w:rPr>
        <w:t>.</w:t>
      </w:r>
    </w:p>
    <w:bookmarkEnd w:id="4"/>
    <w:p w14:paraId="6589CDAA" w14:textId="783C585F" w:rsidR="00D671A1" w:rsidRDefault="00D671A1" w:rsidP="001C2896">
      <w:pPr>
        <w:jc w:val="both"/>
        <w:rPr>
          <w:sz w:val="22"/>
          <w:szCs w:val="22"/>
          <w:lang w:val="it-IT"/>
        </w:rPr>
      </w:pPr>
      <w:r w:rsidRPr="0002509B">
        <w:rPr>
          <w:sz w:val="22"/>
          <w:szCs w:val="22"/>
          <w:lang w:val="it-IT"/>
        </w:rPr>
        <w:t>Di quanto sopra gli accorrenti dovranno tenerne conto, in sede di offerta economica, così come disposto nella modulistica di gara.</w:t>
      </w:r>
    </w:p>
    <w:p w14:paraId="52B0172B" w14:textId="1BA2B455" w:rsidR="001C7D40" w:rsidRDefault="001C7D40" w:rsidP="001C2896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pagamento annuale sarà posticipato al 10 dicembre di ogni anno anticipato rispetto all’anno successivo.</w:t>
      </w:r>
    </w:p>
    <w:p w14:paraId="3EF9F79E" w14:textId="15C26F73" w:rsidR="001C7D40" w:rsidRPr="0002509B" w:rsidRDefault="001C7D40" w:rsidP="001C2896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Disallineamento dell’anno solare rispetto all’annata agraria si è reso necessario</w:t>
      </w:r>
      <w:r w:rsidR="00571DC1">
        <w:rPr>
          <w:sz w:val="22"/>
          <w:szCs w:val="22"/>
          <w:lang w:val="it-IT"/>
        </w:rPr>
        <w:t>, come lo scorso anno,</w:t>
      </w:r>
      <w:r>
        <w:rPr>
          <w:sz w:val="22"/>
          <w:szCs w:val="22"/>
          <w:lang w:val="it-IT"/>
        </w:rPr>
        <w:t xml:space="preserve"> in relazione alle attuali misure comunitarie e regionali dietro richiesta degli operatori economici agricoli e delle relative associazioni sindacali cui aderiscono.</w:t>
      </w:r>
    </w:p>
    <w:p w14:paraId="72A3E2D9" w14:textId="32B04774" w:rsidR="00D671A1" w:rsidRPr="0002509B" w:rsidRDefault="00D671A1" w:rsidP="001C2896">
      <w:pPr>
        <w:jc w:val="both"/>
        <w:rPr>
          <w:sz w:val="22"/>
          <w:szCs w:val="22"/>
          <w:lang w:val="it-IT"/>
        </w:rPr>
      </w:pPr>
      <w:r w:rsidRPr="0002509B">
        <w:rPr>
          <w:sz w:val="22"/>
          <w:szCs w:val="22"/>
          <w:lang w:val="it-IT"/>
        </w:rPr>
        <w:t>I soggetti che presentano istanza devono preventivamente verificare la propria capacità e idoneità a contrarre con soggetti pubblici</w:t>
      </w:r>
      <w:r w:rsidR="00F75A9E">
        <w:rPr>
          <w:sz w:val="22"/>
          <w:szCs w:val="22"/>
          <w:lang w:val="it-IT"/>
        </w:rPr>
        <w:t xml:space="preserve"> e i requisiti di cui alla deliberazione del Cda di ETAB 52/2023</w:t>
      </w:r>
      <w:r w:rsidRPr="0002509B">
        <w:rPr>
          <w:sz w:val="22"/>
          <w:szCs w:val="22"/>
          <w:lang w:val="it-IT"/>
        </w:rPr>
        <w:t>.</w:t>
      </w:r>
    </w:p>
    <w:p w14:paraId="144294D9" w14:textId="0D005E41" w:rsidR="00D671A1" w:rsidRPr="0002509B" w:rsidRDefault="00D671A1" w:rsidP="001C2896">
      <w:pPr>
        <w:pStyle w:val="Standard"/>
        <w:jc w:val="both"/>
        <w:rPr>
          <w:b/>
          <w:bCs/>
          <w:sz w:val="22"/>
          <w:szCs w:val="22"/>
        </w:rPr>
      </w:pPr>
      <w:r w:rsidRPr="0002509B">
        <w:rPr>
          <w:sz w:val="22"/>
          <w:szCs w:val="22"/>
        </w:rPr>
        <w:t>Per poter partecipare alla gara ed essere invitati è possibile inviare apposita richiesta via mail (</w:t>
      </w:r>
      <w:hyperlink r:id="rId7" w:history="1">
        <w:r w:rsidR="00F75A9E">
          <w:rPr>
            <w:rStyle w:val="Collegamentoipertestuale"/>
            <w:sz w:val="22"/>
            <w:szCs w:val="22"/>
          </w:rPr>
          <w:t>consolazione@etabtodi.it</w:t>
        </w:r>
      </w:hyperlink>
      <w:r w:rsidRPr="0002509B">
        <w:rPr>
          <w:sz w:val="22"/>
          <w:szCs w:val="22"/>
        </w:rPr>
        <w:t>) o a mezzo PEC (</w:t>
      </w:r>
      <w:hyperlink r:id="rId8" w:history="1">
        <w:r w:rsidRPr="0002509B">
          <w:rPr>
            <w:rStyle w:val="Collegamentoipertestuale"/>
            <w:sz w:val="22"/>
            <w:szCs w:val="22"/>
          </w:rPr>
          <w:t>consolazione@pec.it</w:t>
        </w:r>
      </w:hyperlink>
      <w:r w:rsidRPr="0002509B">
        <w:rPr>
          <w:sz w:val="22"/>
          <w:szCs w:val="22"/>
        </w:rPr>
        <w:t xml:space="preserve">) almeno entro </w:t>
      </w:r>
      <w:r w:rsidRPr="0002509B">
        <w:rPr>
          <w:b/>
          <w:sz w:val="22"/>
          <w:szCs w:val="22"/>
        </w:rPr>
        <w:t xml:space="preserve">le ore </w:t>
      </w:r>
      <w:r w:rsidR="002E15BF">
        <w:rPr>
          <w:b/>
          <w:sz w:val="22"/>
          <w:szCs w:val="22"/>
        </w:rPr>
        <w:t>12 del 4</w:t>
      </w:r>
      <w:r w:rsidR="002E15BF">
        <w:rPr>
          <w:b/>
          <w:sz w:val="22"/>
          <w:szCs w:val="22"/>
        </w:rPr>
        <w:t xml:space="preserve"> settembre 2025</w:t>
      </w:r>
      <w:r w:rsidR="002E15BF" w:rsidRPr="0002509B">
        <w:rPr>
          <w:b/>
          <w:bCs/>
          <w:sz w:val="22"/>
          <w:szCs w:val="22"/>
        </w:rPr>
        <w:t>, ore 12,00</w:t>
      </w:r>
      <w:r w:rsidRPr="0002509B">
        <w:rPr>
          <w:b/>
          <w:sz w:val="22"/>
          <w:szCs w:val="22"/>
        </w:rPr>
        <w:t xml:space="preserve">. </w:t>
      </w:r>
      <w:r w:rsidRPr="0002509B">
        <w:rPr>
          <w:sz w:val="22"/>
          <w:szCs w:val="22"/>
        </w:rPr>
        <w:t xml:space="preserve">Resta ferma la scadenza perentoria per produrre offerta </w:t>
      </w:r>
      <w:r w:rsidR="00571DC1">
        <w:rPr>
          <w:sz w:val="22"/>
          <w:szCs w:val="22"/>
        </w:rPr>
        <w:t>suddetta.</w:t>
      </w:r>
    </w:p>
    <w:p w14:paraId="2CDEAEAF" w14:textId="0193AA3E" w:rsidR="00D671A1" w:rsidRPr="0002509B" w:rsidRDefault="00D671A1" w:rsidP="001C2896">
      <w:pPr>
        <w:pStyle w:val="Standard"/>
        <w:jc w:val="both"/>
        <w:rPr>
          <w:bCs/>
          <w:sz w:val="22"/>
          <w:szCs w:val="22"/>
        </w:rPr>
      </w:pPr>
      <w:r w:rsidRPr="0002509B">
        <w:rPr>
          <w:sz w:val="22"/>
          <w:szCs w:val="22"/>
        </w:rPr>
        <w:lastRenderedPageBreak/>
        <w:t xml:space="preserve">Per </w:t>
      </w:r>
      <w:r w:rsidR="001C2896" w:rsidRPr="0002509B">
        <w:rPr>
          <w:sz w:val="22"/>
          <w:szCs w:val="22"/>
        </w:rPr>
        <w:t>quanto non riportato nel presente avviso che ha solo scopo di reperire manifestazioni di interesse, si fa rinvio alla letter</w:t>
      </w:r>
      <w:r w:rsidRPr="0002509B">
        <w:rPr>
          <w:sz w:val="22"/>
          <w:szCs w:val="22"/>
        </w:rPr>
        <w:t>a di invito.</w:t>
      </w:r>
      <w:r w:rsidR="001C7D40">
        <w:rPr>
          <w:sz w:val="22"/>
          <w:szCs w:val="22"/>
        </w:rPr>
        <w:t xml:space="preserve"> </w:t>
      </w:r>
      <w:r w:rsidRPr="0002509B">
        <w:rPr>
          <w:bCs/>
          <w:sz w:val="22"/>
          <w:szCs w:val="22"/>
        </w:rPr>
        <w:t xml:space="preserve">Per ulteriori informazioni </w:t>
      </w:r>
      <w:r w:rsidR="00571DC1">
        <w:rPr>
          <w:bCs/>
          <w:sz w:val="22"/>
          <w:szCs w:val="22"/>
        </w:rPr>
        <w:t>il</w:t>
      </w:r>
      <w:r w:rsidRPr="0002509B">
        <w:rPr>
          <w:bCs/>
          <w:sz w:val="22"/>
          <w:szCs w:val="22"/>
        </w:rPr>
        <w:t xml:space="preserve"> Responsabile procedimento </w:t>
      </w:r>
      <w:r w:rsidR="00571DC1">
        <w:rPr>
          <w:bCs/>
          <w:sz w:val="22"/>
          <w:szCs w:val="22"/>
        </w:rPr>
        <w:t>è il tecnico dell’ente Arch. Antonio Aino</w:t>
      </w:r>
      <w:r w:rsidRPr="0002509B">
        <w:rPr>
          <w:bCs/>
          <w:sz w:val="22"/>
          <w:szCs w:val="22"/>
        </w:rPr>
        <w:t xml:space="preserve"> </w:t>
      </w:r>
      <w:r w:rsidR="00571DC1">
        <w:rPr>
          <w:bCs/>
          <w:sz w:val="22"/>
          <w:szCs w:val="22"/>
        </w:rPr>
        <w:t>(</w:t>
      </w:r>
      <w:r w:rsidRPr="0002509B">
        <w:rPr>
          <w:bCs/>
          <w:sz w:val="22"/>
          <w:szCs w:val="22"/>
        </w:rPr>
        <w:t xml:space="preserve">tel. 0758942216 - p.e. </w:t>
      </w:r>
      <w:hyperlink r:id="rId9" w:history="1">
        <w:r w:rsidR="00F75A9E">
          <w:rPr>
            <w:rStyle w:val="Collegamentoipertestuale"/>
            <w:bCs/>
            <w:sz w:val="22"/>
            <w:szCs w:val="22"/>
          </w:rPr>
          <w:t>consolazione@etabtodi.it</w:t>
        </w:r>
      </w:hyperlink>
      <w:r w:rsidR="00571DC1">
        <w:rPr>
          <w:bCs/>
          <w:sz w:val="22"/>
          <w:szCs w:val="22"/>
        </w:rPr>
        <w:t>)</w:t>
      </w:r>
      <w:r w:rsidRPr="0002509B">
        <w:rPr>
          <w:bCs/>
          <w:sz w:val="22"/>
          <w:szCs w:val="22"/>
        </w:rPr>
        <w:t>.</w:t>
      </w:r>
    </w:p>
    <w:bookmarkEnd w:id="5"/>
    <w:p w14:paraId="75E02D16" w14:textId="6865B9FA" w:rsidR="00D671A1" w:rsidRPr="0002509B" w:rsidRDefault="00D671A1" w:rsidP="001C2896">
      <w:pPr>
        <w:pStyle w:val="Standard"/>
        <w:jc w:val="both"/>
        <w:rPr>
          <w:sz w:val="22"/>
          <w:szCs w:val="22"/>
        </w:rPr>
      </w:pPr>
      <w:r w:rsidRPr="0002509B">
        <w:rPr>
          <w:sz w:val="22"/>
          <w:szCs w:val="22"/>
        </w:rPr>
        <w:t xml:space="preserve">Todi, </w:t>
      </w:r>
      <w:r w:rsidR="002E15BF">
        <w:rPr>
          <w:sz w:val="22"/>
          <w:szCs w:val="22"/>
        </w:rPr>
        <w:t>22 luglio</w:t>
      </w:r>
      <w:r w:rsidR="00F75A9E">
        <w:rPr>
          <w:sz w:val="22"/>
          <w:szCs w:val="22"/>
        </w:rPr>
        <w:t xml:space="preserve"> 202</w:t>
      </w:r>
      <w:r w:rsidR="00571DC1">
        <w:rPr>
          <w:sz w:val="22"/>
          <w:szCs w:val="22"/>
        </w:rPr>
        <w:t>5</w:t>
      </w:r>
      <w:r w:rsidRPr="0002509B">
        <w:rPr>
          <w:sz w:val="22"/>
          <w:szCs w:val="22"/>
        </w:rPr>
        <w:t xml:space="preserve">                                                                                            </w:t>
      </w:r>
    </w:p>
    <w:bookmarkEnd w:id="6"/>
    <w:p w14:paraId="5264C01F" w14:textId="77777777" w:rsidR="006A47F5" w:rsidRDefault="006A47F5" w:rsidP="001C2896">
      <w:pPr>
        <w:pStyle w:val="Standard"/>
        <w:jc w:val="right"/>
        <w:rPr>
          <w:b/>
          <w:i/>
          <w:sz w:val="22"/>
          <w:szCs w:val="22"/>
        </w:rPr>
      </w:pPr>
    </w:p>
    <w:p w14:paraId="5D400D2F" w14:textId="02FAC74D" w:rsidR="006A47F5" w:rsidRDefault="002E15BF" w:rsidP="001C2896">
      <w:pPr>
        <w:pStyle w:val="Standard"/>
        <w:jc w:val="right"/>
        <w:rPr>
          <w:b/>
          <w:i/>
          <w:noProof/>
          <w:sz w:val="22"/>
          <w:szCs w:val="22"/>
        </w:rPr>
      </w:pPr>
      <w:r>
        <w:rPr>
          <w:b/>
          <w:i/>
          <w:noProof/>
          <w:sz w:val="22"/>
          <w:szCs w:val="22"/>
        </w:rPr>
        <w:t>Il Presidente</w:t>
      </w:r>
    </w:p>
    <w:p w14:paraId="7E8F6F2F" w14:textId="4571F334" w:rsidR="002E15BF" w:rsidRPr="0002509B" w:rsidRDefault="002E15BF" w:rsidP="001C2896">
      <w:pPr>
        <w:pStyle w:val="Standard"/>
        <w:jc w:val="right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t>Dr. Leonardo Mallozzi</w:t>
      </w:r>
    </w:p>
    <w:sectPr w:rsidR="002E15BF" w:rsidRPr="0002509B" w:rsidSect="00873B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FA"/>
    <w:rsid w:val="00011E21"/>
    <w:rsid w:val="0002509B"/>
    <w:rsid w:val="00055CA6"/>
    <w:rsid w:val="000E1C22"/>
    <w:rsid w:val="001C2896"/>
    <w:rsid w:val="001C63DA"/>
    <w:rsid w:val="001C7D40"/>
    <w:rsid w:val="00201AA6"/>
    <w:rsid w:val="00205AD3"/>
    <w:rsid w:val="0029694D"/>
    <w:rsid w:val="002B1202"/>
    <w:rsid w:val="002E15BF"/>
    <w:rsid w:val="002E3980"/>
    <w:rsid w:val="00305D6F"/>
    <w:rsid w:val="0032111D"/>
    <w:rsid w:val="00332FA3"/>
    <w:rsid w:val="00353DF6"/>
    <w:rsid w:val="00380949"/>
    <w:rsid w:val="003B2A8F"/>
    <w:rsid w:val="00427A17"/>
    <w:rsid w:val="0045291A"/>
    <w:rsid w:val="004614A9"/>
    <w:rsid w:val="004953EB"/>
    <w:rsid w:val="004A4E1E"/>
    <w:rsid w:val="00522061"/>
    <w:rsid w:val="00523D16"/>
    <w:rsid w:val="00563428"/>
    <w:rsid w:val="00571DC1"/>
    <w:rsid w:val="00586071"/>
    <w:rsid w:val="005F6D0B"/>
    <w:rsid w:val="00611C75"/>
    <w:rsid w:val="006A47F5"/>
    <w:rsid w:val="007108B5"/>
    <w:rsid w:val="00760E71"/>
    <w:rsid w:val="00821394"/>
    <w:rsid w:val="0083792A"/>
    <w:rsid w:val="00853A43"/>
    <w:rsid w:val="00873BBE"/>
    <w:rsid w:val="008A6CD5"/>
    <w:rsid w:val="008B759E"/>
    <w:rsid w:val="00963490"/>
    <w:rsid w:val="009B1C1A"/>
    <w:rsid w:val="00A8097A"/>
    <w:rsid w:val="00A8675A"/>
    <w:rsid w:val="00AE2B05"/>
    <w:rsid w:val="00BB034F"/>
    <w:rsid w:val="00CB58A4"/>
    <w:rsid w:val="00D671A1"/>
    <w:rsid w:val="00E01ACE"/>
    <w:rsid w:val="00E31CA8"/>
    <w:rsid w:val="00EA5E1F"/>
    <w:rsid w:val="00F53FFA"/>
    <w:rsid w:val="00F75A9E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C524"/>
  <w15:chartTrackingRefBased/>
  <w15:docId w15:val="{1E0EE095-13CB-44CF-8CA9-9554FC4A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1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671A1"/>
    <w:pPr>
      <w:jc w:val="both"/>
    </w:pPr>
    <w:rPr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671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671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671A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671A1"/>
    <w:pPr>
      <w:widowControl/>
      <w:suppressAutoHyphens w:val="0"/>
    </w:pPr>
    <w:rPr>
      <w:sz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71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E3980"/>
    <w:pPr>
      <w:widowControl/>
      <w:tabs>
        <w:tab w:val="center" w:pos="4819"/>
        <w:tab w:val="right" w:pos="9638"/>
      </w:tabs>
      <w:suppressAutoHyphens w:val="0"/>
    </w:pPr>
    <w:rPr>
      <w:sz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E398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lazione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olazione@e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lazione@pec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tabtodi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onsolazione@email.it" TargetMode="External"/><Relationship Id="rId9" Type="http://schemas.openxmlformats.org/officeDocument/2006/relationships/hyperlink" Target="mailto:consolazione@e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CONSOLAZIONE ETAB</cp:lastModifiedBy>
  <cp:revision>3</cp:revision>
  <cp:lastPrinted>2025-07-18T11:03:00Z</cp:lastPrinted>
  <dcterms:created xsi:type="dcterms:W3CDTF">2025-07-18T10:56:00Z</dcterms:created>
  <dcterms:modified xsi:type="dcterms:W3CDTF">2025-07-18T11:03:00Z</dcterms:modified>
</cp:coreProperties>
</file>