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C5CF" w14:textId="77777777" w:rsidR="00472ACB" w:rsidRPr="00580B4C" w:rsidRDefault="00472ACB" w:rsidP="006F2EA3">
      <w:pPr>
        <w:jc w:val="center"/>
        <w:rPr>
          <w:b/>
          <w:color w:val="0000FF"/>
          <w:sz w:val="40"/>
          <w:szCs w:val="40"/>
        </w:rPr>
      </w:pPr>
      <w:r w:rsidRPr="00580B4C">
        <w:rPr>
          <w:b/>
          <w:color w:val="0000FF"/>
          <w:sz w:val="40"/>
          <w:szCs w:val="40"/>
        </w:rPr>
        <w:t>La Consolazione ETAB</w:t>
      </w:r>
    </w:p>
    <w:p w14:paraId="23757BCE" w14:textId="77777777" w:rsidR="00472ACB" w:rsidRPr="00580B4C" w:rsidRDefault="00472ACB" w:rsidP="006F2EA3">
      <w:pPr>
        <w:jc w:val="center"/>
        <w:rPr>
          <w:i/>
          <w:color w:val="0000FF"/>
          <w:sz w:val="40"/>
          <w:szCs w:val="40"/>
        </w:rPr>
      </w:pPr>
      <w:r w:rsidRPr="00580B4C">
        <w:rPr>
          <w:i/>
          <w:color w:val="0000FF"/>
          <w:sz w:val="40"/>
          <w:szCs w:val="40"/>
        </w:rPr>
        <w:t>Ente Tuderte di Assistenza e Beneficenza</w:t>
      </w:r>
    </w:p>
    <w:p w14:paraId="6D1B4D00" w14:textId="77777777" w:rsidR="00472ACB" w:rsidRPr="00580B4C" w:rsidRDefault="00472ACB" w:rsidP="006F2EA3">
      <w:pPr>
        <w:jc w:val="center"/>
      </w:pPr>
    </w:p>
    <w:p w14:paraId="4B65D78F" w14:textId="77777777" w:rsidR="001029A4" w:rsidRDefault="00AD356F" w:rsidP="006F2EA3">
      <w:pPr>
        <w:jc w:val="center"/>
        <w:rPr>
          <w:b/>
          <w:bCs/>
          <w:sz w:val="48"/>
          <w:szCs w:val="48"/>
        </w:rPr>
      </w:pPr>
      <w:r>
        <w:rPr>
          <w:b/>
          <w:bCs/>
          <w:sz w:val="48"/>
          <w:szCs w:val="48"/>
        </w:rPr>
        <w:t xml:space="preserve">Relazione </w:t>
      </w:r>
      <w:r w:rsidR="001029A4">
        <w:rPr>
          <w:b/>
          <w:bCs/>
          <w:sz w:val="48"/>
          <w:szCs w:val="48"/>
        </w:rPr>
        <w:t>Annuale</w:t>
      </w:r>
    </w:p>
    <w:p w14:paraId="1D0B6BC8" w14:textId="77777777" w:rsidR="00B9273D" w:rsidRPr="00580B4C" w:rsidRDefault="00B9273D" w:rsidP="006F2EA3">
      <w:pPr>
        <w:jc w:val="center"/>
      </w:pPr>
    </w:p>
    <w:p w14:paraId="5A32A189" w14:textId="6BA02406" w:rsidR="00B9273D" w:rsidRPr="00580B4C" w:rsidRDefault="00CD434B" w:rsidP="006F2EA3">
      <w:pPr>
        <w:jc w:val="center"/>
      </w:pPr>
      <w:r>
        <w:rPr>
          <w:noProof/>
        </w:rPr>
        <w:drawing>
          <wp:inline distT="0" distB="0" distL="0" distR="0" wp14:anchorId="7992FCA0" wp14:editId="1E03F068">
            <wp:extent cx="4281377" cy="5708650"/>
            <wp:effectExtent l="0" t="0" r="5080" b="6350"/>
            <wp:docPr id="12524304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30404" name="Immagine 12524304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2121" cy="5722975"/>
                    </a:xfrm>
                    <a:prstGeom prst="rect">
                      <a:avLst/>
                    </a:prstGeom>
                  </pic:spPr>
                </pic:pic>
              </a:graphicData>
            </a:graphic>
          </wp:inline>
        </w:drawing>
      </w:r>
    </w:p>
    <w:p w14:paraId="636BE25A" w14:textId="49D5F9B5" w:rsidR="00472ACB" w:rsidRPr="00580B4C" w:rsidRDefault="00472ACB" w:rsidP="006F2EA3">
      <w:pPr>
        <w:jc w:val="center"/>
        <w:rPr>
          <w:sz w:val="36"/>
          <w:szCs w:val="36"/>
        </w:rPr>
      </w:pPr>
    </w:p>
    <w:p w14:paraId="265B239F" w14:textId="47799FE0" w:rsidR="00CD434B" w:rsidRDefault="00CD434B" w:rsidP="00CD434B">
      <w:pPr>
        <w:jc w:val="center"/>
        <w:rPr>
          <w:b/>
          <w:i/>
          <w:sz w:val="36"/>
          <w:szCs w:val="36"/>
        </w:rPr>
      </w:pPr>
      <w:r w:rsidRPr="00580B4C">
        <w:rPr>
          <w:b/>
          <w:i/>
          <w:sz w:val="36"/>
          <w:szCs w:val="36"/>
        </w:rPr>
        <w:t>Periodo</w:t>
      </w:r>
      <w:r>
        <w:rPr>
          <w:b/>
          <w:i/>
          <w:sz w:val="36"/>
          <w:szCs w:val="36"/>
        </w:rPr>
        <w:t>:</w:t>
      </w:r>
      <w:r w:rsidRPr="00CD434B">
        <w:rPr>
          <w:b/>
          <w:i/>
          <w:sz w:val="36"/>
          <w:szCs w:val="36"/>
        </w:rPr>
        <w:t xml:space="preserve"> </w:t>
      </w:r>
      <w:r>
        <w:rPr>
          <w:b/>
          <w:i/>
          <w:sz w:val="36"/>
          <w:szCs w:val="36"/>
        </w:rPr>
        <w:t>26 giugno</w:t>
      </w:r>
      <w:r w:rsidRPr="00580B4C">
        <w:rPr>
          <w:b/>
          <w:i/>
          <w:sz w:val="36"/>
          <w:szCs w:val="36"/>
        </w:rPr>
        <w:t xml:space="preserve"> 20</w:t>
      </w:r>
      <w:r>
        <w:rPr>
          <w:b/>
          <w:i/>
          <w:sz w:val="36"/>
          <w:szCs w:val="36"/>
        </w:rPr>
        <w:t>24</w:t>
      </w:r>
      <w:r w:rsidRPr="00580B4C">
        <w:rPr>
          <w:b/>
          <w:i/>
          <w:sz w:val="36"/>
          <w:szCs w:val="36"/>
        </w:rPr>
        <w:t xml:space="preserve"> – </w:t>
      </w:r>
      <w:r>
        <w:rPr>
          <w:b/>
          <w:i/>
          <w:sz w:val="36"/>
          <w:szCs w:val="36"/>
        </w:rPr>
        <w:t>25 giugno 2025</w:t>
      </w:r>
    </w:p>
    <w:p w14:paraId="35042FE4" w14:textId="77777777" w:rsidR="008209F3" w:rsidRDefault="008209F3" w:rsidP="006F2EA3">
      <w:pPr>
        <w:jc w:val="center"/>
        <w:rPr>
          <w:b/>
          <w:i/>
          <w:sz w:val="36"/>
          <w:szCs w:val="36"/>
        </w:rPr>
      </w:pPr>
    </w:p>
    <w:p w14:paraId="7CAE1EC8" w14:textId="77777777" w:rsidR="00B9273D" w:rsidRPr="0039009E" w:rsidRDefault="00B9273D" w:rsidP="006F2EA3">
      <w:pPr>
        <w:rPr>
          <w:b/>
          <w:color w:val="FF0000"/>
        </w:rPr>
      </w:pPr>
    </w:p>
    <w:p w14:paraId="3EDFE082" w14:textId="7C39BA49" w:rsidR="00623C9C" w:rsidRDefault="00955932" w:rsidP="00955932">
      <w:pPr>
        <w:jc w:val="center"/>
        <w:rPr>
          <w:b/>
        </w:rPr>
      </w:pPr>
      <w:r>
        <w:rPr>
          <w:b/>
          <w:noProof/>
        </w:rPr>
        <w:lastRenderedPageBreak/>
        <w:drawing>
          <wp:inline distT="0" distB="0" distL="0" distR="0" wp14:anchorId="74E4295F" wp14:editId="584222B1">
            <wp:extent cx="4794250" cy="4794250"/>
            <wp:effectExtent l="0" t="0" r="6350" b="6350"/>
            <wp:docPr id="168928053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250" cy="4794250"/>
                    </a:xfrm>
                    <a:prstGeom prst="rect">
                      <a:avLst/>
                    </a:prstGeom>
                    <a:noFill/>
                    <a:ln>
                      <a:noFill/>
                    </a:ln>
                  </pic:spPr>
                </pic:pic>
              </a:graphicData>
            </a:graphic>
          </wp:inline>
        </w:drawing>
      </w:r>
    </w:p>
    <w:p w14:paraId="5F364F20" w14:textId="77777777" w:rsidR="00955932" w:rsidRDefault="00955932" w:rsidP="00955932">
      <w:pPr>
        <w:rPr>
          <w:b/>
        </w:rPr>
      </w:pPr>
    </w:p>
    <w:p w14:paraId="6EFD1AEB" w14:textId="3968D4F3" w:rsidR="00955932" w:rsidRDefault="00955932" w:rsidP="00955932">
      <w:pPr>
        <w:jc w:val="center"/>
        <w:rPr>
          <w:b/>
        </w:rPr>
      </w:pPr>
      <w:r>
        <w:rPr>
          <w:b/>
        </w:rPr>
        <w:t>Todi, presentazione del foto libro “un fiore di pietra” con Federico Strinati</w:t>
      </w:r>
    </w:p>
    <w:p w14:paraId="11B4345F" w14:textId="77777777" w:rsidR="00404CCF" w:rsidRDefault="00404CCF" w:rsidP="006F2EA3">
      <w:pPr>
        <w:rPr>
          <w:b/>
        </w:rPr>
      </w:pPr>
    </w:p>
    <w:p w14:paraId="453EE112" w14:textId="77777777" w:rsidR="00404CCF" w:rsidRDefault="00404CCF" w:rsidP="006F2EA3">
      <w:pPr>
        <w:rPr>
          <w:b/>
        </w:rPr>
      </w:pPr>
    </w:p>
    <w:p w14:paraId="2DB4ACD3" w14:textId="77777777" w:rsidR="005D5452" w:rsidRDefault="005D5452" w:rsidP="006F2EA3">
      <w:pPr>
        <w:rPr>
          <w:b/>
        </w:rPr>
      </w:pPr>
      <w:bookmarkStart w:id="0" w:name="_Hlk72827341"/>
      <w:r w:rsidRPr="00C80D6F">
        <w:rPr>
          <w:b/>
        </w:rPr>
        <w:t>PREMESSA</w:t>
      </w:r>
    </w:p>
    <w:p w14:paraId="17E19A54" w14:textId="77777777" w:rsidR="00EE6574" w:rsidRDefault="00EE6574" w:rsidP="00EE6574">
      <w:pPr>
        <w:jc w:val="both"/>
        <w:rPr>
          <w:b/>
        </w:rPr>
      </w:pPr>
    </w:p>
    <w:p w14:paraId="270FB4F0" w14:textId="597E8EE7" w:rsidR="00EE6574" w:rsidRPr="00EE6574" w:rsidRDefault="00AB7334" w:rsidP="00EE6574">
      <w:pPr>
        <w:jc w:val="both"/>
        <w:rPr>
          <w:bCs/>
        </w:rPr>
      </w:pPr>
      <w:r>
        <w:rPr>
          <w:bCs/>
        </w:rPr>
        <w:t xml:space="preserve">La presente relazione riguarda le attività realizzate nel </w:t>
      </w:r>
      <w:r w:rsidR="00CD434B">
        <w:rPr>
          <w:bCs/>
        </w:rPr>
        <w:t>periodo sopra indicato</w:t>
      </w:r>
      <w:r w:rsidR="00EE6574" w:rsidRPr="00EE6574">
        <w:rPr>
          <w:bCs/>
        </w:rPr>
        <w:t>.</w:t>
      </w:r>
    </w:p>
    <w:p w14:paraId="6DFD695C" w14:textId="27DE9E84" w:rsidR="00EE6574" w:rsidRDefault="00AB7334" w:rsidP="00EE6574">
      <w:pPr>
        <w:jc w:val="both"/>
        <w:rPr>
          <w:bCs/>
        </w:rPr>
      </w:pPr>
      <w:r>
        <w:rPr>
          <w:bCs/>
        </w:rPr>
        <w:t xml:space="preserve">Scopo della presente è solo quello di esaminare, a consuntivo, le attività realizzate e viene effettuato come adempimento spontaneo. </w:t>
      </w:r>
    </w:p>
    <w:p w14:paraId="52D867EB" w14:textId="77777777" w:rsidR="00AB7334" w:rsidRDefault="00AB7334" w:rsidP="006F2EA3">
      <w:pPr>
        <w:jc w:val="both"/>
        <w:rPr>
          <w:sz w:val="28"/>
          <w:szCs w:val="28"/>
        </w:rPr>
      </w:pPr>
    </w:p>
    <w:p w14:paraId="7D55C0E8" w14:textId="65CD6C35" w:rsidR="002B34EE" w:rsidRPr="00987489" w:rsidRDefault="008D55F1" w:rsidP="006F2EA3">
      <w:pPr>
        <w:jc w:val="both"/>
        <w:rPr>
          <w:i/>
          <w:iCs/>
          <w:sz w:val="28"/>
          <w:szCs w:val="28"/>
        </w:rPr>
      </w:pPr>
      <w:r w:rsidRPr="00987489">
        <w:rPr>
          <w:i/>
          <w:iCs/>
          <w:sz w:val="28"/>
          <w:szCs w:val="28"/>
        </w:rPr>
        <w:t xml:space="preserve">Todi, </w:t>
      </w:r>
      <w:r w:rsidR="00CD434B" w:rsidRPr="00987489">
        <w:rPr>
          <w:i/>
          <w:iCs/>
          <w:sz w:val="28"/>
          <w:szCs w:val="28"/>
        </w:rPr>
        <w:t xml:space="preserve">luglio </w:t>
      </w:r>
      <w:r w:rsidR="003C4CE4" w:rsidRPr="00987489">
        <w:rPr>
          <w:i/>
          <w:iCs/>
          <w:sz w:val="28"/>
          <w:szCs w:val="28"/>
        </w:rPr>
        <w:t>202</w:t>
      </w:r>
      <w:r w:rsidR="00AB7334" w:rsidRPr="00987489">
        <w:rPr>
          <w:i/>
          <w:iCs/>
          <w:sz w:val="28"/>
          <w:szCs w:val="28"/>
        </w:rPr>
        <w:t>5</w:t>
      </w:r>
    </w:p>
    <w:p w14:paraId="5DD6714D" w14:textId="77777777" w:rsidR="005D5452" w:rsidRPr="009B281D" w:rsidRDefault="005D5452" w:rsidP="006F2EA3">
      <w:pPr>
        <w:jc w:val="right"/>
        <w:rPr>
          <w:b/>
          <w:i/>
        </w:rPr>
      </w:pPr>
      <w:r w:rsidRPr="009B281D">
        <w:rPr>
          <w:b/>
          <w:i/>
        </w:rPr>
        <w:t xml:space="preserve">Il Presidente </w:t>
      </w:r>
    </w:p>
    <w:p w14:paraId="06C57BE8" w14:textId="1F255047" w:rsidR="005D5452" w:rsidRPr="009B281D" w:rsidRDefault="009B281D" w:rsidP="006F2EA3">
      <w:pPr>
        <w:jc w:val="right"/>
        <w:rPr>
          <w:b/>
          <w:i/>
        </w:rPr>
      </w:pPr>
      <w:r w:rsidRPr="009B281D">
        <w:rPr>
          <w:b/>
          <w:i/>
        </w:rPr>
        <w:t xml:space="preserve">Dr. </w:t>
      </w:r>
      <w:r w:rsidR="00B12938" w:rsidRPr="009B281D">
        <w:rPr>
          <w:b/>
          <w:i/>
        </w:rPr>
        <w:t>Leonardo Mallozzi</w:t>
      </w:r>
    </w:p>
    <w:bookmarkEnd w:id="0"/>
    <w:p w14:paraId="693A4EE0" w14:textId="77777777" w:rsidR="00EE6574" w:rsidRDefault="00EE6574" w:rsidP="00F34B6A">
      <w:pPr>
        <w:jc w:val="center"/>
        <w:rPr>
          <w:b/>
          <w:bCs/>
          <w:highlight w:val="yellow"/>
        </w:rPr>
      </w:pPr>
    </w:p>
    <w:p w14:paraId="7048F3E9" w14:textId="77777777" w:rsidR="00955932" w:rsidRDefault="00955932" w:rsidP="00F34B6A">
      <w:pPr>
        <w:jc w:val="center"/>
        <w:rPr>
          <w:b/>
          <w:bCs/>
          <w:highlight w:val="yellow"/>
        </w:rPr>
      </w:pPr>
    </w:p>
    <w:p w14:paraId="2A86934D" w14:textId="77777777" w:rsidR="00955932" w:rsidRDefault="00955932" w:rsidP="00F34B6A">
      <w:pPr>
        <w:jc w:val="center"/>
        <w:rPr>
          <w:b/>
          <w:bCs/>
          <w:highlight w:val="yellow"/>
        </w:rPr>
      </w:pPr>
    </w:p>
    <w:p w14:paraId="34A0F5D6" w14:textId="77777777" w:rsidR="00F264F0" w:rsidRDefault="00F264F0" w:rsidP="00F34B6A">
      <w:pPr>
        <w:jc w:val="center"/>
        <w:rPr>
          <w:b/>
          <w:bCs/>
          <w:highlight w:val="yellow"/>
        </w:rPr>
      </w:pPr>
    </w:p>
    <w:p w14:paraId="7CA28277" w14:textId="77777777" w:rsidR="00955932" w:rsidRDefault="00955932" w:rsidP="00F34B6A">
      <w:pPr>
        <w:jc w:val="center"/>
        <w:rPr>
          <w:b/>
          <w:bCs/>
          <w:highlight w:val="yellow"/>
        </w:rPr>
      </w:pPr>
    </w:p>
    <w:p w14:paraId="5AA0DC98" w14:textId="77777777" w:rsidR="00955932" w:rsidRDefault="00955932" w:rsidP="00F34B6A">
      <w:pPr>
        <w:jc w:val="center"/>
        <w:rPr>
          <w:b/>
          <w:bCs/>
          <w:highlight w:val="yellow"/>
        </w:rPr>
      </w:pPr>
    </w:p>
    <w:p w14:paraId="4F34FA5F" w14:textId="77777777" w:rsidR="00955932" w:rsidRDefault="00955932" w:rsidP="00F34B6A">
      <w:pPr>
        <w:jc w:val="center"/>
        <w:rPr>
          <w:b/>
          <w:bCs/>
          <w:highlight w:val="yellow"/>
        </w:rPr>
      </w:pPr>
    </w:p>
    <w:p w14:paraId="4AF566A9" w14:textId="77777777" w:rsidR="00955932" w:rsidRDefault="00955932" w:rsidP="00F34B6A">
      <w:pPr>
        <w:jc w:val="center"/>
        <w:rPr>
          <w:b/>
          <w:bCs/>
          <w:highlight w:val="yellow"/>
        </w:rPr>
      </w:pPr>
    </w:p>
    <w:p w14:paraId="6BFD3A1C" w14:textId="77777777" w:rsidR="00955932" w:rsidRDefault="00955932" w:rsidP="00F34B6A">
      <w:pPr>
        <w:jc w:val="center"/>
        <w:rPr>
          <w:b/>
          <w:bCs/>
          <w:highlight w:val="yellow"/>
        </w:rPr>
      </w:pPr>
    </w:p>
    <w:p w14:paraId="344FC3AD" w14:textId="77777777" w:rsidR="00CD434B" w:rsidRDefault="00CD434B" w:rsidP="006D1A10">
      <w:pPr>
        <w:jc w:val="center"/>
        <w:rPr>
          <w:b/>
          <w:bCs/>
          <w:color w:val="C00000"/>
          <w:highlight w:val="yellow"/>
        </w:rPr>
      </w:pPr>
    </w:p>
    <w:p w14:paraId="28080ADA" w14:textId="77777777" w:rsidR="00CD434B" w:rsidRDefault="00CD434B" w:rsidP="006D1A10">
      <w:pPr>
        <w:jc w:val="center"/>
        <w:rPr>
          <w:b/>
          <w:bCs/>
          <w:color w:val="C00000"/>
          <w:highlight w:val="yellow"/>
        </w:rPr>
      </w:pPr>
    </w:p>
    <w:p w14:paraId="30646A5C" w14:textId="731281BC" w:rsidR="006D1A10" w:rsidRPr="008808D6" w:rsidRDefault="00054DCA" w:rsidP="006D1A10">
      <w:pPr>
        <w:jc w:val="center"/>
        <w:rPr>
          <w:b/>
          <w:bCs/>
          <w:color w:val="C00000"/>
          <w:highlight w:val="yellow"/>
        </w:rPr>
      </w:pPr>
      <w:r w:rsidRPr="008808D6">
        <w:rPr>
          <w:b/>
          <w:bCs/>
          <w:color w:val="C00000"/>
          <w:highlight w:val="yellow"/>
        </w:rPr>
        <w:lastRenderedPageBreak/>
        <w:t xml:space="preserve">PARTE I - </w:t>
      </w:r>
      <w:r w:rsidR="00E171D0" w:rsidRPr="008808D6">
        <w:rPr>
          <w:b/>
          <w:bCs/>
          <w:color w:val="C00000"/>
          <w:highlight w:val="yellow"/>
        </w:rPr>
        <w:t>ATTIVITA’ SOLIDALI</w:t>
      </w:r>
      <w:r w:rsidR="006F0BE2" w:rsidRPr="008808D6">
        <w:rPr>
          <w:b/>
          <w:bCs/>
          <w:color w:val="C00000"/>
          <w:highlight w:val="yellow"/>
        </w:rPr>
        <w:t xml:space="preserve">, SOCIALI E CULTURALI </w:t>
      </w:r>
    </w:p>
    <w:p w14:paraId="274245D0" w14:textId="77777777" w:rsidR="006D1A10" w:rsidRPr="00F34B6A" w:rsidRDefault="006D1A10" w:rsidP="006D1A10">
      <w:pPr>
        <w:jc w:val="center"/>
        <w:rPr>
          <w:b/>
          <w:bCs/>
          <w:highlight w:val="yellow"/>
        </w:rPr>
      </w:pPr>
    </w:p>
    <w:p w14:paraId="5BB94DAC" w14:textId="0602B1F0" w:rsidR="00E171D0" w:rsidRPr="00AB7334" w:rsidRDefault="00644460" w:rsidP="00244C41">
      <w:pPr>
        <w:rPr>
          <w:b/>
          <w:bCs/>
        </w:rPr>
      </w:pPr>
      <w:r w:rsidRPr="00AB7334">
        <w:rPr>
          <w:b/>
          <w:bCs/>
        </w:rPr>
        <w:t>1.</w:t>
      </w:r>
      <w:r w:rsidR="001A570F" w:rsidRPr="00AB7334">
        <w:rPr>
          <w:b/>
          <w:bCs/>
        </w:rPr>
        <w:t xml:space="preserve"> </w:t>
      </w:r>
      <w:r w:rsidR="005244DF" w:rsidRPr="00AB7334">
        <w:rPr>
          <w:b/>
          <w:bCs/>
        </w:rPr>
        <w:t>A</w:t>
      </w:r>
      <w:r w:rsidR="00EE5C41" w:rsidRPr="00AB7334">
        <w:rPr>
          <w:b/>
          <w:bCs/>
        </w:rPr>
        <w:t>TTIVIT</w:t>
      </w:r>
      <w:bookmarkStart w:id="1" w:name="_Hlk38436106"/>
      <w:r w:rsidR="00EE5C41" w:rsidRPr="00AB7334">
        <w:rPr>
          <w:b/>
          <w:bCs/>
        </w:rPr>
        <w:t>A’</w:t>
      </w:r>
      <w:bookmarkEnd w:id="1"/>
      <w:r w:rsidR="00D56723" w:rsidRPr="00AB7334">
        <w:rPr>
          <w:b/>
          <w:bCs/>
        </w:rPr>
        <w:t xml:space="preserve"> </w:t>
      </w:r>
      <w:r w:rsidR="00C35B06" w:rsidRPr="00AB7334">
        <w:rPr>
          <w:b/>
          <w:bCs/>
        </w:rPr>
        <w:t>SOLIDALI</w:t>
      </w:r>
      <w:r w:rsidR="00D711D9" w:rsidRPr="00AB7334">
        <w:rPr>
          <w:b/>
          <w:bCs/>
        </w:rPr>
        <w:t xml:space="preserve"> IN COLLABORAZIONE CON </w:t>
      </w:r>
      <w:r w:rsidR="0070261D" w:rsidRPr="00AB7334">
        <w:rPr>
          <w:b/>
          <w:bCs/>
        </w:rPr>
        <w:t xml:space="preserve">IL COMUNE </w:t>
      </w:r>
    </w:p>
    <w:p w14:paraId="6EE59B1E" w14:textId="7357ECDF" w:rsidR="001867FC" w:rsidRPr="00AB7334" w:rsidRDefault="004C12D1" w:rsidP="00F34B6A">
      <w:pPr>
        <w:jc w:val="both"/>
      </w:pPr>
      <w:r w:rsidRPr="00AB7334">
        <w:t xml:space="preserve">Trattasi </w:t>
      </w:r>
      <w:r w:rsidR="005244DF" w:rsidRPr="00AB7334">
        <w:t>di</w:t>
      </w:r>
      <w:r w:rsidRPr="00AB7334">
        <w:t xml:space="preserve"> </w:t>
      </w:r>
      <w:r w:rsidR="006E3DC0" w:rsidRPr="00AB7334">
        <w:t xml:space="preserve">iniziative coordinate e sinergiche </w:t>
      </w:r>
      <w:r w:rsidR="005244DF" w:rsidRPr="00AB7334">
        <w:t>poste in essere</w:t>
      </w:r>
      <w:r w:rsidR="001A36C6" w:rsidRPr="00AB7334">
        <w:t xml:space="preserve"> di concerto con i servizi sociali del Comune </w:t>
      </w:r>
      <w:r w:rsidR="0095176F" w:rsidRPr="00AB7334">
        <w:t xml:space="preserve">con l’intento </w:t>
      </w:r>
      <w:r w:rsidR="00E43B9B" w:rsidRPr="00AB7334">
        <w:t>di</w:t>
      </w:r>
      <w:r w:rsidR="006E3DC0" w:rsidRPr="00AB7334">
        <w:t xml:space="preserve"> arginare le crescenti difficoltà</w:t>
      </w:r>
      <w:r w:rsidRPr="00AB7334">
        <w:t xml:space="preserve"> </w:t>
      </w:r>
      <w:r w:rsidR="00AD386A" w:rsidRPr="00AB7334">
        <w:t>economiche</w:t>
      </w:r>
      <w:r w:rsidR="00325F55" w:rsidRPr="00AB7334">
        <w:t xml:space="preserve"> emerse nelle fasce più deboli della popolazione </w:t>
      </w:r>
      <w:r w:rsidRPr="00AB7334">
        <w:t xml:space="preserve">nel periodo </w:t>
      </w:r>
      <w:r w:rsidR="0038356C" w:rsidRPr="00AB7334">
        <w:t>considerato.</w:t>
      </w:r>
      <w:r w:rsidR="000D49D7" w:rsidRPr="00AB7334">
        <w:t xml:space="preserve"> </w:t>
      </w:r>
    </w:p>
    <w:p w14:paraId="03B3011F" w14:textId="2D7BC757" w:rsidR="00CC4E85" w:rsidRPr="00AB7334" w:rsidRDefault="00B12938" w:rsidP="00F34B6A">
      <w:pPr>
        <w:jc w:val="both"/>
      </w:pPr>
      <w:r w:rsidRPr="00AB7334">
        <w:t>Sin da</w:t>
      </w:r>
      <w:r w:rsidR="00CD434B">
        <w:t>gli inizi</w:t>
      </w:r>
      <w:r w:rsidRPr="00AB7334">
        <w:t xml:space="preserve"> di mandato</w:t>
      </w:r>
      <w:r w:rsidR="00CD434B">
        <w:t xml:space="preserve"> </w:t>
      </w:r>
      <w:r w:rsidRPr="00AB7334">
        <w:t xml:space="preserve">è stato </w:t>
      </w:r>
      <w:r w:rsidR="00CD434B">
        <w:t>continuo</w:t>
      </w:r>
      <w:r w:rsidRPr="00AB7334">
        <w:t xml:space="preserve"> il contatto e la collaborazione con i servizi sociali del Comune di Todi.</w:t>
      </w:r>
      <w:r w:rsidR="00731053" w:rsidRPr="00AB7334">
        <w:t xml:space="preserve"> </w:t>
      </w:r>
      <w:r w:rsidR="001029A4" w:rsidRPr="00AB7334">
        <w:t>Dalla seconda metà del 2023 sono stati approvati diversi interventi in favore di soggetti svantaggiati e/o in temporanea difficoltà</w:t>
      </w:r>
      <w:r w:rsidRPr="00AB7334">
        <w:t>.</w:t>
      </w:r>
    </w:p>
    <w:p w14:paraId="19290994" w14:textId="5B6307D2" w:rsidR="0070749F" w:rsidRDefault="00675FE4" w:rsidP="00F34B6A">
      <w:pPr>
        <w:jc w:val="both"/>
      </w:pPr>
      <w:r w:rsidRPr="00AB7334">
        <w:t>In occasione dei periodi festivi (Pasqu</w:t>
      </w:r>
      <w:r w:rsidR="00305B91" w:rsidRPr="00AB7334">
        <w:t>a</w:t>
      </w:r>
      <w:r w:rsidRPr="00AB7334">
        <w:t xml:space="preserve"> e Natale) sono stati attribuiti buoni alimentari secondo le indicazioni dei servizi sociali</w:t>
      </w:r>
      <w:r w:rsidR="00CD434B">
        <w:t>.</w:t>
      </w:r>
    </w:p>
    <w:p w14:paraId="23B63E77" w14:textId="5B8DCDC5" w:rsidR="00CD434B" w:rsidRPr="00AB7334" w:rsidRDefault="00CD434B" w:rsidP="00F34B6A">
      <w:pPr>
        <w:jc w:val="both"/>
      </w:pPr>
      <w:r>
        <w:t>Detti interventi sono apprezzati nell’efficacia da addetti ai lavori e utenza (Ads, tutori ecc…) e stanno assumendo purtroppo carattere strutturale.</w:t>
      </w:r>
    </w:p>
    <w:p w14:paraId="2C632B0C" w14:textId="033EF335" w:rsidR="00624002" w:rsidRDefault="00B043D1" w:rsidP="00F34B6A">
      <w:pPr>
        <w:jc w:val="both"/>
      </w:pPr>
      <w:r w:rsidRPr="00AB7334">
        <w:t xml:space="preserve">Anche in occasione delle festività natalizie 2024 sono stati messi a disposizione </w:t>
      </w:r>
      <w:r w:rsidR="009D4D42" w:rsidRPr="00AB7334">
        <w:t xml:space="preserve">buoni alimentari a favore di soggetti svantaggiati </w:t>
      </w:r>
      <w:r w:rsidR="0057059B" w:rsidRPr="00AB7334">
        <w:t xml:space="preserve">e/o in temporanea difficoltà secondo le indicazioni dei servizi sociali comunali così come </w:t>
      </w:r>
      <w:r w:rsidR="00AF2D4D" w:rsidRPr="00AB7334">
        <w:t xml:space="preserve">da consuetudine introdotta da questo </w:t>
      </w:r>
      <w:proofErr w:type="spellStart"/>
      <w:r w:rsidR="00AF2D4D" w:rsidRPr="00AB7334">
        <w:t>CdA</w:t>
      </w:r>
      <w:proofErr w:type="spellEnd"/>
      <w:r w:rsidR="00173562" w:rsidRPr="00AB7334">
        <w:t xml:space="preserve"> fin dal suo </w:t>
      </w:r>
      <w:r w:rsidR="000F648A" w:rsidRPr="00AB7334">
        <w:t>insediamento.</w:t>
      </w:r>
    </w:p>
    <w:p w14:paraId="737733BD" w14:textId="77777777" w:rsidR="00EC007D" w:rsidRPr="00F34B6A" w:rsidRDefault="00EC007D" w:rsidP="00F34B6A"/>
    <w:p w14:paraId="3F08C555" w14:textId="2EB4CACC" w:rsidR="00977239" w:rsidRPr="00F34B6A" w:rsidRDefault="001A570F" w:rsidP="00F34B6A">
      <w:pPr>
        <w:jc w:val="both"/>
        <w:rPr>
          <w:b/>
        </w:rPr>
      </w:pPr>
      <w:r>
        <w:rPr>
          <w:b/>
        </w:rPr>
        <w:t xml:space="preserve">2. </w:t>
      </w:r>
      <w:r w:rsidR="00977239" w:rsidRPr="00F34B6A">
        <w:rPr>
          <w:b/>
        </w:rPr>
        <w:t>PROGETT</w:t>
      </w:r>
      <w:r w:rsidR="00EC5871" w:rsidRPr="00F34B6A">
        <w:rPr>
          <w:b/>
        </w:rPr>
        <w:t>I</w:t>
      </w:r>
      <w:r w:rsidR="00977239" w:rsidRPr="00F34B6A">
        <w:rPr>
          <w:b/>
        </w:rPr>
        <w:t xml:space="preserve"> CULTURAL</w:t>
      </w:r>
      <w:r w:rsidR="00EC5871" w:rsidRPr="00F34B6A">
        <w:rPr>
          <w:b/>
        </w:rPr>
        <w:t>I</w:t>
      </w:r>
      <w:r w:rsidR="00746859">
        <w:rPr>
          <w:b/>
        </w:rPr>
        <w:t xml:space="preserve"> </w:t>
      </w:r>
      <w:r w:rsidR="00BC578F">
        <w:rPr>
          <w:b/>
        </w:rPr>
        <w:t>E SOLIDALI</w:t>
      </w:r>
    </w:p>
    <w:p w14:paraId="4E872877" w14:textId="12A20230" w:rsidR="00EC5871" w:rsidRPr="00F34B6A" w:rsidRDefault="00EC5871" w:rsidP="00F34B6A">
      <w:pPr>
        <w:jc w:val="both"/>
      </w:pPr>
      <w:r w:rsidRPr="00F34B6A">
        <w:t>L’ente per propria natura, finalità statutarie e convinzion</w:t>
      </w:r>
      <w:r w:rsidR="004B3965">
        <w:t>e</w:t>
      </w:r>
      <w:r w:rsidRPr="00F34B6A">
        <w:t xml:space="preserve"> dell’Amministrazione abbina alle attività culturali eventi a scopo benefico o raccolte di fondi.</w:t>
      </w:r>
    </w:p>
    <w:p w14:paraId="5CB5777C" w14:textId="5B24EF0E" w:rsidR="00305B91" w:rsidRDefault="00AB7334" w:rsidP="00AB7334">
      <w:pPr>
        <w:jc w:val="both"/>
      </w:pPr>
      <w:r>
        <w:t xml:space="preserve">Anche nel periodo in esame </w:t>
      </w:r>
      <w:r w:rsidR="00305B91">
        <w:t xml:space="preserve">con l’associazione </w:t>
      </w:r>
      <w:r w:rsidR="00E00D74">
        <w:t>“A</w:t>
      </w:r>
      <w:r w:rsidR="00305B91">
        <w:t>mici ed ex dipendenti della BPT Spa</w:t>
      </w:r>
      <w:r w:rsidR="00E00D74">
        <w:t>”</w:t>
      </w:r>
      <w:r>
        <w:t>, dopo la raccolta dei fondi,</w:t>
      </w:r>
      <w:r w:rsidR="00305B91">
        <w:t xml:space="preserve"> </w:t>
      </w:r>
      <w:r>
        <w:t xml:space="preserve">è stato completato </w:t>
      </w:r>
      <w:r w:rsidR="00A45C68">
        <w:t>il restauro del</w:t>
      </w:r>
      <w:r w:rsidR="00E00D74">
        <w:t xml:space="preserve">l’affresco </w:t>
      </w:r>
      <w:r w:rsidR="00A45C68">
        <w:t>del Tempio della Consolazione con l’immagine della Vergine e le nozze mistiche di S. Caterina D’Alessandria</w:t>
      </w:r>
      <w:r>
        <w:t xml:space="preserve"> oggetto di un’interessante presentazione nel mese di dicembre u.s.</w:t>
      </w:r>
      <w:r w:rsidR="00E00D74">
        <w:t>.</w:t>
      </w:r>
    </w:p>
    <w:p w14:paraId="044CB0E6" w14:textId="761E9316" w:rsidR="00CD434B" w:rsidRPr="00327B2E" w:rsidRDefault="00CD434B" w:rsidP="00CD434B">
      <w:pPr>
        <w:jc w:val="both"/>
      </w:pPr>
      <w:r>
        <w:t xml:space="preserve">Nel corso del primo semestre 2025 è stato avviato e portato a </w:t>
      </w:r>
      <w:r w:rsidR="003367E4">
        <w:t>termine</w:t>
      </w:r>
      <w:r>
        <w:t xml:space="preserve"> il cantiere della statua di un apostolo presso il Tempio della Consolazione</w:t>
      </w:r>
      <w:r w:rsidR="003367E4">
        <w:t xml:space="preserve"> che </w:t>
      </w:r>
      <w:r w:rsidRPr="00327B2E">
        <w:t>si è concluso in data 24 giugno 2025</w:t>
      </w:r>
      <w:r w:rsidR="003367E4">
        <w:t xml:space="preserve"> con</w:t>
      </w:r>
      <w:r w:rsidRPr="00327B2E">
        <w:t xml:space="preserve"> il restauro di una delle dodici statue degli apostoli custodite all'interno del magnifico Tempio della Consolazione di Todi. Unica statua Danneggiata dal sisma del 2016, l'opera torna ora al suo antico splendore grazie all'intervento esperto della ditta Magistri SRL di Milano, la stessa che nel 2025 ha completato </w:t>
      </w:r>
      <w:r w:rsidR="003367E4">
        <w:t>importanti</w:t>
      </w:r>
      <w:r w:rsidRPr="00327B2E">
        <w:t xml:space="preserve"> restaur</w:t>
      </w:r>
      <w:r w:rsidR="003367E4">
        <w:t>i</w:t>
      </w:r>
      <w:r w:rsidRPr="00327B2E">
        <w:t xml:space="preserve"> </w:t>
      </w:r>
      <w:r w:rsidR="003367E4">
        <w:t>presso i</w:t>
      </w:r>
      <w:r w:rsidRPr="00327B2E">
        <w:t>l Duomo di Milano.</w:t>
      </w:r>
      <w:r>
        <w:t xml:space="preserve"> </w:t>
      </w:r>
      <w:r w:rsidRPr="00327B2E">
        <w:t>La statua, attribuita alla Scuola di Ippolito Scalza e parte integrante del ricco patrimonio artistico del Tempio, ha subito gravi danni a seguito delle oscillazioni telluriche. La caduta, dovuta al cedimento del palo ligneo interno al nucleo murario marcio, ha causato la frantumazione delle parti sommitali (testa e braccia) e l'ulteriore schiacciamento da parte del blocco medio-inferiore. La natura eterogenea del manufatto ha purtroppo favorito la polverizzazione di parti consistenti e caratterizzanti dell'opera.</w:t>
      </w:r>
      <w:r>
        <w:t xml:space="preserve"> </w:t>
      </w:r>
      <w:r w:rsidRPr="00327B2E">
        <w:t>Il restauro, con un quadro economico di circa 50 mila euro (comprensivo di progettazione e somme a disposizione), è stato reso possibile grazie alla preziosa collaborazione della Soprintendenza, in particolare della Dr.ssa Stefania Furelli, e al contributo del coordinatore dei restauri Eros Zanotti.</w:t>
      </w:r>
      <w:r>
        <w:t xml:space="preserve"> </w:t>
      </w:r>
    </w:p>
    <w:p w14:paraId="5ED5227B" w14:textId="77777777" w:rsidR="00CD434B" w:rsidRDefault="00CD434B" w:rsidP="00AB7334">
      <w:pPr>
        <w:jc w:val="both"/>
      </w:pPr>
    </w:p>
    <w:p w14:paraId="1C6DA6EA" w14:textId="5E9AFAC0" w:rsidR="00CD434B" w:rsidRDefault="00CD434B" w:rsidP="00CD434B">
      <w:pPr>
        <w:jc w:val="center"/>
      </w:pPr>
      <w:r>
        <w:t>Approfondimenti e risorse</w:t>
      </w:r>
    </w:p>
    <w:p w14:paraId="57E88885" w14:textId="77777777" w:rsidR="00CD434B" w:rsidRPr="00CD434B" w:rsidRDefault="00CD434B" w:rsidP="00CD434B">
      <w:pPr>
        <w:jc w:val="both"/>
      </w:pPr>
    </w:p>
    <w:p w14:paraId="0ECA3A80" w14:textId="45B4FF4C" w:rsidR="00CD434B" w:rsidRPr="00CD434B" w:rsidRDefault="00CD434B" w:rsidP="00CD434B">
      <w:pPr>
        <w:jc w:val="both"/>
      </w:pPr>
      <w:r w:rsidRPr="00CD434B">
        <w:t xml:space="preserve">video fase intervento:  </w:t>
      </w:r>
      <w:hyperlink r:id="rId10" w:history="1">
        <w:r w:rsidRPr="00CD434B">
          <w:rPr>
            <w:rStyle w:val="Collegamentoipertestuale"/>
          </w:rPr>
          <w:t>https://studio.youtube.com/video/NYD70SDvqUI/edit</w:t>
        </w:r>
      </w:hyperlink>
      <w:r>
        <w:t xml:space="preserve"> </w:t>
      </w:r>
    </w:p>
    <w:p w14:paraId="5FEEF931" w14:textId="77777777" w:rsidR="00CD434B" w:rsidRPr="00CD434B" w:rsidRDefault="00CD434B" w:rsidP="00CD434B">
      <w:pPr>
        <w:jc w:val="both"/>
      </w:pPr>
      <w:r w:rsidRPr="00CD434B">
        <w:t>Relazione sul restauro a consuntivo</w:t>
      </w:r>
    </w:p>
    <w:p w14:paraId="6DDAA870" w14:textId="466EAEFE" w:rsidR="00CD434B" w:rsidRPr="00CD434B" w:rsidRDefault="00CD434B" w:rsidP="00CD434B">
      <w:pPr>
        <w:jc w:val="both"/>
      </w:pPr>
      <w:hyperlink r:id="rId11" w:history="1">
        <w:r w:rsidRPr="00CD434B">
          <w:rPr>
            <w:rStyle w:val="Collegamentoipertestuale"/>
          </w:rPr>
          <w:t>https://mycity.s3.sbg.io.cloud.ovh.net/4636211/2025_06_APOSTOLO_TODI_RELAZIONE-TECNICA-FINALE.pdf</w:t>
        </w:r>
      </w:hyperlink>
      <w:r>
        <w:t xml:space="preserve"> </w:t>
      </w:r>
    </w:p>
    <w:p w14:paraId="787CB025" w14:textId="77777777" w:rsidR="00CD434B" w:rsidRPr="00CD434B" w:rsidRDefault="00CD434B" w:rsidP="00CD434B">
      <w:pPr>
        <w:jc w:val="both"/>
      </w:pPr>
      <w:r w:rsidRPr="00CD434B">
        <w:t>foto</w:t>
      </w:r>
    </w:p>
    <w:p w14:paraId="627E652A" w14:textId="1DD34795" w:rsidR="00CD434B" w:rsidRPr="00CD434B" w:rsidRDefault="00CD434B" w:rsidP="00CD434B">
      <w:pPr>
        <w:jc w:val="both"/>
      </w:pPr>
      <w:hyperlink r:id="rId12" w:history="1">
        <w:r w:rsidRPr="00CD434B">
          <w:rPr>
            <w:rStyle w:val="Collegamentoipertestuale"/>
          </w:rPr>
          <w:t>https://mycity.s3.sbg.io.cloud.ovh.net/4636212/2025_06_APOSTOLO_TODI_RELAZIONE-TECNICA-FINALE_allegato-fotografico_compressed.pdf</w:t>
        </w:r>
      </w:hyperlink>
      <w:r>
        <w:t xml:space="preserve"> </w:t>
      </w:r>
    </w:p>
    <w:p w14:paraId="4B063B19" w14:textId="77777777" w:rsidR="00CD434B" w:rsidRPr="00CD434B" w:rsidRDefault="00CD434B" w:rsidP="00CD434B">
      <w:pPr>
        <w:jc w:val="both"/>
      </w:pPr>
      <w:r w:rsidRPr="00CD434B">
        <w:t>appalto</w:t>
      </w:r>
    </w:p>
    <w:p w14:paraId="4915FAE2" w14:textId="76134B3D" w:rsidR="00CD434B" w:rsidRPr="00CD434B" w:rsidRDefault="00CD434B" w:rsidP="00CD434B">
      <w:pPr>
        <w:jc w:val="both"/>
      </w:pPr>
      <w:hyperlink r:id="rId13" w:history="1">
        <w:r w:rsidRPr="00CD434B">
          <w:rPr>
            <w:rStyle w:val="Collegamentoipertestuale"/>
          </w:rPr>
          <w:t>https://etabtodi.it/amministrazione-trasparente/sezioni/613004-atti-amministrazioni-aggiudicatrici-enti/contenuti/3434288-restauro-ricostruzione-statua-stucco-raffigurante</w:t>
        </w:r>
      </w:hyperlink>
      <w:r>
        <w:t xml:space="preserve"> </w:t>
      </w:r>
    </w:p>
    <w:p w14:paraId="00C08884" w14:textId="32F3D044" w:rsidR="00644460" w:rsidRPr="008808D6" w:rsidRDefault="005831A8" w:rsidP="00983A32">
      <w:pPr>
        <w:rPr>
          <w:b/>
          <w:bCs/>
        </w:rPr>
      </w:pPr>
      <w:r w:rsidRPr="008808D6">
        <w:rPr>
          <w:b/>
          <w:bCs/>
        </w:rPr>
        <w:lastRenderedPageBreak/>
        <w:t xml:space="preserve">3. ATTIVITÀ </w:t>
      </w:r>
      <w:r w:rsidR="00B71C79" w:rsidRPr="008808D6">
        <w:rPr>
          <w:b/>
          <w:bCs/>
        </w:rPr>
        <w:t>SOCIALI</w:t>
      </w:r>
    </w:p>
    <w:p w14:paraId="12BE3027" w14:textId="10AFEA37" w:rsidR="00B71C79" w:rsidRPr="00F34B6A" w:rsidRDefault="00B71C79" w:rsidP="00983A32">
      <w:pPr>
        <w:jc w:val="both"/>
      </w:pPr>
      <w:r w:rsidRPr="00F34B6A">
        <w:rPr>
          <w:b/>
          <w:bCs/>
        </w:rPr>
        <w:t>CENTRO DISTURBI DEL COMPORTAMENTO ALIMENTARE – RESIDENZA PALAZZO FRANCISCI (IN COLLABORAZIONE CON LA USL. UMBRIA N. 1)</w:t>
      </w:r>
    </w:p>
    <w:p w14:paraId="254A011E" w14:textId="77777777" w:rsidR="00B71C79" w:rsidRPr="00F34B6A" w:rsidRDefault="00B71C79" w:rsidP="00983A32">
      <w:pPr>
        <w:jc w:val="both"/>
      </w:pPr>
      <w:r w:rsidRPr="00F34B6A">
        <w:t xml:space="preserve">Il Centro </w:t>
      </w:r>
      <w:r>
        <w:t xml:space="preserve">di </w:t>
      </w:r>
      <w:r w:rsidRPr="00F34B6A">
        <w:t xml:space="preserve">Palazzo Francisci accoglie pazienti affetti da </w:t>
      </w:r>
      <w:r>
        <w:t>disturbi del comportamento alimentare</w:t>
      </w:r>
      <w:r w:rsidRPr="00F34B6A">
        <w:t xml:space="preserve"> in età evolutiva nei differenti livelli di trattamento</w:t>
      </w:r>
      <w:r>
        <w:t xml:space="preserve">: </w:t>
      </w:r>
      <w:r w:rsidRPr="00F34B6A">
        <w:t>residenziale, semiresidenziale e ambulatoriale</w:t>
      </w:r>
      <w:r>
        <w:t xml:space="preserve">; </w:t>
      </w:r>
      <w:r w:rsidRPr="00F34B6A">
        <w:t xml:space="preserve">con un </w:t>
      </w:r>
      <w:r>
        <w:t xml:space="preserve">approccio </w:t>
      </w:r>
      <w:r w:rsidRPr="00F34B6A">
        <w:t>multidisciplinare che costituisce un metodo innovativo riconosciuto nella comunità scientifica</w:t>
      </w:r>
      <w:r>
        <w:t xml:space="preserve"> </w:t>
      </w:r>
      <w:r w:rsidRPr="00F34B6A">
        <w:t>nazionale e internazionale.</w:t>
      </w:r>
    </w:p>
    <w:p w14:paraId="2319912D" w14:textId="7A929314" w:rsidR="00B71C79" w:rsidRDefault="00B71C79" w:rsidP="00983A32">
      <w:pPr>
        <w:jc w:val="both"/>
      </w:pPr>
      <w:r w:rsidRPr="00F34B6A">
        <w:t>Per maggiori dettagli si rinvia alla relazione allegata di fine 202</w:t>
      </w:r>
      <w:r w:rsidR="00AB7334">
        <w:t>4 allegata alla presente</w:t>
      </w:r>
      <w:r w:rsidRPr="00F34B6A">
        <w:t>.</w:t>
      </w:r>
    </w:p>
    <w:p w14:paraId="57E59099" w14:textId="77777777" w:rsidR="00CD434B" w:rsidRDefault="00CD434B" w:rsidP="00983A32">
      <w:pPr>
        <w:jc w:val="both"/>
      </w:pPr>
      <w:r>
        <w:t>I</w:t>
      </w:r>
      <w:r w:rsidR="00885E75">
        <w:t>l 10/3/2025</w:t>
      </w:r>
      <w:r>
        <w:t xml:space="preserve"> si è tenuta attività di sensibilizzazione presso l’Istituto Agrario di Todi.</w:t>
      </w:r>
    </w:p>
    <w:p w14:paraId="5CAAC546" w14:textId="019BCAD2" w:rsidR="00885E75" w:rsidRDefault="00CD434B" w:rsidP="00983A32">
      <w:pPr>
        <w:jc w:val="both"/>
      </w:pPr>
      <w:r>
        <w:t xml:space="preserve">Nei </w:t>
      </w:r>
      <w:r w:rsidR="00885E75">
        <w:t>mes</w:t>
      </w:r>
      <w:r>
        <w:t>i</w:t>
      </w:r>
      <w:r w:rsidR="00885E75">
        <w:t xml:space="preserve"> di</w:t>
      </w:r>
      <w:r>
        <w:t xml:space="preserve"> giugno e</w:t>
      </w:r>
      <w:r w:rsidR="00885E75">
        <w:t xml:space="preserve"> novembre u.s. si è tenuto il consueto seminario a Montesanto.</w:t>
      </w:r>
    </w:p>
    <w:p w14:paraId="21A596C8" w14:textId="086B4C8C" w:rsidR="00885E75" w:rsidRDefault="00885E75" w:rsidP="00983A32">
      <w:pPr>
        <w:jc w:val="both"/>
      </w:pPr>
      <w:r>
        <w:t xml:space="preserve">Per quanto riguarda le intese per l’anno 2025 è stato assunto atto di indirizzo in data </w:t>
      </w:r>
      <w:r w:rsidR="00630A3F">
        <w:t>19.12.2024</w:t>
      </w:r>
      <w:r w:rsidR="00CD434B">
        <w:t xml:space="preserve"> e approvata la relazione per 1 anno con deliberazione </w:t>
      </w:r>
      <w:r w:rsidR="00C16C8D">
        <w:t>45 del 18.6.2025</w:t>
      </w:r>
      <w:r w:rsidR="00630A3F">
        <w:t>.</w:t>
      </w:r>
    </w:p>
    <w:p w14:paraId="7F11B712" w14:textId="1A2162EB" w:rsidR="00CD434B" w:rsidRDefault="00CD434B" w:rsidP="00983A32">
      <w:pPr>
        <w:jc w:val="both"/>
      </w:pPr>
      <w:r>
        <w:t xml:space="preserve">Anche la </w:t>
      </w:r>
      <w:proofErr w:type="spellStart"/>
      <w:r>
        <w:t>usl</w:t>
      </w:r>
      <w:proofErr w:type="spellEnd"/>
      <w:r>
        <w:t xml:space="preserve"> ha approvato lo schema che non è ancora stato firmato a causa dei ritardi fisiologici dovuti al collocamento a riposo del Dr. Luigi Sicilia.</w:t>
      </w:r>
    </w:p>
    <w:p w14:paraId="777D14D0" w14:textId="24E3B940" w:rsidR="00630A3F" w:rsidRDefault="00630A3F" w:rsidP="00983A32">
      <w:pPr>
        <w:jc w:val="both"/>
      </w:pPr>
      <w:r>
        <w:t>La situazione del 2025</w:t>
      </w:r>
      <w:r w:rsidR="00CD434B">
        <w:t>, infatti,</w:t>
      </w:r>
      <w:r>
        <w:t xml:space="preserve"> è complessa e tiene conto dei lavori da effettuare nelle sedi del DNA e Gruppo Famiglia</w:t>
      </w:r>
      <w:r w:rsidR="00CD434B">
        <w:t xml:space="preserve"> per cui è stata sottoscritta la convenzione per 1 anno che prevede un contributo economico di euro 71 mila</w:t>
      </w:r>
      <w:r>
        <w:t xml:space="preserve">. </w:t>
      </w:r>
    </w:p>
    <w:p w14:paraId="3E2676B6" w14:textId="77777777" w:rsidR="00B71C79" w:rsidRPr="00F34B6A" w:rsidRDefault="00B71C79" w:rsidP="00983A32">
      <w:pPr>
        <w:pStyle w:val="Standard"/>
        <w:jc w:val="both"/>
        <w:rPr>
          <w:b/>
          <w:bCs/>
          <w:sz w:val="24"/>
          <w:szCs w:val="24"/>
        </w:rPr>
      </w:pPr>
    </w:p>
    <w:p w14:paraId="64A4EC32" w14:textId="24A9A3D3" w:rsidR="00B71C79" w:rsidRPr="00F34B6A" w:rsidRDefault="00B71C79" w:rsidP="00983A32">
      <w:r w:rsidRPr="00F34B6A">
        <w:rPr>
          <w:b/>
          <w:bCs/>
        </w:rPr>
        <w:t>GRUPPO FAMIGLIA “TALIA BAGLI VED. DE ANGELIS”</w:t>
      </w:r>
    </w:p>
    <w:p w14:paraId="26063054" w14:textId="7D431D49" w:rsidR="00B71C79" w:rsidRDefault="00B71C79" w:rsidP="00983A32">
      <w:pPr>
        <w:jc w:val="both"/>
      </w:pPr>
      <w:r>
        <w:t>Il Centro per ragazze con problematiche personali e familiari, attivo dalla metà degli anni ‘70, rivolge attualmente il proprio servizio in modo continuativo a 3 utenti con disponibilità per un quarto posto letto. Il Centro rappresenta un riferimento importante e socialmente necessario per le ospiti, tuttavia, una evidente criticità è rappresentata dal fatto che l’Ente non può assicurare un’assistenza continuativa di 24 ore su 24, in quanto il Centro è inquadrato come “Comunità di accoglienza solidale” in virtù del R.R. del 10 novembre 2014 n° 4. Il quarto posto letto, storicamente messo a disposizione per ricoveri protetti presso il DCA da parte di pazienti che hanno superato il periodo previsto dai protocolli sanitari di cura, nel corso del 2021 non è stato utilizzato come negli altri anni per situazioni emergenziali di sollievo abitativo a causa della pandemia ed attualmente è in uso per circa tre notti a settimana da parte di una quarta ospite.</w:t>
      </w:r>
    </w:p>
    <w:p w14:paraId="0370C753" w14:textId="5683117F" w:rsidR="00C16C8D" w:rsidRDefault="00B71C79" w:rsidP="00C16C8D">
      <w:pPr>
        <w:jc w:val="both"/>
      </w:pPr>
      <w:r>
        <w:t xml:space="preserve">Nel periodo di riferimento si registra </w:t>
      </w:r>
      <w:r w:rsidR="00630A3F">
        <w:t xml:space="preserve">la nuova convenzione con La Rosa dell’Umbria ODV e con l’Auser Todi. </w:t>
      </w:r>
      <w:r w:rsidR="00C16C8D">
        <w:t>A seguito di convenzione con la S</w:t>
      </w:r>
      <w:r w:rsidR="00630A3F">
        <w:t xml:space="preserve">UA della Regione Umbria </w:t>
      </w:r>
      <w:r w:rsidR="00C16C8D">
        <w:t>è stata espletata la nuova gara con procedura aperta e sarà sottoscritto il contratto con la medesima Cooperativa Seriana 2000 di Cesenatico.</w:t>
      </w:r>
      <w:r w:rsidR="003367E4">
        <w:t xml:space="preserve"> </w:t>
      </w:r>
      <w:r w:rsidR="00C16C8D">
        <w:t>La ditta ha offerto ribasso unico percentuale del 1,88% cui corrisponde un importo complessivo contrattuale di € 147.486,61 (importo triennale compreso euro 3 mila per oneri della sicurezza non ribassabili).</w:t>
      </w:r>
    </w:p>
    <w:p w14:paraId="62BB9BDE" w14:textId="77777777" w:rsidR="00626936" w:rsidRDefault="00403E49" w:rsidP="00C16C8D">
      <w:pPr>
        <w:jc w:val="both"/>
      </w:pPr>
      <w:r>
        <w:t>Sempre nel corso del periodo considerato in data 21.6.2025 è stato appaltato il servizio di pulizie per</w:t>
      </w:r>
      <w:r w:rsidR="00626936" w:rsidRPr="00626936">
        <w:t xml:space="preserve"> </w:t>
      </w:r>
      <w:r w:rsidR="00626936">
        <w:t xml:space="preserve">la durata di anni tre alla Coop,. </w:t>
      </w:r>
      <w:proofErr w:type="spellStart"/>
      <w:r w:rsidR="00626936">
        <w:t>Aetas</w:t>
      </w:r>
      <w:proofErr w:type="spellEnd"/>
      <w:r w:rsidR="00626936">
        <w:t>.</w:t>
      </w:r>
    </w:p>
    <w:p w14:paraId="634F2586" w14:textId="56FD2ED3" w:rsidR="00BF6E7F" w:rsidRPr="00BF6E7F" w:rsidRDefault="00626936" w:rsidP="00BF6E7F">
      <w:pPr>
        <w:jc w:val="both"/>
      </w:pPr>
      <w:r>
        <w:t xml:space="preserve">Nel </w:t>
      </w:r>
      <w:r w:rsidRPr="00626936">
        <w:t>novembre 2024 è andato in scena uno s</w:t>
      </w:r>
      <w:r w:rsidRPr="00BF6E7F">
        <w:t>pettacolo Teatrale organizzato dagli utenti</w:t>
      </w:r>
      <w:r w:rsidRPr="00626936">
        <w:t xml:space="preserve"> </w:t>
      </w:r>
      <w:r w:rsidRPr="00BF6E7F">
        <w:t>C.D.A " LA TORRE" di Fratta Todina</w:t>
      </w:r>
      <w:r w:rsidRPr="00626936">
        <w:t xml:space="preserve"> </w:t>
      </w:r>
      <w:r w:rsidRPr="00BF6E7F">
        <w:t>e</w:t>
      </w:r>
      <w:r w:rsidRPr="00626936">
        <w:t xml:space="preserve"> </w:t>
      </w:r>
      <w:r w:rsidRPr="00BF6E7F">
        <w:t>Gruppo Famiglia " TALIA BAGLI -DE ANGELIS di Todi,</w:t>
      </w:r>
      <w:r w:rsidRPr="00626936">
        <w:t xml:space="preserve"> dal titolo </w:t>
      </w:r>
      <w:r w:rsidR="00BF6E7F" w:rsidRPr="00BF6E7F">
        <w:t>"ROBA DELL'ALTRO MONDO"</w:t>
      </w:r>
      <w:r w:rsidRPr="00626936">
        <w:t xml:space="preserve"> </w:t>
      </w:r>
      <w:r w:rsidR="00BF6E7F" w:rsidRPr="00BF6E7F">
        <w:t>in collaborazione con la compagnia teatrale APPOMESSA</w:t>
      </w:r>
      <w:r w:rsidRPr="00626936">
        <w:t xml:space="preserve"> </w:t>
      </w:r>
      <w:r w:rsidR="00BF6E7F" w:rsidRPr="00BF6E7F">
        <w:t>presso il teatro comunale la Concordia di Montecastello di Vibio</w:t>
      </w:r>
      <w:r>
        <w:t xml:space="preserve"> </w:t>
      </w:r>
      <w:r w:rsidR="00BF6E7F" w:rsidRPr="00BF6E7F">
        <w:t>domenica 17 novembre 2024</w:t>
      </w:r>
      <w:r>
        <w:t>.</w:t>
      </w:r>
    </w:p>
    <w:p w14:paraId="73165954" w14:textId="07FA94E5" w:rsidR="00B71C79" w:rsidRDefault="00BF6E7F" w:rsidP="00983A32">
      <w:pPr>
        <w:jc w:val="both"/>
      </w:pPr>
      <w:r w:rsidRPr="00BF6E7F">
        <w:t> </w:t>
      </w:r>
    </w:p>
    <w:p w14:paraId="3B6DD444" w14:textId="3682FFB0" w:rsidR="00B71C79" w:rsidRDefault="00B71C79" w:rsidP="00983A32">
      <w:pPr>
        <w:jc w:val="both"/>
      </w:pPr>
      <w:r>
        <w:rPr>
          <w:b/>
          <w:bCs/>
        </w:rPr>
        <w:t>CELEBRAZIONE DELLA GIORNATA MONDIALE DEL MALATO</w:t>
      </w:r>
    </w:p>
    <w:p w14:paraId="7F750BFE" w14:textId="77777777" w:rsidR="00B71C79" w:rsidRPr="00C92F0B" w:rsidRDefault="00B71C79" w:rsidP="00983A32">
      <w:pPr>
        <w:jc w:val="both"/>
      </w:pPr>
      <w:r w:rsidRPr="00C92F0B">
        <w:t>In occasione della Giornata Mondiale del Malato, istituita da San Giovanni Paolo II in commemorazione dell'apparizione della Madonna a Lourdes, Veralli Cortesi ed ETAB si sono uniti in un importante gesto di solidarietà. Da quando i nuovi Consigli di ETAB e Veralli hanno assunto le proprie funzioni, hanno posto una particolare attenzione sulla collaborazione sinergica tra le due IPAB e le istituzioni locali come elemento cardine della gestione nel periodo 2023-2028.</w:t>
      </w:r>
    </w:p>
    <w:p w14:paraId="485A0091" w14:textId="77777777" w:rsidR="00B71C79" w:rsidRPr="00C92F0B" w:rsidRDefault="00B71C79" w:rsidP="00983A32">
      <w:pPr>
        <w:jc w:val="both"/>
      </w:pPr>
      <w:r w:rsidRPr="00C92F0B">
        <w:t>Una delle prime decisioni prese dai Consigli è stata quella di pianificare una donazione annuale in occasione della Giornata Mondiale del Malato, che cade ogni 11 febbraio.</w:t>
      </w:r>
    </w:p>
    <w:p w14:paraId="634D9CDE" w14:textId="77777777" w:rsidR="00B71C79" w:rsidRPr="00955932" w:rsidRDefault="00B71C79" w:rsidP="00983A32">
      <w:pPr>
        <w:jc w:val="both"/>
      </w:pPr>
      <w:r w:rsidRPr="00C92F0B">
        <w:lastRenderedPageBreak/>
        <w:t xml:space="preserve">Prosegue così </w:t>
      </w:r>
      <w:r w:rsidRPr="00955932">
        <w:t>l'impegno delle istituzioni a Todi per una rinnovata "alleanza terapeutica" tra medico, paziente e familiare. La donazione, inoltre, acquista ancora più significato ricorrendo, in febbraio, l’anniversario della morte di Angelo Cortesi.</w:t>
      </w:r>
    </w:p>
    <w:p w14:paraId="0BECF94D" w14:textId="25515CFB" w:rsidR="00955932" w:rsidRPr="00955932" w:rsidRDefault="00955932" w:rsidP="00955932">
      <w:pPr>
        <w:jc w:val="both"/>
      </w:pPr>
      <w:r w:rsidRPr="00955932">
        <w:t xml:space="preserve">In particolare per l’anno 2025 la cerimonia di consegna si è svolta il 2 aprile 2025, in concomitanza con l'anniversario della scomparsa di San Giovanni Paolo II, il pontefice che istituì la Giornata Mondiale del Malato. </w:t>
      </w:r>
    </w:p>
    <w:p w14:paraId="1D24BD2A" w14:textId="20DDA7F0" w:rsidR="00955932" w:rsidRPr="00955932" w:rsidRDefault="00955932" w:rsidP="00955932">
      <w:pPr>
        <w:jc w:val="both"/>
      </w:pPr>
      <w:r w:rsidRPr="00955932">
        <w:t xml:space="preserve">L’amministrazione dell’APSP Veralli Cortesi ha regalato a ETAB un quadro raffigurante il Tempio di Santa Maria della Consolazione realizzato dagli ospiti della residenza protetta attualmente esposto presso  la </w:t>
      </w:r>
      <w:r w:rsidRPr="00955932">
        <w:rPr>
          <w:i/>
          <w:iCs/>
        </w:rPr>
        <w:t>Casa delle Associazioni Dr. Giovanni Bacarini Morettini</w:t>
      </w:r>
      <w:r w:rsidRPr="00955932">
        <w:t>.</w:t>
      </w:r>
    </w:p>
    <w:p w14:paraId="4B85B688" w14:textId="77777777" w:rsidR="00955932" w:rsidRPr="00955932" w:rsidRDefault="00955932" w:rsidP="00955932">
      <w:pPr>
        <w:jc w:val="both"/>
      </w:pPr>
      <w:r w:rsidRPr="00955932">
        <w:t>Le apparecchiature donate, selezionate in collaborazione con la responsabile sanitaria della residenza, sono:</w:t>
      </w:r>
    </w:p>
    <w:p w14:paraId="32CE915A" w14:textId="77777777" w:rsidR="00955932" w:rsidRPr="00955932" w:rsidRDefault="00955932" w:rsidP="00955932">
      <w:pPr>
        <w:pStyle w:val="Paragrafoelenco"/>
        <w:numPr>
          <w:ilvl w:val="0"/>
          <w:numId w:val="54"/>
        </w:numPr>
        <w:jc w:val="both"/>
        <w:rPr>
          <w:rFonts w:ascii="Times New Roman" w:hAnsi="Times New Roman"/>
          <w:sz w:val="24"/>
          <w:szCs w:val="24"/>
        </w:rPr>
      </w:pPr>
      <w:r w:rsidRPr="00955932">
        <w:rPr>
          <w:rFonts w:ascii="Times New Roman" w:hAnsi="Times New Roman"/>
          <w:sz w:val="24"/>
          <w:szCs w:val="24"/>
        </w:rPr>
        <w:t>PC-300 monitor multiparametrico portatile: un dispositivo versatile che consente il monitoraggio continuo di parametri vitali quali la saturazione di ossigeno (SpO2), la pressione arteriosa non invasiva (NIBP) e la temperatura. Questo monitor offre inoltre la possibilità di integrare funzionalità aggiuntive come l'elettrocardiogramma (ECG) e il glucometro, per una valutazione completa delle condizioni del paziente.</w:t>
      </w:r>
    </w:p>
    <w:p w14:paraId="6FBC3B90" w14:textId="77777777" w:rsidR="00955932" w:rsidRPr="00955932" w:rsidRDefault="00955932" w:rsidP="00955932">
      <w:pPr>
        <w:pStyle w:val="Paragrafoelenco"/>
        <w:numPr>
          <w:ilvl w:val="0"/>
          <w:numId w:val="54"/>
        </w:numPr>
        <w:jc w:val="both"/>
        <w:rPr>
          <w:rFonts w:ascii="Times New Roman" w:hAnsi="Times New Roman"/>
          <w:sz w:val="24"/>
          <w:szCs w:val="24"/>
        </w:rPr>
      </w:pPr>
      <w:r w:rsidRPr="00955932">
        <w:rPr>
          <w:rFonts w:ascii="Times New Roman" w:hAnsi="Times New Roman"/>
          <w:sz w:val="24"/>
          <w:szCs w:val="24"/>
        </w:rPr>
        <w:t>Monitor multiparametrico Vital PRO-SNET: un dispositivo avanzato che permette il monitoraggio simultaneo di SpO2, NIBP, ECG e temperatura, fornendo un quadro dettagliato dello stato di salute del paziente.</w:t>
      </w:r>
    </w:p>
    <w:p w14:paraId="4B8F63EA" w14:textId="77777777" w:rsidR="00955932" w:rsidRPr="00955932" w:rsidRDefault="00955932" w:rsidP="00955932">
      <w:pPr>
        <w:jc w:val="both"/>
      </w:pPr>
      <w:r w:rsidRPr="00955932">
        <w:t>Queste apparecchiature all'avanguardia consentiranno al personale sanitario della residenza di monitorare con maggiore precisione e tempestività le condizioni di salute degli ospiti, garantendo interventi più efficaci e personalizzati.</w:t>
      </w:r>
    </w:p>
    <w:p w14:paraId="2350C6C7" w14:textId="77777777" w:rsidR="00955932" w:rsidRDefault="00955932" w:rsidP="00955932">
      <w:pPr>
        <w:jc w:val="both"/>
      </w:pPr>
      <w:r w:rsidRPr="00955932">
        <w:t>La donazione rappresenta un segno tangibile dell'attenzione delle IPAB di Todi verso il benessere degli anziani e della volontà di fornire loro un'assistenza sanitaria di elevata qualità in piena conformità con i dettami statutari e dei principi desumibili</w:t>
      </w:r>
      <w:r>
        <w:t xml:space="preserve"> dalle tavole di fondazione.</w:t>
      </w:r>
    </w:p>
    <w:p w14:paraId="76AF3828" w14:textId="77777777" w:rsidR="00C91302" w:rsidRDefault="00C91302" w:rsidP="00983A32">
      <w:pPr>
        <w:rPr>
          <w:b/>
          <w:bCs/>
          <w:color w:val="C00000"/>
        </w:rPr>
      </w:pPr>
    </w:p>
    <w:p w14:paraId="7C70FC9D" w14:textId="12D51BBD" w:rsidR="00644460" w:rsidRPr="008808D6" w:rsidRDefault="00C91302" w:rsidP="00983A32">
      <w:pPr>
        <w:rPr>
          <w:b/>
          <w:bCs/>
        </w:rPr>
      </w:pPr>
      <w:r w:rsidRPr="008808D6">
        <w:rPr>
          <w:b/>
          <w:bCs/>
        </w:rPr>
        <w:t xml:space="preserve">4. </w:t>
      </w:r>
      <w:r w:rsidR="009A2176" w:rsidRPr="008808D6">
        <w:rPr>
          <w:b/>
          <w:bCs/>
        </w:rPr>
        <w:t>ATTIVITÀ CULTURALI</w:t>
      </w:r>
    </w:p>
    <w:p w14:paraId="06F75D35" w14:textId="77777777" w:rsidR="009A2176" w:rsidRPr="008808D6" w:rsidRDefault="009A2176" w:rsidP="00983A32">
      <w:pPr>
        <w:rPr>
          <w:b/>
          <w:bCs/>
        </w:rPr>
      </w:pPr>
    </w:p>
    <w:p w14:paraId="4CFBBB39" w14:textId="67E8C046" w:rsidR="00644460" w:rsidRPr="008808D6" w:rsidRDefault="00644460" w:rsidP="00983A32">
      <w:pPr>
        <w:rPr>
          <w:u w:val="single"/>
        </w:rPr>
      </w:pPr>
      <w:r w:rsidRPr="008808D6">
        <w:rPr>
          <w:u w:val="single"/>
        </w:rPr>
        <w:t xml:space="preserve">Concorso </w:t>
      </w:r>
      <w:r w:rsidR="009F581F" w:rsidRPr="008808D6">
        <w:rPr>
          <w:u w:val="single"/>
        </w:rPr>
        <w:t xml:space="preserve">di poesia </w:t>
      </w:r>
      <w:r w:rsidRPr="008808D6">
        <w:rPr>
          <w:u w:val="single"/>
        </w:rPr>
        <w:t>TODI LA CITTA’ CHE AMO</w:t>
      </w:r>
    </w:p>
    <w:p w14:paraId="67F0D4C5" w14:textId="77777777" w:rsidR="00955932" w:rsidRDefault="00630A3F" w:rsidP="00983A32">
      <w:r w:rsidRPr="008808D6">
        <w:t xml:space="preserve">Il concorso dell’anno 2024 </w:t>
      </w:r>
      <w:r w:rsidR="00783016" w:rsidRPr="008808D6">
        <w:t>dedicato ai 100 anni della Radio</w:t>
      </w:r>
      <w:r w:rsidR="00955932">
        <w:t>, ha registrato</w:t>
      </w:r>
      <w:r w:rsidR="00783016" w:rsidRPr="008808D6">
        <w:t xml:space="preserve"> </w:t>
      </w:r>
      <w:r w:rsidR="00955932">
        <w:t xml:space="preserve">un </w:t>
      </w:r>
      <w:r w:rsidRPr="008808D6">
        <w:t>record assoluto di elaborati</w:t>
      </w:r>
      <w:r w:rsidR="00955932">
        <w:t xml:space="preserve"> e quindi di istanze di partecipazione</w:t>
      </w:r>
      <w:r w:rsidRPr="008808D6">
        <w:t>.</w:t>
      </w:r>
      <w:r w:rsidR="00783016" w:rsidRPr="008808D6">
        <w:t xml:space="preserve"> </w:t>
      </w:r>
    </w:p>
    <w:p w14:paraId="0198E68F" w14:textId="77777777" w:rsidR="00955932" w:rsidRDefault="00955932" w:rsidP="00983A32">
      <w:pPr>
        <w:rPr>
          <w:color w:val="EE0000"/>
        </w:rPr>
      </w:pPr>
    </w:p>
    <w:p w14:paraId="1F0987A0" w14:textId="6CAB4592" w:rsidR="00644460" w:rsidRPr="008808D6" w:rsidRDefault="00644460" w:rsidP="00983A32">
      <w:pPr>
        <w:rPr>
          <w:u w:val="single"/>
        </w:rPr>
      </w:pPr>
      <w:r w:rsidRPr="008808D6">
        <w:rPr>
          <w:u w:val="single"/>
        </w:rPr>
        <w:t>TODIFESTIVAL</w:t>
      </w:r>
    </w:p>
    <w:p w14:paraId="4BA4D72C" w14:textId="77777777" w:rsidR="00644460" w:rsidRPr="00331F90" w:rsidRDefault="00644460" w:rsidP="00983A32">
      <w:pPr>
        <w:jc w:val="both"/>
      </w:pPr>
      <w:r w:rsidRPr="008808D6">
        <w:t xml:space="preserve">L’Ente ha partecipato attivamente alle edizioni 2013, 2016, 2017, 2018, 2019, 2020 e 2021 del Todi Festival mettendo a disposizione un contributo per ciascun anno. La collaborazione, anche nel 2021, è andata ben </w:t>
      </w:r>
      <w:r w:rsidRPr="00331F90">
        <w:t>oltre il contributo economico per una delle più importanti manifestazioni cittadine; alcuni spettacoli ed eventi hanno visto protagonisti le ragazze del DCA Palazzo Francisci e del centro diurno “Nido delle Rondini”. Nel 2022 è stato riconosciuto un contributo di Euro 2.000,00 erogato agli inizi del 2023. Nel 2023 e 2024 il contributo di Euro 2.000,00 è stato confermato.</w:t>
      </w:r>
    </w:p>
    <w:p w14:paraId="411EDE7B" w14:textId="5410EEC2" w:rsidR="00955932" w:rsidRPr="00331F90" w:rsidRDefault="00955932" w:rsidP="00983A32">
      <w:pPr>
        <w:jc w:val="both"/>
      </w:pPr>
      <w:r w:rsidRPr="00331F90">
        <w:t>Per l’anno 2025 il contributo consiste:</w:t>
      </w:r>
    </w:p>
    <w:p w14:paraId="4695E100" w14:textId="21A60C0F" w:rsidR="00955932" w:rsidRPr="00331F90" w:rsidRDefault="00955932" w:rsidP="00D77C59">
      <w:pPr>
        <w:pStyle w:val="Paragrafoelenco"/>
        <w:numPr>
          <w:ilvl w:val="0"/>
          <w:numId w:val="68"/>
        </w:numPr>
        <w:jc w:val="both"/>
        <w:rPr>
          <w:rFonts w:ascii="Times New Roman" w:hAnsi="Times New Roman"/>
        </w:rPr>
      </w:pPr>
      <w:r w:rsidRPr="00331F90">
        <w:rPr>
          <w:rFonts w:ascii="Times New Roman" w:hAnsi="Times New Roman"/>
        </w:rPr>
        <w:t>nel mettere a disposizione del Comune i locali ex Mps (istanza da formalizzare anticipata nelle vie brevi)</w:t>
      </w:r>
      <w:r w:rsidR="0086204C" w:rsidRPr="00331F90">
        <w:rPr>
          <w:rFonts w:ascii="Times New Roman" w:hAnsi="Times New Roman"/>
        </w:rPr>
        <w:t xml:space="preserve"> con oneri per allaccio acqua e tari.</w:t>
      </w:r>
    </w:p>
    <w:p w14:paraId="2EDE0F0E" w14:textId="3C48BB29" w:rsidR="00955932" w:rsidRPr="00331F90" w:rsidRDefault="00955932" w:rsidP="00D77C59">
      <w:pPr>
        <w:pStyle w:val="Paragrafoelenco"/>
        <w:numPr>
          <w:ilvl w:val="0"/>
          <w:numId w:val="68"/>
        </w:numPr>
        <w:jc w:val="both"/>
        <w:rPr>
          <w:rFonts w:ascii="Times New Roman" w:hAnsi="Times New Roman"/>
        </w:rPr>
      </w:pPr>
      <w:r w:rsidRPr="00331F90">
        <w:rPr>
          <w:rFonts w:ascii="Times New Roman" w:hAnsi="Times New Roman"/>
        </w:rPr>
        <w:t>organizzare il concorso di domenica 7.9.2025 presso il chiostro del Liceo Jacopone con Brando Maria Medici e il Violino tirolese, attribuito Klotz.</w:t>
      </w:r>
    </w:p>
    <w:p w14:paraId="57C1E8BF" w14:textId="77777777" w:rsidR="00B12938" w:rsidRPr="00331F90" w:rsidRDefault="00B12938" w:rsidP="00F34B6A">
      <w:pPr>
        <w:rPr>
          <w:b/>
          <w:bCs/>
        </w:rPr>
      </w:pPr>
    </w:p>
    <w:p w14:paraId="68D376F3" w14:textId="06F241C7" w:rsidR="006E3E70" w:rsidRPr="00331F90" w:rsidRDefault="006E3E70" w:rsidP="00983A32">
      <w:pPr>
        <w:rPr>
          <w:bCs/>
          <w:u w:val="single"/>
        </w:rPr>
      </w:pPr>
      <w:r w:rsidRPr="00331F90">
        <w:rPr>
          <w:bCs/>
          <w:u w:val="single"/>
        </w:rPr>
        <w:t>RESTAURO DEL VIOLINO KLOTZ E RASSEGNA A FEBBRAIO 2025</w:t>
      </w:r>
    </w:p>
    <w:p w14:paraId="6FB8E801" w14:textId="0698E25C" w:rsidR="001C64B7" w:rsidRPr="001C64B7" w:rsidRDefault="00783016" w:rsidP="001C64B7">
      <w:pPr>
        <w:jc w:val="both"/>
      </w:pPr>
      <w:r w:rsidRPr="00331F90">
        <w:t xml:space="preserve">Il restauro </w:t>
      </w:r>
      <w:r w:rsidR="00955932" w:rsidRPr="00331F90">
        <w:t>completato ha consentito</w:t>
      </w:r>
      <w:r w:rsidRPr="00331F90">
        <w:t xml:space="preserve"> </w:t>
      </w:r>
      <w:r w:rsidR="00955932" w:rsidRPr="00331F90">
        <w:t xml:space="preserve">di realizzare la prima edizione della biennale </w:t>
      </w:r>
      <w:r w:rsidRPr="00331F90">
        <w:t>Todi, Città del violino.</w:t>
      </w:r>
      <w:r w:rsidR="006E3E70" w:rsidRPr="00331F90">
        <w:t xml:space="preserve"> </w:t>
      </w:r>
      <w:r w:rsidR="003367E4" w:rsidRPr="00331F90">
        <w:t xml:space="preserve"> </w:t>
      </w:r>
      <w:r w:rsidR="001C64B7" w:rsidRPr="00331F90">
        <w:t xml:space="preserve">In occasione della ricorrenza del quinto anno dalla scomparsa e su proposta del Direttore </w:t>
      </w:r>
      <w:r w:rsidR="001C64B7" w:rsidRPr="00331F90">
        <w:lastRenderedPageBreak/>
        <w:t>Artistico Prof. Luca Venturi, celebra la memoria della prof.ssa Elisabetta Scappini, violinista e docente della Scuola Media “Cocchi-Aosta”, con l'istituzione di un</w:t>
      </w:r>
      <w:r w:rsidR="001C64B7" w:rsidRPr="001C64B7">
        <w:t xml:space="preserve"> premio a lei dedicato.</w:t>
      </w:r>
    </w:p>
    <w:p w14:paraId="23A97288" w14:textId="77777777" w:rsidR="001C64B7" w:rsidRPr="001C64B7" w:rsidRDefault="001C64B7" w:rsidP="001C64B7">
      <w:pPr>
        <w:jc w:val="both"/>
      </w:pPr>
      <w:r w:rsidRPr="001C64B7">
        <w:t>L'iniziativa si inserisce nella rassegna “Todi, Città del Violino”, che si terrà dal 21 al 23 febbraio 2025, con un ricco programma di eventi musicali volti a valorizzare la tradizione violinistica e il talento giovanile.</w:t>
      </w:r>
    </w:p>
    <w:p w14:paraId="369B7FA2" w14:textId="77777777" w:rsidR="001C64B7" w:rsidRPr="001C64B7" w:rsidRDefault="001C64B7" w:rsidP="001C64B7">
      <w:pPr>
        <w:jc w:val="both"/>
      </w:pPr>
      <w:r w:rsidRPr="001C64B7">
        <w:t>Il premio, del valore complessivo di 1.000 euro, sarà destinato a due studenti finalisti (500 euro ciascuno) partecipanti al concorso per l'assegnazione dei prestigiosi violini di fine Settecento appartenenti a ETAB, offrendo loro un'opportunità unica per il loro percorso artistico.</w:t>
      </w:r>
    </w:p>
    <w:p w14:paraId="01B557EF" w14:textId="77777777" w:rsidR="001C64B7" w:rsidRDefault="001C64B7" w:rsidP="00983A32">
      <w:pPr>
        <w:jc w:val="both"/>
      </w:pPr>
    </w:p>
    <w:p w14:paraId="4F706629" w14:textId="77777777" w:rsidR="001C64B7" w:rsidRPr="008808D6" w:rsidRDefault="001C64B7" w:rsidP="00983A32">
      <w:pPr>
        <w:jc w:val="both"/>
      </w:pPr>
    </w:p>
    <w:p w14:paraId="17EB0E44" w14:textId="6D0314F0" w:rsidR="00B624E8" w:rsidRDefault="00783016" w:rsidP="00983A32">
      <w:pPr>
        <w:jc w:val="both"/>
      </w:pPr>
      <w:r w:rsidRPr="008808D6">
        <w:t xml:space="preserve">Si esprime soddisfazione intanto per i numeri del concorso e della masterclasses </w:t>
      </w:r>
      <w:r>
        <w:t>davvero rilevanti alla prima edizione.</w:t>
      </w:r>
      <w:r w:rsidR="00CC0039">
        <w:t xml:space="preserve"> Sono risultati vincitori </w:t>
      </w:r>
      <w:r w:rsidR="00CC0039" w:rsidRPr="00CC0039">
        <w:t xml:space="preserve">Sofia De Martis di Trieste e Brando Maria Medici di Canino (VT) </w:t>
      </w:r>
      <w:r w:rsidR="00CC0039">
        <w:t>che hanno dato luogo ad un suggestivo concerto in data 22.02.2025</w:t>
      </w:r>
      <w:r w:rsidR="00CC0039" w:rsidRPr="00CC0039">
        <w:t>.</w:t>
      </w:r>
    </w:p>
    <w:p w14:paraId="09D53C0B" w14:textId="360A9DF6" w:rsidR="00CC0039" w:rsidRDefault="00CC0039" w:rsidP="00983A32">
      <w:pPr>
        <w:jc w:val="both"/>
      </w:pPr>
      <w:r w:rsidRPr="00CC0039">
        <w:t>Brando Maria Medici</w:t>
      </w:r>
      <w:r>
        <w:t xml:space="preserve"> parteciperà al Todi Festival (7.9.25) e </w:t>
      </w:r>
      <w:r w:rsidRPr="00CC0039">
        <w:t>Sofia De Martis</w:t>
      </w:r>
      <w:r>
        <w:t xml:space="preserve"> che esporterà il violino al Conservatorio di Amsterdam terrà un concerto i primi di agosto nell’ambito del Festival di Musica Classica al lago di Piediluco. </w:t>
      </w:r>
    </w:p>
    <w:p w14:paraId="5EBD5454" w14:textId="77777777" w:rsidR="00783016" w:rsidRDefault="00783016" w:rsidP="00983A32">
      <w:pPr>
        <w:jc w:val="both"/>
      </w:pPr>
    </w:p>
    <w:p w14:paraId="5C940ACB" w14:textId="77777777" w:rsidR="008808D6" w:rsidRDefault="00B624E8" w:rsidP="00983A32">
      <w:pPr>
        <w:jc w:val="both"/>
        <w:rPr>
          <w:b/>
          <w:bCs/>
        </w:rPr>
      </w:pPr>
      <w:r w:rsidRPr="008808D6">
        <w:rPr>
          <w:u w:val="single"/>
        </w:rPr>
        <w:t xml:space="preserve">FESTIVAL DI MUSICA SACRA </w:t>
      </w:r>
      <w:r w:rsidR="00A832A7" w:rsidRPr="008808D6">
        <w:rPr>
          <w:b/>
          <w:bCs/>
        </w:rPr>
        <w:t xml:space="preserve"> </w:t>
      </w:r>
    </w:p>
    <w:p w14:paraId="1EB29F42" w14:textId="366EEDE1" w:rsidR="00B624E8" w:rsidRPr="008808D6" w:rsidRDefault="00B624E8" w:rsidP="00983A32">
      <w:pPr>
        <w:jc w:val="both"/>
      </w:pPr>
      <w:r w:rsidRPr="008808D6">
        <w:t xml:space="preserve">nell’ambito dei festeggiamenti </w:t>
      </w:r>
      <w:r w:rsidR="0081411F" w:rsidRPr="008808D6">
        <w:t xml:space="preserve">per la ricorrenza </w:t>
      </w:r>
      <w:r w:rsidR="00A832A7" w:rsidRPr="008808D6">
        <w:t xml:space="preserve">di Santa Maria della </w:t>
      </w:r>
      <w:r w:rsidR="00EA590D" w:rsidRPr="008808D6">
        <w:t>Consolazione al cui paragrafo di rimanda</w:t>
      </w:r>
      <w:r w:rsidR="008808D6">
        <w:t>.</w:t>
      </w:r>
      <w:r w:rsidR="00EA590D" w:rsidRPr="008808D6">
        <w:t xml:space="preserve"> </w:t>
      </w:r>
    </w:p>
    <w:p w14:paraId="1EB1E590" w14:textId="77777777" w:rsidR="00593537" w:rsidRDefault="00593537" w:rsidP="00983A32">
      <w:pPr>
        <w:jc w:val="both"/>
      </w:pPr>
    </w:p>
    <w:p w14:paraId="455335B4" w14:textId="12AC5332" w:rsidR="00EB5683" w:rsidRPr="00EB5683" w:rsidRDefault="00EB5683" w:rsidP="00EB5683">
      <w:pPr>
        <w:jc w:val="both"/>
        <w:rPr>
          <w:u w:val="single"/>
        </w:rPr>
      </w:pPr>
      <w:r w:rsidRPr="00EB5683">
        <w:rPr>
          <w:u w:val="single"/>
        </w:rPr>
        <w:t>Mostra sulla Guardia Civica e Pio IX</w:t>
      </w:r>
    </w:p>
    <w:p w14:paraId="6D6D56CD" w14:textId="71EB5FDE" w:rsidR="00EB5683" w:rsidRDefault="00EB5683" w:rsidP="00EB5683">
      <w:pPr>
        <w:jc w:val="both"/>
      </w:pPr>
      <w:r>
        <w:t xml:space="preserve">Nel periodo 11.10.2025 e fino al termine delle festività natalizie </w:t>
      </w:r>
      <w:r w:rsidR="00593537" w:rsidRPr="00F34B6A">
        <w:t xml:space="preserve">presso il Palazzo del Vignola </w:t>
      </w:r>
      <w:r>
        <w:t xml:space="preserve">è stata allestita </w:t>
      </w:r>
      <w:r w:rsidR="00593537" w:rsidRPr="00F34B6A">
        <w:t>la</w:t>
      </w:r>
      <w:r>
        <w:t xml:space="preserve"> mostra </w:t>
      </w:r>
      <w:r w:rsidR="00593537" w:rsidRPr="00F34B6A">
        <w:t xml:space="preserve"> </w:t>
      </w:r>
      <w:r>
        <w:t xml:space="preserve">sulla </w:t>
      </w:r>
      <w:r w:rsidRPr="00F34B6A">
        <w:t>Mostra sulla Guardia Civica</w:t>
      </w:r>
      <w:r>
        <w:t xml:space="preserve"> e Pio IX</w:t>
      </w:r>
      <w:r w:rsidRPr="00F34B6A">
        <w:t xml:space="preserve"> in collaborazione con il Comune di Todi (Servizio Cultura), la Soprintendenza BAP Perugia (Dr.ssa Furelli), l’Oplologo Dr. Glauco Angeletti e con il gruppo cooperativo Anteo di Biella.</w:t>
      </w:r>
      <w:r w:rsidR="00CC0039">
        <w:t xml:space="preserve"> La mostra i cui pezzi provenivano da tutta Italia (Museo Civico Bolsena, Museo Mastai di Senigallia, Museo del Risorgimento di Barletta, Museo del Risorgimento di Bologna e numerose collezioni private) è stata resa possibile grazie al contributo dell’Associazione Nazionale Carabinieri. Si esprime soddisfazione in quanto è la prima esperienza di ETAB, ma una delle pochissime nella nostra Regione di collaborazione attive con la Soprintendenza che ha scelto Todi per realizzare le proprie iniziative.</w:t>
      </w:r>
    </w:p>
    <w:p w14:paraId="12FD8099" w14:textId="77777777" w:rsidR="00F43051" w:rsidRDefault="00F43051" w:rsidP="00EB5683">
      <w:pPr>
        <w:jc w:val="both"/>
      </w:pPr>
    </w:p>
    <w:p w14:paraId="547B0B13" w14:textId="2C06AB37" w:rsidR="00F43051" w:rsidRPr="000F477A" w:rsidRDefault="00F43051" w:rsidP="00EB5683">
      <w:pPr>
        <w:jc w:val="both"/>
        <w:rPr>
          <w:u w:val="single"/>
        </w:rPr>
      </w:pPr>
      <w:r w:rsidRPr="000F477A">
        <w:rPr>
          <w:u w:val="single"/>
        </w:rPr>
        <w:t>IMMAGINA TODI FIORITA</w:t>
      </w:r>
    </w:p>
    <w:p w14:paraId="23D23DF3" w14:textId="328BC4C8" w:rsidR="00F43051" w:rsidRDefault="00F43051" w:rsidP="00EB5683">
      <w:pPr>
        <w:jc w:val="both"/>
      </w:pPr>
      <w:r>
        <w:t xml:space="preserve">Nel maggio 2024 e 2025 è ripreso il consueto appuntamento di ETAB Immagina Todi Fiorita nell’ambito della rassegna Todi Fiorita rivolto a tutti gli amanti delle attività grafico pittoriche. </w:t>
      </w:r>
    </w:p>
    <w:p w14:paraId="743841BB" w14:textId="77777777" w:rsidR="000F477A" w:rsidRDefault="000F477A" w:rsidP="00EB5683">
      <w:pPr>
        <w:jc w:val="both"/>
      </w:pPr>
    </w:p>
    <w:p w14:paraId="01558E69" w14:textId="7B589EA3" w:rsidR="000F477A" w:rsidRPr="000F477A" w:rsidRDefault="000F477A" w:rsidP="000F477A">
      <w:pPr>
        <w:jc w:val="both"/>
        <w:rPr>
          <w:u w:val="single"/>
        </w:rPr>
      </w:pPr>
      <w:r w:rsidRPr="000F477A">
        <w:rPr>
          <w:u w:val="single"/>
        </w:rPr>
        <w:t>Programma Estivo Internazionale dell'AAMS</w:t>
      </w:r>
      <w:r w:rsidRPr="000F477A">
        <w:rPr>
          <w:u w:val="single"/>
        </w:rPr>
        <w:t xml:space="preserve"> a Todi</w:t>
      </w:r>
    </w:p>
    <w:p w14:paraId="018283E5" w14:textId="67A52144" w:rsidR="000F477A" w:rsidRDefault="000F477A" w:rsidP="000F477A">
      <w:pPr>
        <w:jc w:val="both"/>
      </w:pPr>
      <w:r>
        <w:t xml:space="preserve">Il Programma Estivo Internazionale dell'AAMS </w:t>
      </w:r>
      <w:r>
        <w:t xml:space="preserve">dal 2024 e anche nel 2025 si è svolto a Todi con concerti di musica sacra presso il Tempio della Consolazione grazie alla collaborazione con The Language Center e l’Associazione </w:t>
      </w:r>
      <w:r>
        <w:t>La Lingua La Vita</w:t>
      </w:r>
      <w:r>
        <w:t>.</w:t>
      </w:r>
    </w:p>
    <w:p w14:paraId="4812BAE4" w14:textId="77777777" w:rsidR="00A129D2" w:rsidRDefault="00A129D2" w:rsidP="000F477A">
      <w:pPr>
        <w:jc w:val="both"/>
      </w:pPr>
    </w:p>
    <w:p w14:paraId="28F24C1A" w14:textId="0580F088" w:rsidR="00A129D2" w:rsidRPr="00A129D2" w:rsidRDefault="00A129D2" w:rsidP="000F477A">
      <w:pPr>
        <w:jc w:val="both"/>
        <w:rPr>
          <w:u w:val="single"/>
        </w:rPr>
      </w:pPr>
      <w:r w:rsidRPr="00A129D2">
        <w:rPr>
          <w:u w:val="single"/>
        </w:rPr>
        <w:t>Festival Liberare la Bellezza</w:t>
      </w:r>
    </w:p>
    <w:p w14:paraId="749CCC7E" w14:textId="135580D3" w:rsidR="00A129D2" w:rsidRDefault="00A129D2" w:rsidP="000F477A">
      <w:pPr>
        <w:jc w:val="both"/>
      </w:pPr>
      <w:r>
        <w:t>L’Ente ha sostenuto le edizioni 2024 e 2025 del Festival Liberare la Bellezza ideato dall’omonima associazione e sotto la direzione artistica del Prof. Alberto Di Giglio.</w:t>
      </w:r>
    </w:p>
    <w:p w14:paraId="120BBBAE" w14:textId="77777777" w:rsidR="00957DD2" w:rsidRDefault="00957DD2" w:rsidP="000F477A">
      <w:pPr>
        <w:jc w:val="both"/>
      </w:pPr>
    </w:p>
    <w:p w14:paraId="66394E7F" w14:textId="759BB9A9" w:rsidR="00957DD2" w:rsidRPr="00957DD2" w:rsidRDefault="00957DD2" w:rsidP="00957DD2">
      <w:pPr>
        <w:jc w:val="both"/>
        <w:rPr>
          <w:u w:val="single"/>
        </w:rPr>
      </w:pPr>
      <w:r w:rsidRPr="00957DD2">
        <w:rPr>
          <w:u w:val="single"/>
        </w:rPr>
        <w:t>Mercati di Natale presso i locali di ETAB (ex Mps Spa)</w:t>
      </w:r>
    </w:p>
    <w:p w14:paraId="11FD1D16" w14:textId="11434B1A" w:rsidR="00957DD2" w:rsidRDefault="00957DD2" w:rsidP="00957DD2">
      <w:pPr>
        <w:jc w:val="both"/>
      </w:pPr>
      <w:r>
        <w:t>Lo spazio</w:t>
      </w:r>
      <w:r>
        <w:t xml:space="preserve"> su richiesta del Comune di Todi è stato concesso nel periodo natalizio 2024/2025 per la realizzazione dei mercatini di Natale nelle more di sottoscrizione dell’atto di compravendita con la Soc. MPS Spa</w:t>
      </w:r>
      <w:r w:rsidR="00032EC9">
        <w:t xml:space="preserve"> (per la parte dei locali che in seguito sono stati acqu</w:t>
      </w:r>
      <w:r w:rsidR="00990D18">
        <w:t>i</w:t>
      </w:r>
      <w:r w:rsidR="00032EC9">
        <w:t>stati)</w:t>
      </w:r>
      <w:r>
        <w:t>.</w:t>
      </w:r>
    </w:p>
    <w:p w14:paraId="3E5D48FF" w14:textId="77777777" w:rsidR="002B7508" w:rsidRDefault="002B7508" w:rsidP="00983A32">
      <w:pPr>
        <w:jc w:val="both"/>
        <w:rPr>
          <w:color w:val="C00000"/>
        </w:rPr>
      </w:pPr>
    </w:p>
    <w:p w14:paraId="35554B46" w14:textId="439D89AA" w:rsidR="00990D18" w:rsidRPr="00990D18" w:rsidRDefault="00990D18" w:rsidP="00990D18">
      <w:pPr>
        <w:jc w:val="both"/>
        <w:rPr>
          <w:u w:val="single"/>
        </w:rPr>
      </w:pPr>
      <w:r w:rsidRPr="00990D18">
        <w:rPr>
          <w:u w:val="single"/>
        </w:rPr>
        <w:t>Amati Festival</w:t>
      </w:r>
    </w:p>
    <w:p w14:paraId="16B4744F" w14:textId="725D7FD3" w:rsidR="00990D18" w:rsidRDefault="00990D18" w:rsidP="00990D18">
      <w:pPr>
        <w:jc w:val="both"/>
      </w:pPr>
      <w:r w:rsidRPr="00990D18">
        <w:lastRenderedPageBreak/>
        <w:t xml:space="preserve">Il giorno 26.3.2025 alla Sala Nassirya del Senato della Repubblica è stata presentata la seconda edizione di Amati Festival, che si </w:t>
      </w:r>
      <w:r w:rsidRPr="00990D18">
        <w:t xml:space="preserve">è tenuta </w:t>
      </w:r>
      <w:r w:rsidRPr="00990D18">
        <w:t xml:space="preserve">a Todi dal 31 maggio al 2 </w:t>
      </w:r>
      <w:proofErr w:type="spellStart"/>
      <w:r w:rsidRPr="00990D18">
        <w:t>giugno.L'iniziativa</w:t>
      </w:r>
      <w:proofErr w:type="spellEnd"/>
      <w:r w:rsidRPr="00990D18">
        <w:t xml:space="preserve"> si propone di sensibilizzare ai temi dei Disturbi del Comportamento Alimentare e di contribuire alla prevenzione di quella che è ormai una vera e propria epidemia sociale e sanitaria.</w:t>
      </w:r>
    </w:p>
    <w:p w14:paraId="299327E1" w14:textId="77777777" w:rsidR="00990D18" w:rsidRDefault="00990D18" w:rsidP="00990D18">
      <w:pPr>
        <w:jc w:val="both"/>
      </w:pPr>
    </w:p>
    <w:p w14:paraId="62EE1894" w14:textId="77777777" w:rsidR="00990D18" w:rsidRPr="00987489" w:rsidRDefault="00990D18" w:rsidP="00990D18">
      <w:pPr>
        <w:jc w:val="both"/>
        <w:rPr>
          <w:u w:val="single"/>
        </w:rPr>
      </w:pPr>
      <w:r w:rsidRPr="00987489">
        <w:rPr>
          <w:u w:val="single"/>
        </w:rPr>
        <w:t>"</w:t>
      </w:r>
      <w:proofErr w:type="spellStart"/>
      <w:r w:rsidRPr="00987489">
        <w:rPr>
          <w:u w:val="single"/>
        </w:rPr>
        <w:t>Eja</w:t>
      </w:r>
      <w:proofErr w:type="spellEnd"/>
      <w:r w:rsidRPr="00987489">
        <w:rPr>
          <w:u w:val="single"/>
        </w:rPr>
        <w:t xml:space="preserve"> Mater, Fons </w:t>
      </w:r>
      <w:proofErr w:type="spellStart"/>
      <w:r w:rsidRPr="00987489">
        <w:rPr>
          <w:u w:val="single"/>
        </w:rPr>
        <w:t>Amoris</w:t>
      </w:r>
      <w:proofErr w:type="spellEnd"/>
      <w:r w:rsidRPr="00987489">
        <w:rPr>
          <w:u w:val="single"/>
        </w:rPr>
        <w:t>"</w:t>
      </w:r>
    </w:p>
    <w:p w14:paraId="183E152B" w14:textId="247B936E" w:rsidR="00990D18" w:rsidRDefault="00990D18" w:rsidP="00990D18">
      <w:pPr>
        <w:jc w:val="both"/>
      </w:pPr>
      <w:r>
        <w:t>Un Concerto di Profonda Emozione</w:t>
      </w:r>
      <w:r>
        <w:t xml:space="preserve"> si è tenuto</w:t>
      </w:r>
      <w:r>
        <w:t xml:space="preserve"> sabato 12 aprile 2025 al Tempio di Santa Maria della Consolazione a Todi organizzato da ETAB e Comune di Todi nell‘imminenza dei riti religiosi della settimana santa.</w:t>
      </w:r>
      <w:r>
        <w:t xml:space="preserve"> </w:t>
      </w:r>
      <w:r>
        <w:t xml:space="preserve">Il suggestivo Tempio di Santa Maria della Consolazione a Todi </w:t>
      </w:r>
      <w:r>
        <w:t xml:space="preserve">è stato </w:t>
      </w:r>
      <w:r>
        <w:t>teatro di un evento musicale di straordinaria intensità emotiva: il concerto "</w:t>
      </w:r>
      <w:proofErr w:type="spellStart"/>
      <w:r>
        <w:t>Eja</w:t>
      </w:r>
      <w:proofErr w:type="spellEnd"/>
      <w:r>
        <w:t xml:space="preserve"> Mater, Fons </w:t>
      </w:r>
      <w:proofErr w:type="spellStart"/>
      <w:r>
        <w:t>Amoris</w:t>
      </w:r>
      <w:proofErr w:type="spellEnd"/>
      <w:r>
        <w:t>", un'esperienza che vedrà l'unione di coro e orchestra d'archi in un programma di rara bellezza.</w:t>
      </w:r>
      <w:r>
        <w:t xml:space="preserve"> </w:t>
      </w:r>
      <w:r>
        <w:t>Con un Programma di Profonda Spiritualità il concerto, su proposta del direttore artistico Marco Venturi, prevede</w:t>
      </w:r>
      <w:r>
        <w:t>va</w:t>
      </w:r>
      <w:r>
        <w:t xml:space="preserve"> due opere di grande impatto spirituale</w:t>
      </w:r>
      <w:r>
        <w:t xml:space="preserve">. </w:t>
      </w:r>
    </w:p>
    <w:p w14:paraId="188EE3D0" w14:textId="77777777" w:rsidR="00990D18" w:rsidRPr="00990D18" w:rsidRDefault="00990D18" w:rsidP="00983A32">
      <w:pPr>
        <w:jc w:val="both"/>
      </w:pPr>
    </w:p>
    <w:p w14:paraId="48CE59C7" w14:textId="1F1042CF" w:rsidR="002B7508" w:rsidRPr="008808D6" w:rsidRDefault="002B7508" w:rsidP="002B7508">
      <w:pPr>
        <w:jc w:val="both"/>
      </w:pPr>
      <w:r w:rsidRPr="008808D6">
        <w:rPr>
          <w:b/>
          <w:bCs/>
        </w:rPr>
        <w:t>4.1 INIZIATIVE EDITORIALI</w:t>
      </w:r>
    </w:p>
    <w:p w14:paraId="2F571391" w14:textId="77777777" w:rsidR="002B7508" w:rsidRDefault="002B7508" w:rsidP="00983A32">
      <w:pPr>
        <w:rPr>
          <w:b/>
          <w:bCs/>
        </w:rPr>
      </w:pPr>
    </w:p>
    <w:p w14:paraId="0C4FF434" w14:textId="71403CEC" w:rsidR="00EB5683" w:rsidRDefault="00EB5683" w:rsidP="00983A32">
      <w:pPr>
        <w:rPr>
          <w:b/>
          <w:bCs/>
        </w:rPr>
      </w:pPr>
      <w:r>
        <w:rPr>
          <w:b/>
          <w:bCs/>
        </w:rPr>
        <w:t>FOTOLIBRO – un Fiore di Pietra di Federico Strinati</w:t>
      </w:r>
    </w:p>
    <w:p w14:paraId="35A83A10" w14:textId="77777777" w:rsidR="00BA63D4" w:rsidRPr="00BA63D4" w:rsidRDefault="00BA63D4" w:rsidP="00BA63D4">
      <w:r w:rsidRPr="00BA63D4">
        <w:t>Il Tempio della Consolazione protagonista di una nuova, prestigiosa pubblicazione fotografica</w:t>
      </w:r>
    </w:p>
    <w:p w14:paraId="4A116672" w14:textId="4A3CB545" w:rsidR="00BA63D4" w:rsidRPr="00BA63D4" w:rsidRDefault="00BA63D4" w:rsidP="00BA63D4">
      <w:pPr>
        <w:jc w:val="both"/>
      </w:pPr>
      <w:r w:rsidRPr="00BA63D4">
        <w:t xml:space="preserve">La Consolazione ETAB, in collaborazione con il Comune di Todi, </w:t>
      </w:r>
      <w:r>
        <w:t>ha presentato lo scorso 14 giugno i</w:t>
      </w:r>
      <w:r w:rsidRPr="00BA63D4">
        <w:t>l fotolibro "UN FIORE DI PIETRA di Federico Strinati.</w:t>
      </w:r>
    </w:p>
    <w:p w14:paraId="18940FFD" w14:textId="77777777" w:rsidR="00BA63D4" w:rsidRPr="00BA63D4" w:rsidRDefault="00BA63D4" w:rsidP="00BA63D4">
      <w:pPr>
        <w:jc w:val="both"/>
      </w:pPr>
      <w:r w:rsidRPr="00BA63D4">
        <w:t>Questa nuova pubblicazione rappresenta la più significativa opera editoriale dedicata al monumento simbolo della città di Todi degli ultimi anni, capolavoro indiscusso del Rinascimento italiano e autentico “cuore di pietra” della comunità tuderte.</w:t>
      </w:r>
    </w:p>
    <w:p w14:paraId="033617F5" w14:textId="77777777" w:rsidR="00BA63D4" w:rsidRPr="00BA63D4" w:rsidRDefault="00BA63D4" w:rsidP="00BA63D4">
      <w:pPr>
        <w:jc w:val="both"/>
      </w:pPr>
      <w:r w:rsidRPr="00BA63D4">
        <w:t>Voluta e sostenuta con forza da La Consolazione ETAB, l’opera si inserisce nel solco delle iniziative avviate per valorizzare, divulgare e custodire la memoria storica e artistica del Tempio, nell’anno in cui si sono celebrati i 510 anni dalla morte di Donato Bramante (1514), figura chiave nella genesi del progetto architettonico.</w:t>
      </w:r>
    </w:p>
    <w:p w14:paraId="4D41CA93" w14:textId="77777777" w:rsidR="00BA63D4" w:rsidRPr="00BA63D4" w:rsidRDefault="00BA63D4" w:rsidP="00BA63D4">
      <w:pPr>
        <w:jc w:val="both"/>
      </w:pPr>
      <w:r w:rsidRPr="00BA63D4">
        <w:t>Il volume, curato da Federico e Claudio Strinati, raccoglie testi critici e didattici di Claudio Strinati, Federico Strinati, Filippo Orsini e Martina Pazzi, e un progetto grafico di Stefano Arciero, in un connubio armonico tra rigore scientifico e suggestione visiva. Le immagini inedite, scattate da Federico Strinati, restituiscono con intensità la bellezza eterna del Tempio, narrandone la materia, la luce e l’anima.</w:t>
      </w:r>
    </w:p>
    <w:p w14:paraId="70054890" w14:textId="012F42ED" w:rsidR="00BA63D4" w:rsidRPr="00BA63D4" w:rsidRDefault="00BA63D4" w:rsidP="00BA63D4">
      <w:pPr>
        <w:jc w:val="both"/>
      </w:pPr>
      <w:r w:rsidRPr="00BA63D4">
        <w:t>L’evento</w:t>
      </w:r>
      <w:r>
        <w:t xml:space="preserve"> di presentazione</w:t>
      </w:r>
      <w:r w:rsidRPr="00BA63D4">
        <w:t xml:space="preserve"> è </w:t>
      </w:r>
      <w:r>
        <w:t xml:space="preserve">stato </w:t>
      </w:r>
      <w:r w:rsidRPr="00BA63D4">
        <w:t>patrocinato dal Comune di Todi, dall’Ordine degli Architetti PPC della Provincia di Perugia e dall’ISAO – Istituto Storico Artistico Orvietano.</w:t>
      </w:r>
    </w:p>
    <w:p w14:paraId="4A2443A3" w14:textId="2BEB4C66" w:rsidR="00BA63D4" w:rsidRPr="00BA63D4" w:rsidRDefault="00BA63D4" w:rsidP="00BA63D4">
      <w:r>
        <w:t xml:space="preserve">Attualmente è in fase di promozione il deposito del libro presso luoghi della cultura (Biblioteca Augusta, scienze umane </w:t>
      </w:r>
      <w:proofErr w:type="spellStart"/>
      <w:r>
        <w:t>Unipg</w:t>
      </w:r>
      <w:proofErr w:type="spellEnd"/>
      <w:r>
        <w:t>, BCT Terni ecc…).</w:t>
      </w:r>
    </w:p>
    <w:p w14:paraId="3AF198E6" w14:textId="77777777" w:rsidR="00EB5683" w:rsidRPr="00BA63D4" w:rsidRDefault="00EB5683" w:rsidP="00983A32"/>
    <w:p w14:paraId="0B9FDE3B" w14:textId="77777777" w:rsidR="002B7508" w:rsidRPr="007C4C6C" w:rsidRDefault="002B7508" w:rsidP="00983A32">
      <w:pPr>
        <w:jc w:val="both"/>
        <w:rPr>
          <w:b/>
          <w:caps/>
        </w:rPr>
      </w:pPr>
      <w:r w:rsidRPr="007C4C6C">
        <w:rPr>
          <w:b/>
          <w:caps/>
        </w:rPr>
        <w:t>Santa Maria della Consolazione a Todi: indagine storico-architettonica sull'edificio rinascimentale e il suo altare maggiore barocco.</w:t>
      </w:r>
    </w:p>
    <w:p w14:paraId="0F1D448B" w14:textId="74412868" w:rsidR="002B7508" w:rsidRDefault="002B7508" w:rsidP="00983A32">
      <w:pPr>
        <w:jc w:val="both"/>
      </w:pPr>
      <w:r w:rsidRPr="008F3F6D">
        <w:t xml:space="preserve">A settembre del 2024 </w:t>
      </w:r>
      <w:r w:rsidR="00783016">
        <w:t xml:space="preserve">è stata </w:t>
      </w:r>
      <w:r w:rsidRPr="008F3F6D">
        <w:t>presentata la pubblicazione della Dott.ssa Michela Iachettini, intitolata "Santa Maria della Consolazione a Todi: indagine storico-architettonica sull'edificio rinascimentale e il suo altare maggiore barocco". Questa pubblicazione, che fa parte della collana del CESVOL, "Quaderno del volontariato 2024, numero 8", offre un interessante studio basato sia su ricerche archivistiche che su nuovi rilievi strumentali. Il lavoro della Dott.ssa Iachettini ci permette</w:t>
      </w:r>
      <w:r>
        <w:t>rà</w:t>
      </w:r>
      <w:r w:rsidRPr="008F3F6D">
        <w:t xml:space="preserve"> di riscoprire la storia del grande altare barocco della chiesa della Consolazione, progettato dagli architetti romani Girolamo e Carlo Rainaldi.</w:t>
      </w:r>
    </w:p>
    <w:p w14:paraId="435A9A76" w14:textId="180E61D2" w:rsidR="00EB5683" w:rsidRDefault="00EB5683" w:rsidP="00983A32">
      <w:pPr>
        <w:jc w:val="both"/>
      </w:pPr>
      <w:r>
        <w:t>Prospettive</w:t>
      </w:r>
    </w:p>
    <w:p w14:paraId="415B8B84" w14:textId="5E1E21AF" w:rsidR="00F461FB" w:rsidRDefault="00EB5683" w:rsidP="00983A32">
      <w:pPr>
        <w:jc w:val="both"/>
      </w:pPr>
      <w:r>
        <w:t xml:space="preserve">A seguito di istanza è stata accolta la proposta di pubblicare un estratto della tesi della Dr.ssa Caterina </w:t>
      </w:r>
      <w:proofErr w:type="spellStart"/>
      <w:r>
        <w:t>Buoiano</w:t>
      </w:r>
      <w:proofErr w:type="spellEnd"/>
      <w:r>
        <w:t xml:space="preserve"> sempre sulla Chiesa della Consolazione</w:t>
      </w:r>
      <w:r w:rsidR="00783016">
        <w:t>.</w:t>
      </w:r>
      <w:r>
        <w:t xml:space="preserve"> La stesura del testo è in corso.</w:t>
      </w:r>
    </w:p>
    <w:p w14:paraId="70DB4A6E" w14:textId="77777777" w:rsidR="002B7508" w:rsidRDefault="002B7508" w:rsidP="00983A32">
      <w:pPr>
        <w:jc w:val="both"/>
      </w:pPr>
    </w:p>
    <w:p w14:paraId="0A61A02E" w14:textId="0D3E3998" w:rsidR="00E171D0" w:rsidRPr="00F34B6A" w:rsidRDefault="001F4CF0" w:rsidP="00F34B6A">
      <w:r w:rsidRPr="001F4CF0">
        <w:rPr>
          <w:b/>
          <w:bCs/>
        </w:rPr>
        <w:lastRenderedPageBreak/>
        <w:t xml:space="preserve">5. </w:t>
      </w:r>
      <w:r w:rsidR="00E171D0" w:rsidRPr="001F4CF0">
        <w:rPr>
          <w:b/>
          <w:bCs/>
        </w:rPr>
        <w:t>CONCESSIONE</w:t>
      </w:r>
      <w:r w:rsidR="00E171D0" w:rsidRPr="00F34B6A">
        <w:rPr>
          <w:b/>
          <w:bCs/>
        </w:rPr>
        <w:t xml:space="preserve"> DI CONTRIBUTI</w:t>
      </w:r>
    </w:p>
    <w:p w14:paraId="11955E8F" w14:textId="40C6E264" w:rsidR="004B3A26" w:rsidRDefault="00B12938" w:rsidP="004B3A26">
      <w:r w:rsidRPr="00F34B6A">
        <w:t>Nel 202</w:t>
      </w:r>
      <w:r w:rsidR="00783016">
        <w:t>4</w:t>
      </w:r>
      <w:r w:rsidRPr="00F34B6A">
        <w:t xml:space="preserve"> sono stati accordati </w:t>
      </w:r>
      <w:r w:rsidR="00F557F7" w:rsidRPr="00F34B6A">
        <w:t>diversi</w:t>
      </w:r>
      <w:r w:rsidRPr="00F34B6A">
        <w:t xml:space="preserve"> contributi economici</w:t>
      </w:r>
      <w:r w:rsidR="00796A61">
        <w:t xml:space="preserve"> per Euro 152.980,00</w:t>
      </w:r>
      <w:r w:rsidR="00783016">
        <w:t>.</w:t>
      </w:r>
    </w:p>
    <w:p w14:paraId="432276FC" w14:textId="77777777" w:rsidR="004B3A26" w:rsidRDefault="004B3A26" w:rsidP="00796A61">
      <w:pPr>
        <w:tabs>
          <w:tab w:val="left" w:pos="5954"/>
        </w:tabs>
        <w:rPr>
          <w:color w:val="EE0000"/>
        </w:rPr>
      </w:pPr>
    </w:p>
    <w:tbl>
      <w:tblPr>
        <w:tblW w:w="8580" w:type="dxa"/>
        <w:tblCellMar>
          <w:left w:w="70" w:type="dxa"/>
          <w:right w:w="70" w:type="dxa"/>
        </w:tblCellMar>
        <w:tblLook w:val="04A0" w:firstRow="1" w:lastRow="0" w:firstColumn="1" w:lastColumn="0" w:noHBand="0" w:noVBand="1"/>
      </w:tblPr>
      <w:tblGrid>
        <w:gridCol w:w="1800"/>
        <w:gridCol w:w="2060"/>
        <w:gridCol w:w="1540"/>
        <w:gridCol w:w="1060"/>
        <w:gridCol w:w="1160"/>
        <w:gridCol w:w="960"/>
      </w:tblGrid>
      <w:tr w:rsidR="00E6179B" w:rsidRPr="00E6179B" w14:paraId="5D034437" w14:textId="77777777" w:rsidTr="00E6179B">
        <w:trPr>
          <w:trHeight w:val="240"/>
        </w:trPr>
        <w:tc>
          <w:tcPr>
            <w:tcW w:w="5400" w:type="dxa"/>
            <w:gridSpan w:val="3"/>
            <w:tcBorders>
              <w:top w:val="nil"/>
              <w:left w:val="nil"/>
              <w:bottom w:val="nil"/>
              <w:right w:val="nil"/>
            </w:tcBorders>
            <w:noWrap/>
            <w:vAlign w:val="bottom"/>
            <w:hideMark/>
          </w:tcPr>
          <w:p w14:paraId="59E16DE3" w14:textId="77777777" w:rsidR="00E6179B" w:rsidRPr="00E6179B" w:rsidRDefault="00E6179B" w:rsidP="00E6179B">
            <w:pPr>
              <w:suppressAutoHyphens w:val="0"/>
              <w:rPr>
                <w:b/>
                <w:bCs/>
                <w:color w:val="FF0000"/>
                <w:sz w:val="18"/>
                <w:szCs w:val="18"/>
                <w:lang w:eastAsia="it-IT"/>
              </w:rPr>
            </w:pPr>
            <w:r w:rsidRPr="00E6179B">
              <w:rPr>
                <w:b/>
                <w:bCs/>
                <w:color w:val="FF0000"/>
                <w:sz w:val="18"/>
                <w:szCs w:val="18"/>
                <w:lang w:eastAsia="it-IT"/>
              </w:rPr>
              <w:t>Albo dei beneficiari di provvidenze di natura economica</w:t>
            </w:r>
          </w:p>
        </w:tc>
        <w:tc>
          <w:tcPr>
            <w:tcW w:w="1060" w:type="dxa"/>
            <w:tcBorders>
              <w:top w:val="nil"/>
              <w:left w:val="nil"/>
              <w:bottom w:val="nil"/>
              <w:right w:val="nil"/>
            </w:tcBorders>
            <w:vAlign w:val="bottom"/>
            <w:hideMark/>
          </w:tcPr>
          <w:p w14:paraId="384184A4" w14:textId="77777777" w:rsidR="00E6179B" w:rsidRPr="00E6179B" w:rsidRDefault="00E6179B" w:rsidP="00E6179B">
            <w:pPr>
              <w:suppressAutoHyphens w:val="0"/>
              <w:rPr>
                <w:b/>
                <w:bCs/>
                <w:color w:val="FF0000"/>
                <w:sz w:val="18"/>
                <w:szCs w:val="18"/>
                <w:lang w:eastAsia="it-IT"/>
              </w:rPr>
            </w:pPr>
          </w:p>
        </w:tc>
        <w:tc>
          <w:tcPr>
            <w:tcW w:w="1160" w:type="dxa"/>
            <w:tcBorders>
              <w:top w:val="nil"/>
              <w:left w:val="nil"/>
              <w:bottom w:val="nil"/>
              <w:right w:val="nil"/>
            </w:tcBorders>
            <w:noWrap/>
            <w:vAlign w:val="bottom"/>
            <w:hideMark/>
          </w:tcPr>
          <w:p w14:paraId="448A65FD"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0C776FA8" w14:textId="77777777" w:rsidR="00E6179B" w:rsidRPr="00E6179B" w:rsidRDefault="00E6179B" w:rsidP="00E6179B">
            <w:pPr>
              <w:suppressAutoHyphens w:val="0"/>
              <w:rPr>
                <w:sz w:val="20"/>
                <w:szCs w:val="20"/>
                <w:lang w:eastAsia="it-IT"/>
              </w:rPr>
            </w:pPr>
          </w:p>
        </w:tc>
      </w:tr>
      <w:tr w:rsidR="00E6179B" w:rsidRPr="00E6179B" w14:paraId="6896647E" w14:textId="77777777" w:rsidTr="00E6179B">
        <w:trPr>
          <w:trHeight w:val="240"/>
        </w:trPr>
        <w:tc>
          <w:tcPr>
            <w:tcW w:w="5400" w:type="dxa"/>
            <w:gridSpan w:val="3"/>
            <w:tcBorders>
              <w:top w:val="nil"/>
              <w:left w:val="nil"/>
              <w:bottom w:val="nil"/>
              <w:right w:val="nil"/>
            </w:tcBorders>
            <w:noWrap/>
            <w:vAlign w:val="bottom"/>
            <w:hideMark/>
          </w:tcPr>
          <w:p w14:paraId="615CD70F" w14:textId="77777777" w:rsidR="00E6179B" w:rsidRPr="00E6179B" w:rsidRDefault="00E6179B" w:rsidP="00E6179B">
            <w:pPr>
              <w:suppressAutoHyphens w:val="0"/>
              <w:rPr>
                <w:b/>
                <w:bCs/>
                <w:sz w:val="18"/>
                <w:szCs w:val="18"/>
                <w:lang w:eastAsia="it-IT"/>
              </w:rPr>
            </w:pPr>
            <w:r w:rsidRPr="00E6179B">
              <w:rPr>
                <w:b/>
                <w:bCs/>
                <w:sz w:val="18"/>
                <w:szCs w:val="18"/>
                <w:lang w:eastAsia="it-IT"/>
              </w:rPr>
              <w:t xml:space="preserve">articolo 20, comma 8, della legge 15 marzo 1997, n. 59 e </w:t>
            </w:r>
            <w:proofErr w:type="spellStart"/>
            <w:r w:rsidRPr="00E6179B">
              <w:rPr>
                <w:b/>
                <w:bCs/>
                <w:sz w:val="18"/>
                <w:szCs w:val="18"/>
                <w:lang w:eastAsia="it-IT"/>
              </w:rPr>
              <w:t>ssmmii</w:t>
            </w:r>
            <w:proofErr w:type="spellEnd"/>
          </w:p>
        </w:tc>
        <w:tc>
          <w:tcPr>
            <w:tcW w:w="1060" w:type="dxa"/>
            <w:tcBorders>
              <w:top w:val="nil"/>
              <w:left w:val="nil"/>
              <w:bottom w:val="nil"/>
              <w:right w:val="nil"/>
            </w:tcBorders>
            <w:vAlign w:val="bottom"/>
            <w:hideMark/>
          </w:tcPr>
          <w:p w14:paraId="41B33590" w14:textId="77777777" w:rsidR="00E6179B" w:rsidRPr="00E6179B" w:rsidRDefault="00E6179B" w:rsidP="00E6179B">
            <w:pPr>
              <w:suppressAutoHyphens w:val="0"/>
              <w:rPr>
                <w:b/>
                <w:bCs/>
                <w:sz w:val="18"/>
                <w:szCs w:val="18"/>
                <w:lang w:eastAsia="it-IT"/>
              </w:rPr>
            </w:pPr>
          </w:p>
        </w:tc>
        <w:tc>
          <w:tcPr>
            <w:tcW w:w="1160" w:type="dxa"/>
            <w:tcBorders>
              <w:top w:val="nil"/>
              <w:left w:val="nil"/>
              <w:bottom w:val="nil"/>
              <w:right w:val="nil"/>
            </w:tcBorders>
            <w:noWrap/>
            <w:vAlign w:val="bottom"/>
            <w:hideMark/>
          </w:tcPr>
          <w:p w14:paraId="131AAA5C"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0106451F" w14:textId="77777777" w:rsidR="00E6179B" w:rsidRPr="00E6179B" w:rsidRDefault="00E6179B" w:rsidP="00E6179B">
            <w:pPr>
              <w:suppressAutoHyphens w:val="0"/>
              <w:rPr>
                <w:sz w:val="20"/>
                <w:szCs w:val="20"/>
                <w:lang w:eastAsia="it-IT"/>
              </w:rPr>
            </w:pPr>
          </w:p>
        </w:tc>
      </w:tr>
      <w:tr w:rsidR="00E6179B" w:rsidRPr="00E6179B" w14:paraId="6DE61283" w14:textId="77777777" w:rsidTr="00E6179B">
        <w:trPr>
          <w:trHeight w:val="240"/>
        </w:trPr>
        <w:tc>
          <w:tcPr>
            <w:tcW w:w="6460" w:type="dxa"/>
            <w:gridSpan w:val="4"/>
            <w:tcBorders>
              <w:top w:val="nil"/>
              <w:left w:val="nil"/>
              <w:bottom w:val="nil"/>
              <w:right w:val="nil"/>
            </w:tcBorders>
            <w:noWrap/>
            <w:vAlign w:val="bottom"/>
            <w:hideMark/>
          </w:tcPr>
          <w:p w14:paraId="6C9A1262" w14:textId="77777777" w:rsidR="00E6179B" w:rsidRPr="00E6179B" w:rsidRDefault="00E6179B" w:rsidP="00E6179B">
            <w:pPr>
              <w:suppressAutoHyphens w:val="0"/>
              <w:rPr>
                <w:b/>
                <w:bCs/>
                <w:sz w:val="18"/>
                <w:szCs w:val="18"/>
                <w:lang w:eastAsia="it-IT"/>
              </w:rPr>
            </w:pPr>
            <w:r w:rsidRPr="00E6179B">
              <w:rPr>
                <w:b/>
                <w:bCs/>
                <w:sz w:val="18"/>
                <w:szCs w:val="18"/>
                <w:lang w:eastAsia="it-IT"/>
              </w:rPr>
              <w:t>DECRETO DEL PRESIDENTE DELLA REPUBBLICA 7 aprile 2000, n.118</w:t>
            </w:r>
          </w:p>
        </w:tc>
        <w:tc>
          <w:tcPr>
            <w:tcW w:w="1160" w:type="dxa"/>
            <w:tcBorders>
              <w:top w:val="nil"/>
              <w:left w:val="nil"/>
              <w:bottom w:val="nil"/>
              <w:right w:val="nil"/>
            </w:tcBorders>
            <w:noWrap/>
            <w:vAlign w:val="bottom"/>
            <w:hideMark/>
          </w:tcPr>
          <w:p w14:paraId="6DC03262" w14:textId="77777777" w:rsidR="00E6179B" w:rsidRPr="00E6179B" w:rsidRDefault="00E6179B" w:rsidP="00E6179B">
            <w:pPr>
              <w:suppressAutoHyphens w:val="0"/>
              <w:rPr>
                <w:b/>
                <w:bCs/>
                <w:sz w:val="18"/>
                <w:szCs w:val="18"/>
                <w:lang w:eastAsia="it-IT"/>
              </w:rPr>
            </w:pPr>
          </w:p>
        </w:tc>
        <w:tc>
          <w:tcPr>
            <w:tcW w:w="960" w:type="dxa"/>
            <w:tcBorders>
              <w:top w:val="nil"/>
              <w:left w:val="nil"/>
              <w:bottom w:val="nil"/>
              <w:right w:val="nil"/>
            </w:tcBorders>
            <w:noWrap/>
            <w:vAlign w:val="bottom"/>
            <w:hideMark/>
          </w:tcPr>
          <w:p w14:paraId="0159D251" w14:textId="77777777" w:rsidR="00E6179B" w:rsidRPr="00E6179B" w:rsidRDefault="00E6179B" w:rsidP="00E6179B">
            <w:pPr>
              <w:suppressAutoHyphens w:val="0"/>
              <w:rPr>
                <w:sz w:val="20"/>
                <w:szCs w:val="20"/>
                <w:lang w:eastAsia="it-IT"/>
              </w:rPr>
            </w:pPr>
          </w:p>
        </w:tc>
      </w:tr>
      <w:tr w:rsidR="00E6179B" w:rsidRPr="00E6179B" w14:paraId="163AB7B7" w14:textId="77777777" w:rsidTr="00E6179B">
        <w:trPr>
          <w:trHeight w:val="240"/>
        </w:trPr>
        <w:tc>
          <w:tcPr>
            <w:tcW w:w="1800" w:type="dxa"/>
            <w:tcBorders>
              <w:top w:val="nil"/>
              <w:left w:val="nil"/>
              <w:bottom w:val="nil"/>
              <w:right w:val="nil"/>
            </w:tcBorders>
            <w:noWrap/>
            <w:vAlign w:val="bottom"/>
            <w:hideMark/>
          </w:tcPr>
          <w:p w14:paraId="2E61286C" w14:textId="77777777" w:rsidR="00E6179B" w:rsidRPr="00E6179B" w:rsidRDefault="00E6179B" w:rsidP="00E6179B">
            <w:pPr>
              <w:suppressAutoHyphens w:val="0"/>
              <w:rPr>
                <w:sz w:val="20"/>
                <w:szCs w:val="20"/>
                <w:lang w:eastAsia="it-IT"/>
              </w:rPr>
            </w:pPr>
          </w:p>
        </w:tc>
        <w:tc>
          <w:tcPr>
            <w:tcW w:w="2060" w:type="dxa"/>
            <w:tcBorders>
              <w:top w:val="nil"/>
              <w:left w:val="nil"/>
              <w:bottom w:val="nil"/>
              <w:right w:val="nil"/>
            </w:tcBorders>
            <w:noWrap/>
            <w:vAlign w:val="bottom"/>
            <w:hideMark/>
          </w:tcPr>
          <w:p w14:paraId="60588DC6" w14:textId="77777777" w:rsidR="00E6179B" w:rsidRPr="00E6179B" w:rsidRDefault="00E6179B" w:rsidP="00E6179B">
            <w:pPr>
              <w:suppressAutoHyphens w:val="0"/>
              <w:rPr>
                <w:sz w:val="20"/>
                <w:szCs w:val="20"/>
                <w:lang w:eastAsia="it-IT"/>
              </w:rPr>
            </w:pPr>
          </w:p>
        </w:tc>
        <w:tc>
          <w:tcPr>
            <w:tcW w:w="1540" w:type="dxa"/>
            <w:tcBorders>
              <w:top w:val="nil"/>
              <w:left w:val="nil"/>
              <w:bottom w:val="nil"/>
              <w:right w:val="nil"/>
            </w:tcBorders>
            <w:noWrap/>
            <w:vAlign w:val="bottom"/>
            <w:hideMark/>
          </w:tcPr>
          <w:p w14:paraId="4043DD44" w14:textId="77777777" w:rsidR="00E6179B" w:rsidRPr="00E6179B" w:rsidRDefault="00E6179B" w:rsidP="00E6179B">
            <w:pPr>
              <w:suppressAutoHyphens w:val="0"/>
              <w:rPr>
                <w:sz w:val="20"/>
                <w:szCs w:val="20"/>
                <w:lang w:eastAsia="it-IT"/>
              </w:rPr>
            </w:pPr>
          </w:p>
        </w:tc>
        <w:tc>
          <w:tcPr>
            <w:tcW w:w="1060" w:type="dxa"/>
            <w:tcBorders>
              <w:top w:val="nil"/>
              <w:left w:val="nil"/>
              <w:bottom w:val="nil"/>
              <w:right w:val="nil"/>
            </w:tcBorders>
            <w:vAlign w:val="bottom"/>
            <w:hideMark/>
          </w:tcPr>
          <w:p w14:paraId="068C489B"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4ECA200D"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3B3C5FF9" w14:textId="77777777" w:rsidR="00E6179B" w:rsidRPr="00E6179B" w:rsidRDefault="00E6179B" w:rsidP="00E6179B">
            <w:pPr>
              <w:suppressAutoHyphens w:val="0"/>
              <w:rPr>
                <w:sz w:val="20"/>
                <w:szCs w:val="20"/>
                <w:lang w:eastAsia="it-IT"/>
              </w:rPr>
            </w:pPr>
          </w:p>
        </w:tc>
      </w:tr>
      <w:tr w:rsidR="00E6179B" w:rsidRPr="00E6179B" w14:paraId="5BC09CE5" w14:textId="77777777" w:rsidTr="00E6179B">
        <w:trPr>
          <w:trHeight w:val="240"/>
        </w:trPr>
        <w:tc>
          <w:tcPr>
            <w:tcW w:w="1800" w:type="dxa"/>
            <w:tcBorders>
              <w:top w:val="nil"/>
              <w:left w:val="nil"/>
              <w:bottom w:val="nil"/>
              <w:right w:val="nil"/>
            </w:tcBorders>
            <w:noWrap/>
            <w:vAlign w:val="bottom"/>
            <w:hideMark/>
          </w:tcPr>
          <w:p w14:paraId="65A69C4E" w14:textId="77777777" w:rsidR="00E6179B" w:rsidRPr="00E6179B" w:rsidRDefault="00E6179B" w:rsidP="00E6179B">
            <w:pPr>
              <w:suppressAutoHyphens w:val="0"/>
              <w:rPr>
                <w:b/>
                <w:bCs/>
                <w:color w:val="FF0000"/>
                <w:sz w:val="18"/>
                <w:szCs w:val="18"/>
                <w:lang w:eastAsia="it-IT"/>
              </w:rPr>
            </w:pPr>
            <w:r w:rsidRPr="00E6179B">
              <w:rPr>
                <w:b/>
                <w:bCs/>
                <w:color w:val="FF0000"/>
                <w:sz w:val="18"/>
                <w:szCs w:val="18"/>
                <w:lang w:eastAsia="it-IT"/>
              </w:rPr>
              <w:t>Anno</w:t>
            </w:r>
          </w:p>
        </w:tc>
        <w:tc>
          <w:tcPr>
            <w:tcW w:w="2060" w:type="dxa"/>
            <w:tcBorders>
              <w:top w:val="nil"/>
              <w:left w:val="nil"/>
              <w:bottom w:val="nil"/>
              <w:right w:val="nil"/>
            </w:tcBorders>
            <w:noWrap/>
            <w:vAlign w:val="bottom"/>
            <w:hideMark/>
          </w:tcPr>
          <w:p w14:paraId="43C73859"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2024</w:t>
            </w:r>
          </w:p>
        </w:tc>
        <w:tc>
          <w:tcPr>
            <w:tcW w:w="1540" w:type="dxa"/>
            <w:tcBorders>
              <w:top w:val="nil"/>
              <w:left w:val="nil"/>
              <w:bottom w:val="nil"/>
              <w:right w:val="nil"/>
            </w:tcBorders>
            <w:noWrap/>
            <w:vAlign w:val="bottom"/>
            <w:hideMark/>
          </w:tcPr>
          <w:p w14:paraId="4CC98A45" w14:textId="77777777" w:rsidR="00E6179B" w:rsidRPr="00E6179B" w:rsidRDefault="00E6179B" w:rsidP="00E6179B">
            <w:pPr>
              <w:suppressAutoHyphens w:val="0"/>
              <w:jc w:val="center"/>
              <w:rPr>
                <w:b/>
                <w:bCs/>
                <w:sz w:val="18"/>
                <w:szCs w:val="18"/>
                <w:lang w:eastAsia="it-IT"/>
              </w:rPr>
            </w:pPr>
          </w:p>
        </w:tc>
        <w:tc>
          <w:tcPr>
            <w:tcW w:w="1060" w:type="dxa"/>
            <w:tcBorders>
              <w:top w:val="nil"/>
              <w:left w:val="nil"/>
              <w:bottom w:val="nil"/>
              <w:right w:val="nil"/>
            </w:tcBorders>
            <w:vAlign w:val="bottom"/>
            <w:hideMark/>
          </w:tcPr>
          <w:p w14:paraId="6ACA4E08"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6E20885B"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711C0A36" w14:textId="77777777" w:rsidR="00E6179B" w:rsidRPr="00E6179B" w:rsidRDefault="00E6179B" w:rsidP="00E6179B">
            <w:pPr>
              <w:suppressAutoHyphens w:val="0"/>
              <w:rPr>
                <w:sz w:val="20"/>
                <w:szCs w:val="20"/>
                <w:lang w:eastAsia="it-IT"/>
              </w:rPr>
            </w:pPr>
          </w:p>
        </w:tc>
      </w:tr>
      <w:tr w:rsidR="00E6179B" w:rsidRPr="00E6179B" w14:paraId="328C1D57" w14:textId="77777777" w:rsidTr="00E6179B">
        <w:trPr>
          <w:trHeight w:val="240"/>
        </w:trPr>
        <w:tc>
          <w:tcPr>
            <w:tcW w:w="1800" w:type="dxa"/>
            <w:tcBorders>
              <w:top w:val="nil"/>
              <w:left w:val="nil"/>
              <w:bottom w:val="nil"/>
              <w:right w:val="nil"/>
            </w:tcBorders>
            <w:noWrap/>
            <w:vAlign w:val="bottom"/>
            <w:hideMark/>
          </w:tcPr>
          <w:p w14:paraId="074FF0F6" w14:textId="77777777" w:rsidR="00E6179B" w:rsidRPr="00E6179B" w:rsidRDefault="00E6179B" w:rsidP="00E6179B">
            <w:pPr>
              <w:suppressAutoHyphens w:val="0"/>
              <w:rPr>
                <w:sz w:val="20"/>
                <w:szCs w:val="20"/>
                <w:lang w:eastAsia="it-IT"/>
              </w:rPr>
            </w:pPr>
          </w:p>
        </w:tc>
        <w:tc>
          <w:tcPr>
            <w:tcW w:w="2060" w:type="dxa"/>
            <w:tcBorders>
              <w:top w:val="nil"/>
              <w:left w:val="nil"/>
              <w:bottom w:val="nil"/>
              <w:right w:val="nil"/>
            </w:tcBorders>
            <w:noWrap/>
            <w:vAlign w:val="bottom"/>
            <w:hideMark/>
          </w:tcPr>
          <w:p w14:paraId="20DBB2D5" w14:textId="77777777" w:rsidR="00E6179B" w:rsidRPr="00E6179B" w:rsidRDefault="00E6179B" w:rsidP="00E6179B">
            <w:pPr>
              <w:suppressAutoHyphens w:val="0"/>
              <w:rPr>
                <w:sz w:val="20"/>
                <w:szCs w:val="20"/>
                <w:lang w:eastAsia="it-IT"/>
              </w:rPr>
            </w:pPr>
          </w:p>
        </w:tc>
        <w:tc>
          <w:tcPr>
            <w:tcW w:w="1540" w:type="dxa"/>
            <w:tcBorders>
              <w:top w:val="nil"/>
              <w:left w:val="nil"/>
              <w:bottom w:val="nil"/>
              <w:right w:val="nil"/>
            </w:tcBorders>
            <w:noWrap/>
            <w:vAlign w:val="bottom"/>
            <w:hideMark/>
          </w:tcPr>
          <w:p w14:paraId="27686854" w14:textId="77777777" w:rsidR="00E6179B" w:rsidRPr="00E6179B" w:rsidRDefault="00E6179B" w:rsidP="00E6179B">
            <w:pPr>
              <w:suppressAutoHyphens w:val="0"/>
              <w:rPr>
                <w:sz w:val="20"/>
                <w:szCs w:val="20"/>
                <w:lang w:eastAsia="it-IT"/>
              </w:rPr>
            </w:pPr>
          </w:p>
        </w:tc>
        <w:tc>
          <w:tcPr>
            <w:tcW w:w="1060" w:type="dxa"/>
            <w:tcBorders>
              <w:top w:val="nil"/>
              <w:left w:val="nil"/>
              <w:bottom w:val="nil"/>
              <w:right w:val="nil"/>
            </w:tcBorders>
            <w:vAlign w:val="bottom"/>
            <w:hideMark/>
          </w:tcPr>
          <w:p w14:paraId="6B7714E9"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526A29E7"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4DD6551D" w14:textId="77777777" w:rsidR="00E6179B" w:rsidRPr="00E6179B" w:rsidRDefault="00E6179B" w:rsidP="00E6179B">
            <w:pPr>
              <w:suppressAutoHyphens w:val="0"/>
              <w:rPr>
                <w:sz w:val="20"/>
                <w:szCs w:val="20"/>
                <w:lang w:eastAsia="it-IT"/>
              </w:rPr>
            </w:pPr>
          </w:p>
        </w:tc>
      </w:tr>
      <w:tr w:rsidR="00E6179B" w:rsidRPr="00E6179B" w14:paraId="488D3B0E" w14:textId="77777777" w:rsidTr="00E6179B">
        <w:trPr>
          <w:trHeight w:val="240"/>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444E6A59"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beneficiario</w:t>
            </w:r>
          </w:p>
        </w:tc>
        <w:tc>
          <w:tcPr>
            <w:tcW w:w="2060" w:type="dxa"/>
            <w:tcBorders>
              <w:top w:val="single" w:sz="4" w:space="0" w:color="auto"/>
              <w:left w:val="nil"/>
              <w:bottom w:val="single" w:sz="4" w:space="0" w:color="auto"/>
              <w:right w:val="single" w:sz="4" w:space="0" w:color="auto"/>
            </w:tcBorders>
            <w:noWrap/>
            <w:vAlign w:val="bottom"/>
            <w:hideMark/>
          </w:tcPr>
          <w:p w14:paraId="0F52A6B6"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descrizione</w:t>
            </w:r>
          </w:p>
        </w:tc>
        <w:tc>
          <w:tcPr>
            <w:tcW w:w="1540" w:type="dxa"/>
            <w:tcBorders>
              <w:top w:val="single" w:sz="4" w:space="0" w:color="auto"/>
              <w:left w:val="nil"/>
              <w:bottom w:val="single" w:sz="4" w:space="0" w:color="auto"/>
              <w:right w:val="single" w:sz="4" w:space="0" w:color="auto"/>
            </w:tcBorders>
            <w:noWrap/>
            <w:vAlign w:val="bottom"/>
            <w:hideMark/>
          </w:tcPr>
          <w:p w14:paraId="70D24771"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provvedimento</w:t>
            </w:r>
          </w:p>
        </w:tc>
        <w:tc>
          <w:tcPr>
            <w:tcW w:w="1060" w:type="dxa"/>
            <w:tcBorders>
              <w:top w:val="single" w:sz="4" w:space="0" w:color="auto"/>
              <w:left w:val="nil"/>
              <w:bottom w:val="single" w:sz="4" w:space="0" w:color="auto"/>
              <w:right w:val="single" w:sz="4" w:space="0" w:color="auto"/>
            </w:tcBorders>
            <w:vAlign w:val="bottom"/>
            <w:hideMark/>
          </w:tcPr>
          <w:p w14:paraId="4E0BA426"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Mandati n.</w:t>
            </w:r>
          </w:p>
        </w:tc>
        <w:tc>
          <w:tcPr>
            <w:tcW w:w="1160" w:type="dxa"/>
            <w:tcBorders>
              <w:top w:val="single" w:sz="4" w:space="0" w:color="auto"/>
              <w:left w:val="nil"/>
              <w:bottom w:val="single" w:sz="4" w:space="0" w:color="auto"/>
              <w:right w:val="single" w:sz="4" w:space="0" w:color="auto"/>
            </w:tcBorders>
            <w:noWrap/>
            <w:vAlign w:val="bottom"/>
            <w:hideMark/>
          </w:tcPr>
          <w:p w14:paraId="2FA52770" w14:textId="77777777" w:rsidR="00E6179B" w:rsidRPr="00E6179B" w:rsidRDefault="00E6179B" w:rsidP="00E6179B">
            <w:pPr>
              <w:suppressAutoHyphens w:val="0"/>
              <w:jc w:val="center"/>
              <w:rPr>
                <w:b/>
                <w:bCs/>
                <w:sz w:val="18"/>
                <w:szCs w:val="18"/>
                <w:lang w:eastAsia="it-IT"/>
              </w:rPr>
            </w:pPr>
            <w:r w:rsidRPr="00E6179B">
              <w:rPr>
                <w:b/>
                <w:bCs/>
                <w:sz w:val="18"/>
                <w:szCs w:val="18"/>
                <w:lang w:eastAsia="it-IT"/>
              </w:rPr>
              <w:t>importo</w:t>
            </w:r>
          </w:p>
        </w:tc>
        <w:tc>
          <w:tcPr>
            <w:tcW w:w="960" w:type="dxa"/>
            <w:tcBorders>
              <w:top w:val="single" w:sz="4" w:space="0" w:color="auto"/>
              <w:left w:val="nil"/>
              <w:bottom w:val="single" w:sz="4" w:space="0" w:color="auto"/>
              <w:right w:val="single" w:sz="4" w:space="0" w:color="auto"/>
            </w:tcBorders>
            <w:noWrap/>
            <w:vAlign w:val="bottom"/>
            <w:hideMark/>
          </w:tcPr>
          <w:p w14:paraId="6DE6C129" w14:textId="77777777" w:rsidR="00E6179B" w:rsidRPr="00E6179B" w:rsidRDefault="00E6179B" w:rsidP="00E6179B">
            <w:pPr>
              <w:suppressAutoHyphens w:val="0"/>
              <w:jc w:val="center"/>
              <w:rPr>
                <w:sz w:val="18"/>
                <w:szCs w:val="18"/>
                <w:lang w:eastAsia="it-IT"/>
              </w:rPr>
            </w:pPr>
            <w:r w:rsidRPr="00E6179B">
              <w:rPr>
                <w:sz w:val="18"/>
                <w:szCs w:val="18"/>
                <w:lang w:eastAsia="it-IT"/>
              </w:rPr>
              <w:t>note</w:t>
            </w:r>
          </w:p>
        </w:tc>
      </w:tr>
      <w:tr w:rsidR="00E6179B" w:rsidRPr="00E6179B" w14:paraId="3A4F4591"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D1F56FC" w14:textId="77777777" w:rsidR="00E6179B" w:rsidRPr="00E6179B" w:rsidRDefault="00E6179B" w:rsidP="00E6179B">
            <w:pPr>
              <w:suppressAutoHyphens w:val="0"/>
              <w:rPr>
                <w:sz w:val="18"/>
                <w:szCs w:val="18"/>
                <w:lang w:eastAsia="it-IT"/>
              </w:rPr>
            </w:pPr>
            <w:r w:rsidRPr="00E6179B">
              <w:rPr>
                <w:sz w:val="18"/>
                <w:szCs w:val="18"/>
                <w:lang w:eastAsia="it-IT"/>
              </w:rPr>
              <w:t>USL UMBRIA 1</w:t>
            </w:r>
          </w:p>
        </w:tc>
        <w:tc>
          <w:tcPr>
            <w:tcW w:w="2060" w:type="dxa"/>
            <w:tcBorders>
              <w:top w:val="nil"/>
              <w:left w:val="nil"/>
              <w:bottom w:val="single" w:sz="4" w:space="0" w:color="auto"/>
              <w:right w:val="single" w:sz="4" w:space="0" w:color="auto"/>
            </w:tcBorders>
            <w:shd w:val="clear" w:color="000000" w:fill="FFFFFF"/>
            <w:vAlign w:val="bottom"/>
            <w:hideMark/>
          </w:tcPr>
          <w:p w14:paraId="6658E5A6" w14:textId="77777777" w:rsidR="00E6179B" w:rsidRPr="00E6179B" w:rsidRDefault="00E6179B" w:rsidP="00E6179B">
            <w:pPr>
              <w:suppressAutoHyphens w:val="0"/>
              <w:rPr>
                <w:sz w:val="18"/>
                <w:szCs w:val="18"/>
                <w:lang w:eastAsia="it-IT"/>
              </w:rPr>
            </w:pPr>
            <w:r w:rsidRPr="00E6179B">
              <w:rPr>
                <w:sz w:val="18"/>
                <w:szCs w:val="18"/>
                <w:lang w:eastAsia="it-IT"/>
              </w:rPr>
              <w:t>contributo vincolato alle attività del Centro per i DCA di Todi</w:t>
            </w:r>
          </w:p>
        </w:tc>
        <w:tc>
          <w:tcPr>
            <w:tcW w:w="1540" w:type="dxa"/>
            <w:tcBorders>
              <w:top w:val="nil"/>
              <w:left w:val="nil"/>
              <w:bottom w:val="single" w:sz="4" w:space="0" w:color="auto"/>
              <w:right w:val="single" w:sz="4" w:space="0" w:color="auto"/>
            </w:tcBorders>
            <w:shd w:val="clear" w:color="000000" w:fill="FFFFFF"/>
            <w:vAlign w:val="bottom"/>
            <w:hideMark/>
          </w:tcPr>
          <w:p w14:paraId="7B6F04EA" w14:textId="77777777" w:rsidR="00E6179B" w:rsidRPr="00E6179B" w:rsidRDefault="00E6179B" w:rsidP="00E6179B">
            <w:pPr>
              <w:suppressAutoHyphens w:val="0"/>
              <w:rPr>
                <w:sz w:val="18"/>
                <w:szCs w:val="18"/>
                <w:lang w:eastAsia="it-IT"/>
              </w:rPr>
            </w:pPr>
            <w:r w:rsidRPr="00E6179B">
              <w:rPr>
                <w:sz w:val="18"/>
                <w:szCs w:val="18"/>
                <w:lang w:eastAsia="it-IT"/>
              </w:rPr>
              <w:t xml:space="preserve">Convenzione 1.1.2024 - 31.12.2024 </w:t>
            </w:r>
          </w:p>
        </w:tc>
        <w:tc>
          <w:tcPr>
            <w:tcW w:w="1060" w:type="dxa"/>
            <w:tcBorders>
              <w:top w:val="nil"/>
              <w:left w:val="nil"/>
              <w:bottom w:val="single" w:sz="4" w:space="0" w:color="auto"/>
              <w:right w:val="single" w:sz="4" w:space="0" w:color="auto"/>
            </w:tcBorders>
            <w:shd w:val="clear" w:color="000000" w:fill="FFFFFF"/>
            <w:vAlign w:val="bottom"/>
            <w:hideMark/>
          </w:tcPr>
          <w:p w14:paraId="6D1C8F9F" w14:textId="77777777" w:rsidR="00E6179B" w:rsidRPr="00E6179B" w:rsidRDefault="00E6179B" w:rsidP="00E6179B">
            <w:pPr>
              <w:suppressAutoHyphens w:val="0"/>
              <w:jc w:val="center"/>
              <w:rPr>
                <w:sz w:val="18"/>
                <w:szCs w:val="18"/>
                <w:lang w:eastAsia="it-IT"/>
              </w:rPr>
            </w:pPr>
            <w:r w:rsidRPr="00E6179B">
              <w:rPr>
                <w:sz w:val="18"/>
                <w:szCs w:val="18"/>
                <w:lang w:eastAsia="it-IT"/>
              </w:rPr>
              <w:t>619</w:t>
            </w:r>
          </w:p>
        </w:tc>
        <w:tc>
          <w:tcPr>
            <w:tcW w:w="1160" w:type="dxa"/>
            <w:tcBorders>
              <w:top w:val="nil"/>
              <w:left w:val="nil"/>
              <w:bottom w:val="single" w:sz="4" w:space="0" w:color="auto"/>
              <w:right w:val="single" w:sz="4" w:space="0" w:color="auto"/>
            </w:tcBorders>
            <w:shd w:val="clear" w:color="000000" w:fill="FFFFFF"/>
            <w:noWrap/>
            <w:vAlign w:val="bottom"/>
            <w:hideMark/>
          </w:tcPr>
          <w:p w14:paraId="7BBEC876" w14:textId="77777777" w:rsidR="00E6179B" w:rsidRPr="00E6179B" w:rsidRDefault="00E6179B" w:rsidP="00E6179B">
            <w:pPr>
              <w:suppressAutoHyphens w:val="0"/>
              <w:jc w:val="right"/>
              <w:rPr>
                <w:sz w:val="18"/>
                <w:szCs w:val="18"/>
                <w:lang w:eastAsia="it-IT"/>
              </w:rPr>
            </w:pPr>
            <w:r w:rsidRPr="00E6179B">
              <w:rPr>
                <w:sz w:val="18"/>
                <w:szCs w:val="18"/>
                <w:lang w:eastAsia="it-IT"/>
              </w:rPr>
              <w:t>€ 71.000,00</w:t>
            </w:r>
          </w:p>
        </w:tc>
        <w:tc>
          <w:tcPr>
            <w:tcW w:w="960" w:type="dxa"/>
            <w:tcBorders>
              <w:top w:val="nil"/>
              <w:left w:val="nil"/>
              <w:bottom w:val="single" w:sz="4" w:space="0" w:color="auto"/>
              <w:right w:val="single" w:sz="4" w:space="0" w:color="auto"/>
            </w:tcBorders>
            <w:shd w:val="clear" w:color="000000" w:fill="FFFFFF"/>
            <w:vAlign w:val="bottom"/>
            <w:hideMark/>
          </w:tcPr>
          <w:p w14:paraId="611D40E4"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5DDAF82"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0E2CA43F" w14:textId="77777777" w:rsidR="00E6179B" w:rsidRPr="00E6179B" w:rsidRDefault="00E6179B" w:rsidP="00E6179B">
            <w:pPr>
              <w:suppressAutoHyphens w:val="0"/>
              <w:rPr>
                <w:sz w:val="18"/>
                <w:szCs w:val="18"/>
                <w:lang w:eastAsia="it-IT"/>
              </w:rPr>
            </w:pPr>
            <w:r w:rsidRPr="00E6179B">
              <w:rPr>
                <w:sz w:val="18"/>
                <w:szCs w:val="18"/>
                <w:lang w:eastAsia="it-IT"/>
              </w:rPr>
              <w:t>MI FIDO DI TE ONLUS APS</w:t>
            </w:r>
          </w:p>
        </w:tc>
        <w:tc>
          <w:tcPr>
            <w:tcW w:w="2060" w:type="dxa"/>
            <w:tcBorders>
              <w:top w:val="nil"/>
              <w:left w:val="nil"/>
              <w:bottom w:val="single" w:sz="4" w:space="0" w:color="auto"/>
              <w:right w:val="single" w:sz="4" w:space="0" w:color="auto"/>
            </w:tcBorders>
            <w:shd w:val="clear" w:color="000000" w:fill="FFFFFF"/>
            <w:vAlign w:val="bottom"/>
            <w:hideMark/>
          </w:tcPr>
          <w:p w14:paraId="61A5ACD2" w14:textId="77777777" w:rsidR="00E6179B" w:rsidRPr="00E6179B" w:rsidRDefault="00E6179B" w:rsidP="00E6179B">
            <w:pPr>
              <w:suppressAutoHyphens w:val="0"/>
              <w:rPr>
                <w:sz w:val="18"/>
                <w:szCs w:val="18"/>
                <w:lang w:eastAsia="it-IT"/>
              </w:rPr>
            </w:pPr>
            <w:r w:rsidRPr="00E6179B">
              <w:rPr>
                <w:sz w:val="18"/>
                <w:szCs w:val="18"/>
                <w:lang w:eastAsia="it-IT"/>
              </w:rPr>
              <w:t>contributo vincolato alle attività del Centro per i DCA di Todi/Gruppo Famiglia</w:t>
            </w:r>
          </w:p>
        </w:tc>
        <w:tc>
          <w:tcPr>
            <w:tcW w:w="1540" w:type="dxa"/>
            <w:tcBorders>
              <w:top w:val="nil"/>
              <w:left w:val="nil"/>
              <w:bottom w:val="single" w:sz="4" w:space="0" w:color="auto"/>
              <w:right w:val="single" w:sz="4" w:space="0" w:color="auto"/>
            </w:tcBorders>
            <w:shd w:val="clear" w:color="000000" w:fill="FFFFFF"/>
            <w:vAlign w:val="bottom"/>
            <w:hideMark/>
          </w:tcPr>
          <w:p w14:paraId="2BE3ED60" w14:textId="77777777" w:rsidR="00E6179B" w:rsidRPr="00E6179B" w:rsidRDefault="00E6179B" w:rsidP="00E6179B">
            <w:pPr>
              <w:suppressAutoHyphens w:val="0"/>
              <w:rPr>
                <w:sz w:val="18"/>
                <w:szCs w:val="18"/>
                <w:lang w:eastAsia="it-IT"/>
              </w:rPr>
            </w:pPr>
            <w:r w:rsidRPr="00E6179B">
              <w:rPr>
                <w:sz w:val="18"/>
                <w:szCs w:val="18"/>
                <w:lang w:eastAsia="it-IT"/>
              </w:rPr>
              <w:t>Convenzione 2024</w:t>
            </w:r>
          </w:p>
        </w:tc>
        <w:tc>
          <w:tcPr>
            <w:tcW w:w="1060" w:type="dxa"/>
            <w:tcBorders>
              <w:top w:val="nil"/>
              <w:left w:val="nil"/>
              <w:bottom w:val="single" w:sz="4" w:space="0" w:color="auto"/>
              <w:right w:val="single" w:sz="4" w:space="0" w:color="auto"/>
            </w:tcBorders>
            <w:shd w:val="clear" w:color="000000" w:fill="FFFFFF"/>
            <w:vAlign w:val="bottom"/>
            <w:hideMark/>
          </w:tcPr>
          <w:p w14:paraId="621643BB" w14:textId="77777777" w:rsidR="00E6179B" w:rsidRPr="00E6179B" w:rsidRDefault="00E6179B" w:rsidP="00E6179B">
            <w:pPr>
              <w:suppressAutoHyphens w:val="0"/>
              <w:jc w:val="center"/>
              <w:rPr>
                <w:sz w:val="18"/>
                <w:szCs w:val="18"/>
                <w:lang w:eastAsia="it-IT"/>
              </w:rPr>
            </w:pPr>
            <w:r w:rsidRPr="00E6179B">
              <w:rPr>
                <w:sz w:val="18"/>
                <w:szCs w:val="18"/>
                <w:lang w:eastAsia="it-IT"/>
              </w:rPr>
              <w:t xml:space="preserve">da </w:t>
            </w:r>
            <w:proofErr w:type="spellStart"/>
            <w:r w:rsidRPr="00E6179B">
              <w:rPr>
                <w:sz w:val="18"/>
                <w:szCs w:val="18"/>
                <w:lang w:eastAsia="it-IT"/>
              </w:rPr>
              <w:t>erog</w:t>
            </w:r>
            <w:proofErr w:type="spellEnd"/>
            <w:r w:rsidRPr="00E6179B">
              <w:rPr>
                <w:sz w:val="18"/>
                <w:szCs w:val="18"/>
                <w:lang w:eastAsia="it-IT"/>
              </w:rPr>
              <w:t>.</w:t>
            </w:r>
          </w:p>
        </w:tc>
        <w:tc>
          <w:tcPr>
            <w:tcW w:w="1160" w:type="dxa"/>
            <w:tcBorders>
              <w:top w:val="nil"/>
              <w:left w:val="nil"/>
              <w:bottom w:val="single" w:sz="4" w:space="0" w:color="auto"/>
              <w:right w:val="single" w:sz="4" w:space="0" w:color="auto"/>
            </w:tcBorders>
            <w:shd w:val="clear" w:color="000000" w:fill="FFFFFF"/>
            <w:noWrap/>
            <w:vAlign w:val="bottom"/>
            <w:hideMark/>
          </w:tcPr>
          <w:p w14:paraId="0B313E32" w14:textId="77777777" w:rsidR="00E6179B" w:rsidRPr="00E6179B" w:rsidRDefault="00E6179B" w:rsidP="00E6179B">
            <w:pPr>
              <w:suppressAutoHyphens w:val="0"/>
              <w:jc w:val="right"/>
              <w:rPr>
                <w:sz w:val="18"/>
                <w:szCs w:val="18"/>
                <w:lang w:eastAsia="it-IT"/>
              </w:rPr>
            </w:pPr>
            <w:r w:rsidRPr="00E6179B">
              <w:rPr>
                <w:sz w:val="18"/>
                <w:szCs w:val="18"/>
                <w:lang w:eastAsia="it-IT"/>
              </w:rPr>
              <w:t> </w:t>
            </w:r>
          </w:p>
        </w:tc>
        <w:tc>
          <w:tcPr>
            <w:tcW w:w="960" w:type="dxa"/>
            <w:tcBorders>
              <w:top w:val="nil"/>
              <w:left w:val="nil"/>
              <w:bottom w:val="single" w:sz="4" w:space="0" w:color="auto"/>
              <w:right w:val="single" w:sz="4" w:space="0" w:color="auto"/>
            </w:tcBorders>
            <w:shd w:val="clear" w:color="000000" w:fill="FFFFFF"/>
            <w:vAlign w:val="bottom"/>
            <w:hideMark/>
          </w:tcPr>
          <w:p w14:paraId="7B2BAECC" w14:textId="77777777" w:rsidR="00E6179B" w:rsidRPr="00E6179B" w:rsidRDefault="00E6179B" w:rsidP="00E6179B">
            <w:pPr>
              <w:suppressAutoHyphens w:val="0"/>
              <w:jc w:val="center"/>
              <w:rPr>
                <w:sz w:val="18"/>
                <w:szCs w:val="18"/>
                <w:lang w:eastAsia="it-IT"/>
              </w:rPr>
            </w:pPr>
            <w:r w:rsidRPr="00E6179B">
              <w:rPr>
                <w:sz w:val="18"/>
                <w:szCs w:val="18"/>
                <w:lang w:eastAsia="it-IT"/>
              </w:rPr>
              <w:t> </w:t>
            </w:r>
          </w:p>
        </w:tc>
      </w:tr>
      <w:tr w:rsidR="00E6179B" w:rsidRPr="00E6179B" w14:paraId="43FA06A0"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4A3018B" w14:textId="77777777" w:rsidR="00E6179B" w:rsidRPr="00E6179B" w:rsidRDefault="00E6179B" w:rsidP="00E6179B">
            <w:pPr>
              <w:suppressAutoHyphens w:val="0"/>
              <w:rPr>
                <w:sz w:val="18"/>
                <w:szCs w:val="18"/>
                <w:lang w:eastAsia="it-IT"/>
              </w:rPr>
            </w:pPr>
            <w:r w:rsidRPr="00E6179B">
              <w:rPr>
                <w:sz w:val="18"/>
                <w:szCs w:val="18"/>
                <w:lang w:eastAsia="it-IT"/>
              </w:rPr>
              <w:t>Parrocchia di San Giorgio</w:t>
            </w:r>
          </w:p>
        </w:tc>
        <w:tc>
          <w:tcPr>
            <w:tcW w:w="2060" w:type="dxa"/>
            <w:tcBorders>
              <w:top w:val="nil"/>
              <w:left w:val="nil"/>
              <w:bottom w:val="single" w:sz="4" w:space="0" w:color="auto"/>
              <w:right w:val="single" w:sz="4" w:space="0" w:color="auto"/>
            </w:tcBorders>
            <w:shd w:val="clear" w:color="000000" w:fill="FFFFFF"/>
            <w:vAlign w:val="bottom"/>
            <w:hideMark/>
          </w:tcPr>
          <w:p w14:paraId="6C7EF9E0" w14:textId="77777777" w:rsidR="00E6179B" w:rsidRPr="00E6179B" w:rsidRDefault="00E6179B" w:rsidP="00E6179B">
            <w:pPr>
              <w:suppressAutoHyphens w:val="0"/>
              <w:rPr>
                <w:sz w:val="18"/>
                <w:szCs w:val="18"/>
                <w:lang w:eastAsia="it-IT"/>
              </w:rPr>
            </w:pPr>
            <w:r w:rsidRPr="00E6179B">
              <w:rPr>
                <w:sz w:val="18"/>
                <w:szCs w:val="18"/>
                <w:lang w:eastAsia="it-IT"/>
              </w:rPr>
              <w:t>contributo per l'apertura al culto del Tempio di S. M. della Consolazione</w:t>
            </w:r>
          </w:p>
        </w:tc>
        <w:tc>
          <w:tcPr>
            <w:tcW w:w="1540" w:type="dxa"/>
            <w:tcBorders>
              <w:top w:val="nil"/>
              <w:left w:val="nil"/>
              <w:bottom w:val="single" w:sz="4" w:space="0" w:color="auto"/>
              <w:right w:val="single" w:sz="4" w:space="0" w:color="auto"/>
            </w:tcBorders>
            <w:shd w:val="clear" w:color="000000" w:fill="FFFFFF"/>
            <w:vAlign w:val="bottom"/>
            <w:hideMark/>
          </w:tcPr>
          <w:p w14:paraId="5E44F20C" w14:textId="77777777" w:rsidR="00E6179B" w:rsidRPr="00E6179B" w:rsidRDefault="00E6179B" w:rsidP="00E6179B">
            <w:pPr>
              <w:suppressAutoHyphens w:val="0"/>
              <w:rPr>
                <w:sz w:val="18"/>
                <w:szCs w:val="18"/>
                <w:lang w:eastAsia="it-IT"/>
              </w:rPr>
            </w:pPr>
            <w:r w:rsidRPr="00E6179B">
              <w:rPr>
                <w:sz w:val="18"/>
                <w:szCs w:val="18"/>
                <w:lang w:eastAsia="it-IT"/>
              </w:rPr>
              <w:t>Convenzione</w:t>
            </w:r>
          </w:p>
        </w:tc>
        <w:tc>
          <w:tcPr>
            <w:tcW w:w="1060" w:type="dxa"/>
            <w:tcBorders>
              <w:top w:val="nil"/>
              <w:left w:val="nil"/>
              <w:bottom w:val="single" w:sz="4" w:space="0" w:color="auto"/>
              <w:right w:val="single" w:sz="4" w:space="0" w:color="auto"/>
            </w:tcBorders>
            <w:shd w:val="clear" w:color="000000" w:fill="FFFFFF"/>
            <w:vAlign w:val="bottom"/>
            <w:hideMark/>
          </w:tcPr>
          <w:p w14:paraId="160690F3" w14:textId="77777777" w:rsidR="00E6179B" w:rsidRPr="00E6179B" w:rsidRDefault="00E6179B" w:rsidP="00E6179B">
            <w:pPr>
              <w:suppressAutoHyphens w:val="0"/>
              <w:jc w:val="center"/>
              <w:rPr>
                <w:sz w:val="18"/>
                <w:szCs w:val="18"/>
                <w:lang w:eastAsia="it-IT"/>
              </w:rPr>
            </w:pPr>
            <w:r w:rsidRPr="00E6179B">
              <w:rPr>
                <w:sz w:val="18"/>
                <w:szCs w:val="18"/>
                <w:lang w:eastAsia="it-IT"/>
              </w:rPr>
              <w:t>vari</w:t>
            </w:r>
          </w:p>
        </w:tc>
        <w:tc>
          <w:tcPr>
            <w:tcW w:w="1160" w:type="dxa"/>
            <w:tcBorders>
              <w:top w:val="nil"/>
              <w:left w:val="nil"/>
              <w:bottom w:val="single" w:sz="4" w:space="0" w:color="auto"/>
              <w:right w:val="single" w:sz="4" w:space="0" w:color="auto"/>
            </w:tcBorders>
            <w:shd w:val="clear" w:color="000000" w:fill="FFFFFF"/>
            <w:vAlign w:val="bottom"/>
            <w:hideMark/>
          </w:tcPr>
          <w:p w14:paraId="14F384E9" w14:textId="77777777" w:rsidR="00E6179B" w:rsidRPr="00E6179B" w:rsidRDefault="00E6179B" w:rsidP="00E6179B">
            <w:pPr>
              <w:suppressAutoHyphens w:val="0"/>
              <w:jc w:val="right"/>
              <w:rPr>
                <w:sz w:val="18"/>
                <w:szCs w:val="18"/>
                <w:lang w:eastAsia="it-IT"/>
              </w:rPr>
            </w:pPr>
            <w:r w:rsidRPr="00E6179B">
              <w:rPr>
                <w:sz w:val="18"/>
                <w:szCs w:val="18"/>
                <w:lang w:eastAsia="it-IT"/>
              </w:rPr>
              <w:t>€ 23.250,00</w:t>
            </w:r>
          </w:p>
        </w:tc>
        <w:tc>
          <w:tcPr>
            <w:tcW w:w="960" w:type="dxa"/>
            <w:tcBorders>
              <w:top w:val="nil"/>
              <w:left w:val="nil"/>
              <w:bottom w:val="single" w:sz="4" w:space="0" w:color="auto"/>
              <w:right w:val="single" w:sz="4" w:space="0" w:color="auto"/>
            </w:tcBorders>
            <w:shd w:val="clear" w:color="000000" w:fill="FFFFFF"/>
            <w:vAlign w:val="bottom"/>
            <w:hideMark/>
          </w:tcPr>
          <w:p w14:paraId="5D3E8ED2"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B7E52D1"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9DCF706" w14:textId="77777777" w:rsidR="00E6179B" w:rsidRPr="00E6179B" w:rsidRDefault="00E6179B" w:rsidP="00E6179B">
            <w:pPr>
              <w:suppressAutoHyphens w:val="0"/>
              <w:rPr>
                <w:sz w:val="18"/>
                <w:szCs w:val="18"/>
                <w:lang w:eastAsia="it-IT"/>
              </w:rPr>
            </w:pPr>
            <w:r w:rsidRPr="00E6179B">
              <w:rPr>
                <w:sz w:val="18"/>
                <w:szCs w:val="18"/>
                <w:lang w:eastAsia="it-IT"/>
              </w:rPr>
              <w:t>LIONS CLUB TODI</w:t>
            </w:r>
          </w:p>
        </w:tc>
        <w:tc>
          <w:tcPr>
            <w:tcW w:w="2060" w:type="dxa"/>
            <w:tcBorders>
              <w:top w:val="nil"/>
              <w:left w:val="nil"/>
              <w:bottom w:val="single" w:sz="4" w:space="0" w:color="auto"/>
              <w:right w:val="single" w:sz="4" w:space="0" w:color="auto"/>
            </w:tcBorders>
            <w:shd w:val="clear" w:color="000000" w:fill="FFFFFF"/>
            <w:vAlign w:val="bottom"/>
            <w:hideMark/>
          </w:tcPr>
          <w:p w14:paraId="5CFD8548" w14:textId="77777777" w:rsidR="00E6179B" w:rsidRPr="00E6179B" w:rsidRDefault="00E6179B" w:rsidP="00E6179B">
            <w:pPr>
              <w:suppressAutoHyphens w:val="0"/>
              <w:rPr>
                <w:sz w:val="18"/>
                <w:szCs w:val="18"/>
                <w:lang w:eastAsia="it-IT"/>
              </w:rPr>
            </w:pPr>
            <w:r w:rsidRPr="00E6179B">
              <w:rPr>
                <w:sz w:val="18"/>
                <w:szCs w:val="18"/>
                <w:lang w:eastAsia="it-IT"/>
              </w:rPr>
              <w:t>Concessione contributo Festa degli auguri solidali con raccolta</w:t>
            </w:r>
          </w:p>
        </w:tc>
        <w:tc>
          <w:tcPr>
            <w:tcW w:w="1540" w:type="dxa"/>
            <w:tcBorders>
              <w:top w:val="nil"/>
              <w:left w:val="nil"/>
              <w:bottom w:val="single" w:sz="4" w:space="0" w:color="auto"/>
              <w:right w:val="single" w:sz="4" w:space="0" w:color="auto"/>
            </w:tcBorders>
            <w:shd w:val="clear" w:color="000000" w:fill="FFFFFF"/>
            <w:vAlign w:val="bottom"/>
            <w:hideMark/>
          </w:tcPr>
          <w:p w14:paraId="04EF0EC6"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62167FD2" w14:textId="77777777" w:rsidR="00E6179B" w:rsidRPr="00E6179B" w:rsidRDefault="00E6179B" w:rsidP="00E6179B">
            <w:pPr>
              <w:suppressAutoHyphens w:val="0"/>
              <w:jc w:val="center"/>
              <w:rPr>
                <w:sz w:val="18"/>
                <w:szCs w:val="18"/>
                <w:lang w:eastAsia="it-IT"/>
              </w:rPr>
            </w:pPr>
            <w:r w:rsidRPr="00E6179B">
              <w:rPr>
                <w:sz w:val="18"/>
                <w:szCs w:val="18"/>
                <w:lang w:eastAsia="it-IT"/>
              </w:rPr>
              <w:t>650</w:t>
            </w:r>
          </w:p>
        </w:tc>
        <w:tc>
          <w:tcPr>
            <w:tcW w:w="1160" w:type="dxa"/>
            <w:tcBorders>
              <w:top w:val="nil"/>
              <w:left w:val="nil"/>
              <w:bottom w:val="single" w:sz="4" w:space="0" w:color="auto"/>
              <w:right w:val="single" w:sz="4" w:space="0" w:color="auto"/>
            </w:tcBorders>
            <w:shd w:val="clear" w:color="000000" w:fill="FFFFFF"/>
            <w:vAlign w:val="bottom"/>
            <w:hideMark/>
          </w:tcPr>
          <w:p w14:paraId="1432767B" w14:textId="77777777" w:rsidR="00E6179B" w:rsidRPr="00E6179B" w:rsidRDefault="00E6179B" w:rsidP="00E6179B">
            <w:pPr>
              <w:suppressAutoHyphens w:val="0"/>
              <w:jc w:val="right"/>
              <w:rPr>
                <w:sz w:val="18"/>
                <w:szCs w:val="18"/>
                <w:lang w:eastAsia="it-IT"/>
              </w:rPr>
            </w:pPr>
            <w:r w:rsidRPr="00E6179B">
              <w:rPr>
                <w:sz w:val="18"/>
                <w:szCs w:val="18"/>
                <w:lang w:eastAsia="it-IT"/>
              </w:rPr>
              <w:t>€ 300,00</w:t>
            </w:r>
          </w:p>
        </w:tc>
        <w:tc>
          <w:tcPr>
            <w:tcW w:w="960" w:type="dxa"/>
            <w:tcBorders>
              <w:top w:val="nil"/>
              <w:left w:val="nil"/>
              <w:bottom w:val="single" w:sz="4" w:space="0" w:color="auto"/>
              <w:right w:val="single" w:sz="4" w:space="0" w:color="auto"/>
            </w:tcBorders>
            <w:shd w:val="clear" w:color="000000" w:fill="FFFFFF"/>
            <w:vAlign w:val="bottom"/>
            <w:hideMark/>
          </w:tcPr>
          <w:p w14:paraId="6EF80254"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4845CD1C" w14:textId="77777777" w:rsidTr="00E6179B">
        <w:trPr>
          <w:trHeight w:val="48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783BF0F7" w14:textId="77777777" w:rsidR="00E6179B" w:rsidRPr="00E6179B" w:rsidRDefault="00E6179B" w:rsidP="00E6179B">
            <w:pPr>
              <w:suppressAutoHyphens w:val="0"/>
              <w:rPr>
                <w:sz w:val="18"/>
                <w:szCs w:val="18"/>
                <w:lang w:eastAsia="it-IT"/>
              </w:rPr>
            </w:pPr>
            <w:r w:rsidRPr="00E6179B">
              <w:rPr>
                <w:sz w:val="18"/>
                <w:szCs w:val="18"/>
                <w:lang w:eastAsia="it-IT"/>
              </w:rPr>
              <w:t xml:space="preserve"> THE LANGUAGE CENTER SR</w:t>
            </w:r>
          </w:p>
        </w:tc>
        <w:tc>
          <w:tcPr>
            <w:tcW w:w="2060" w:type="dxa"/>
            <w:tcBorders>
              <w:top w:val="nil"/>
              <w:left w:val="nil"/>
              <w:bottom w:val="single" w:sz="4" w:space="0" w:color="auto"/>
              <w:right w:val="single" w:sz="4" w:space="0" w:color="auto"/>
            </w:tcBorders>
            <w:shd w:val="clear" w:color="000000" w:fill="FFFFFF"/>
            <w:vAlign w:val="bottom"/>
            <w:hideMark/>
          </w:tcPr>
          <w:p w14:paraId="2E983A27" w14:textId="77777777" w:rsidR="00E6179B" w:rsidRPr="00E6179B" w:rsidRDefault="00E6179B" w:rsidP="00E6179B">
            <w:pPr>
              <w:suppressAutoHyphens w:val="0"/>
              <w:rPr>
                <w:sz w:val="18"/>
                <w:szCs w:val="18"/>
                <w:lang w:eastAsia="it-IT"/>
              </w:rPr>
            </w:pPr>
            <w:r w:rsidRPr="00E6179B">
              <w:rPr>
                <w:sz w:val="18"/>
                <w:szCs w:val="18"/>
                <w:lang w:eastAsia="it-IT"/>
              </w:rPr>
              <w:t>Contributo per evento musicale TIMM 2024</w:t>
            </w:r>
          </w:p>
        </w:tc>
        <w:tc>
          <w:tcPr>
            <w:tcW w:w="1540" w:type="dxa"/>
            <w:tcBorders>
              <w:top w:val="nil"/>
              <w:left w:val="nil"/>
              <w:bottom w:val="single" w:sz="4" w:space="0" w:color="auto"/>
              <w:right w:val="single" w:sz="4" w:space="0" w:color="auto"/>
            </w:tcBorders>
            <w:shd w:val="clear" w:color="000000" w:fill="FFFFFF"/>
            <w:vAlign w:val="bottom"/>
            <w:hideMark/>
          </w:tcPr>
          <w:p w14:paraId="20FBBEEA"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74D7DB31" w14:textId="77777777" w:rsidR="00E6179B" w:rsidRPr="00E6179B" w:rsidRDefault="00E6179B" w:rsidP="00E6179B">
            <w:pPr>
              <w:suppressAutoHyphens w:val="0"/>
              <w:jc w:val="center"/>
              <w:rPr>
                <w:sz w:val="18"/>
                <w:szCs w:val="18"/>
                <w:lang w:eastAsia="it-IT"/>
              </w:rPr>
            </w:pPr>
            <w:r w:rsidRPr="00E6179B">
              <w:rPr>
                <w:sz w:val="18"/>
                <w:szCs w:val="18"/>
                <w:lang w:eastAsia="it-IT"/>
              </w:rPr>
              <w:t>409</w:t>
            </w:r>
          </w:p>
        </w:tc>
        <w:tc>
          <w:tcPr>
            <w:tcW w:w="1160" w:type="dxa"/>
            <w:tcBorders>
              <w:top w:val="nil"/>
              <w:left w:val="nil"/>
              <w:bottom w:val="single" w:sz="4" w:space="0" w:color="auto"/>
              <w:right w:val="single" w:sz="4" w:space="0" w:color="auto"/>
            </w:tcBorders>
            <w:shd w:val="clear" w:color="000000" w:fill="FFFFFF"/>
            <w:vAlign w:val="bottom"/>
            <w:hideMark/>
          </w:tcPr>
          <w:p w14:paraId="1800CBE2" w14:textId="77777777" w:rsidR="00E6179B" w:rsidRPr="00E6179B" w:rsidRDefault="00E6179B" w:rsidP="00E6179B">
            <w:pPr>
              <w:suppressAutoHyphens w:val="0"/>
              <w:jc w:val="right"/>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719A51EC"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A1079DD"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8DA871C" w14:textId="77777777" w:rsidR="00E6179B" w:rsidRPr="00E6179B" w:rsidRDefault="00E6179B" w:rsidP="00E6179B">
            <w:pPr>
              <w:suppressAutoHyphens w:val="0"/>
              <w:rPr>
                <w:sz w:val="18"/>
                <w:szCs w:val="18"/>
                <w:lang w:eastAsia="it-IT"/>
              </w:rPr>
            </w:pPr>
            <w:r w:rsidRPr="00E6179B">
              <w:rPr>
                <w:sz w:val="18"/>
                <w:szCs w:val="18"/>
                <w:lang w:eastAsia="it-IT"/>
              </w:rPr>
              <w:t>GRUPPO DI VOLONTARIATO VINCENZIANO DI TODI</w:t>
            </w:r>
          </w:p>
        </w:tc>
        <w:tc>
          <w:tcPr>
            <w:tcW w:w="2060" w:type="dxa"/>
            <w:tcBorders>
              <w:top w:val="nil"/>
              <w:left w:val="nil"/>
              <w:bottom w:val="single" w:sz="4" w:space="0" w:color="auto"/>
              <w:right w:val="single" w:sz="4" w:space="0" w:color="auto"/>
            </w:tcBorders>
            <w:shd w:val="clear" w:color="000000" w:fill="FFFFFF"/>
            <w:vAlign w:val="bottom"/>
            <w:hideMark/>
          </w:tcPr>
          <w:p w14:paraId="327E1224" w14:textId="77777777" w:rsidR="00E6179B" w:rsidRPr="00E6179B" w:rsidRDefault="00E6179B" w:rsidP="00E6179B">
            <w:pPr>
              <w:suppressAutoHyphens w:val="0"/>
              <w:rPr>
                <w:sz w:val="18"/>
                <w:szCs w:val="18"/>
                <w:lang w:eastAsia="it-IT"/>
              </w:rPr>
            </w:pPr>
            <w:r w:rsidRPr="00E6179B">
              <w:rPr>
                <w:sz w:val="18"/>
                <w:szCs w:val="18"/>
                <w:lang w:eastAsia="it-IT"/>
              </w:rPr>
              <w:t>Devoluzione compenso esibizione 7.9.24 Maestro Luca Venturi</w:t>
            </w:r>
          </w:p>
        </w:tc>
        <w:tc>
          <w:tcPr>
            <w:tcW w:w="1540" w:type="dxa"/>
            <w:tcBorders>
              <w:top w:val="nil"/>
              <w:left w:val="nil"/>
              <w:bottom w:val="single" w:sz="4" w:space="0" w:color="auto"/>
              <w:right w:val="single" w:sz="4" w:space="0" w:color="auto"/>
            </w:tcBorders>
            <w:shd w:val="clear" w:color="000000" w:fill="FFFFFF"/>
            <w:vAlign w:val="bottom"/>
            <w:hideMark/>
          </w:tcPr>
          <w:p w14:paraId="298AC82B"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4C2DF256" w14:textId="77777777" w:rsidR="00E6179B" w:rsidRPr="00E6179B" w:rsidRDefault="00E6179B" w:rsidP="00E6179B">
            <w:pPr>
              <w:suppressAutoHyphens w:val="0"/>
              <w:jc w:val="center"/>
              <w:rPr>
                <w:sz w:val="18"/>
                <w:szCs w:val="18"/>
                <w:lang w:eastAsia="it-IT"/>
              </w:rPr>
            </w:pPr>
            <w:r w:rsidRPr="00E6179B">
              <w:rPr>
                <w:sz w:val="18"/>
                <w:szCs w:val="18"/>
                <w:lang w:eastAsia="it-IT"/>
              </w:rPr>
              <w:t>428</w:t>
            </w:r>
          </w:p>
        </w:tc>
        <w:tc>
          <w:tcPr>
            <w:tcW w:w="1160" w:type="dxa"/>
            <w:tcBorders>
              <w:top w:val="nil"/>
              <w:left w:val="nil"/>
              <w:bottom w:val="single" w:sz="4" w:space="0" w:color="auto"/>
              <w:right w:val="single" w:sz="4" w:space="0" w:color="auto"/>
            </w:tcBorders>
            <w:shd w:val="clear" w:color="000000" w:fill="FFFFFF"/>
            <w:noWrap/>
            <w:vAlign w:val="bottom"/>
            <w:hideMark/>
          </w:tcPr>
          <w:p w14:paraId="19B6A97B" w14:textId="77777777" w:rsidR="00E6179B" w:rsidRPr="00E6179B" w:rsidRDefault="00E6179B" w:rsidP="00E6179B">
            <w:pPr>
              <w:suppressAutoHyphens w:val="0"/>
              <w:jc w:val="center"/>
              <w:rPr>
                <w:sz w:val="18"/>
                <w:szCs w:val="18"/>
                <w:lang w:eastAsia="it-IT"/>
              </w:rPr>
            </w:pPr>
            <w:r w:rsidRPr="00E6179B">
              <w:rPr>
                <w:sz w:val="18"/>
                <w:szCs w:val="18"/>
                <w:lang w:eastAsia="it-IT"/>
              </w:rPr>
              <w:t>€ 125,00</w:t>
            </w:r>
          </w:p>
        </w:tc>
        <w:tc>
          <w:tcPr>
            <w:tcW w:w="960" w:type="dxa"/>
            <w:tcBorders>
              <w:top w:val="nil"/>
              <w:left w:val="nil"/>
              <w:bottom w:val="single" w:sz="4" w:space="0" w:color="auto"/>
              <w:right w:val="single" w:sz="4" w:space="0" w:color="auto"/>
            </w:tcBorders>
            <w:shd w:val="clear" w:color="000000" w:fill="FFFFFF"/>
            <w:vAlign w:val="bottom"/>
            <w:hideMark/>
          </w:tcPr>
          <w:p w14:paraId="0F909E2A"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5A30825"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251FED80" w14:textId="77777777" w:rsidR="00E6179B" w:rsidRPr="00E6179B" w:rsidRDefault="00E6179B" w:rsidP="00E6179B">
            <w:pPr>
              <w:suppressAutoHyphens w:val="0"/>
              <w:rPr>
                <w:sz w:val="18"/>
                <w:szCs w:val="18"/>
                <w:lang w:eastAsia="it-IT"/>
              </w:rPr>
            </w:pPr>
            <w:r w:rsidRPr="00E6179B">
              <w:rPr>
                <w:sz w:val="18"/>
                <w:szCs w:val="18"/>
                <w:lang w:eastAsia="it-IT"/>
              </w:rPr>
              <w:t>GRUPPO DI VOLONTARIATO VINCENZIANO DI TODI</w:t>
            </w:r>
          </w:p>
        </w:tc>
        <w:tc>
          <w:tcPr>
            <w:tcW w:w="2060" w:type="dxa"/>
            <w:tcBorders>
              <w:top w:val="nil"/>
              <w:left w:val="nil"/>
              <w:bottom w:val="single" w:sz="4" w:space="0" w:color="auto"/>
              <w:right w:val="single" w:sz="4" w:space="0" w:color="auto"/>
            </w:tcBorders>
            <w:shd w:val="clear" w:color="000000" w:fill="FFFFFF"/>
            <w:vAlign w:val="bottom"/>
            <w:hideMark/>
          </w:tcPr>
          <w:p w14:paraId="54E715A6" w14:textId="77777777" w:rsidR="00E6179B" w:rsidRPr="00E6179B" w:rsidRDefault="00E6179B" w:rsidP="00E6179B">
            <w:pPr>
              <w:suppressAutoHyphens w:val="0"/>
              <w:rPr>
                <w:sz w:val="18"/>
                <w:szCs w:val="18"/>
                <w:lang w:eastAsia="it-IT"/>
              </w:rPr>
            </w:pPr>
            <w:r w:rsidRPr="00E6179B">
              <w:rPr>
                <w:sz w:val="18"/>
                <w:szCs w:val="18"/>
                <w:lang w:eastAsia="it-IT"/>
              </w:rPr>
              <w:t>Contributo lotteria festa 8 settembre 2024</w:t>
            </w:r>
          </w:p>
        </w:tc>
        <w:tc>
          <w:tcPr>
            <w:tcW w:w="1540" w:type="dxa"/>
            <w:tcBorders>
              <w:top w:val="nil"/>
              <w:left w:val="nil"/>
              <w:bottom w:val="single" w:sz="4" w:space="0" w:color="auto"/>
              <w:right w:val="single" w:sz="4" w:space="0" w:color="auto"/>
            </w:tcBorders>
            <w:shd w:val="clear" w:color="000000" w:fill="FFFFFF"/>
            <w:vAlign w:val="bottom"/>
            <w:hideMark/>
          </w:tcPr>
          <w:p w14:paraId="40366C74" w14:textId="77777777" w:rsidR="00E6179B" w:rsidRPr="00E6179B" w:rsidRDefault="00E6179B" w:rsidP="00E6179B">
            <w:pPr>
              <w:suppressAutoHyphens w:val="0"/>
              <w:rPr>
                <w:sz w:val="18"/>
                <w:szCs w:val="18"/>
                <w:lang w:eastAsia="it-IT"/>
              </w:rPr>
            </w:pPr>
            <w:r w:rsidRPr="00E6179B">
              <w:rPr>
                <w:sz w:val="18"/>
                <w:szCs w:val="18"/>
                <w:lang w:eastAsia="it-IT"/>
              </w:rPr>
              <w:t>delibera e determina</w:t>
            </w:r>
          </w:p>
        </w:tc>
        <w:tc>
          <w:tcPr>
            <w:tcW w:w="1060" w:type="dxa"/>
            <w:tcBorders>
              <w:top w:val="nil"/>
              <w:left w:val="nil"/>
              <w:bottom w:val="single" w:sz="4" w:space="0" w:color="auto"/>
              <w:right w:val="single" w:sz="4" w:space="0" w:color="auto"/>
            </w:tcBorders>
            <w:shd w:val="clear" w:color="000000" w:fill="FFFFFF"/>
            <w:vAlign w:val="bottom"/>
            <w:hideMark/>
          </w:tcPr>
          <w:p w14:paraId="02EB6E3E" w14:textId="77777777" w:rsidR="00E6179B" w:rsidRPr="00E6179B" w:rsidRDefault="00E6179B" w:rsidP="00E6179B">
            <w:pPr>
              <w:suppressAutoHyphens w:val="0"/>
              <w:jc w:val="center"/>
              <w:rPr>
                <w:sz w:val="18"/>
                <w:szCs w:val="18"/>
                <w:lang w:eastAsia="it-IT"/>
              </w:rPr>
            </w:pPr>
            <w:r w:rsidRPr="00E6179B">
              <w:rPr>
                <w:sz w:val="18"/>
                <w:szCs w:val="18"/>
                <w:lang w:eastAsia="it-IT"/>
              </w:rPr>
              <w:t>494</w:t>
            </w:r>
          </w:p>
        </w:tc>
        <w:tc>
          <w:tcPr>
            <w:tcW w:w="1160" w:type="dxa"/>
            <w:tcBorders>
              <w:top w:val="nil"/>
              <w:left w:val="nil"/>
              <w:bottom w:val="single" w:sz="4" w:space="0" w:color="auto"/>
              <w:right w:val="single" w:sz="4" w:space="0" w:color="auto"/>
            </w:tcBorders>
            <w:shd w:val="clear" w:color="000000" w:fill="FFFFFF"/>
            <w:noWrap/>
            <w:vAlign w:val="bottom"/>
            <w:hideMark/>
          </w:tcPr>
          <w:p w14:paraId="1CF0FAAC" w14:textId="77777777" w:rsidR="00E6179B" w:rsidRPr="00E6179B" w:rsidRDefault="00E6179B" w:rsidP="00E6179B">
            <w:pPr>
              <w:suppressAutoHyphens w:val="0"/>
              <w:jc w:val="center"/>
              <w:rPr>
                <w:sz w:val="18"/>
                <w:szCs w:val="18"/>
                <w:lang w:eastAsia="it-IT"/>
              </w:rPr>
            </w:pPr>
            <w:r w:rsidRPr="00E6179B">
              <w:rPr>
                <w:sz w:val="18"/>
                <w:szCs w:val="18"/>
                <w:lang w:eastAsia="it-IT"/>
              </w:rPr>
              <w:t>€ 250,00</w:t>
            </w:r>
          </w:p>
        </w:tc>
        <w:tc>
          <w:tcPr>
            <w:tcW w:w="960" w:type="dxa"/>
            <w:tcBorders>
              <w:top w:val="nil"/>
              <w:left w:val="nil"/>
              <w:bottom w:val="single" w:sz="4" w:space="0" w:color="auto"/>
              <w:right w:val="single" w:sz="4" w:space="0" w:color="auto"/>
            </w:tcBorders>
            <w:shd w:val="clear" w:color="000000" w:fill="FFFFFF"/>
            <w:vAlign w:val="bottom"/>
            <w:hideMark/>
          </w:tcPr>
          <w:p w14:paraId="63CD4A2A"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7DBEE61"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A7C59F1" w14:textId="77777777" w:rsidR="00E6179B" w:rsidRPr="00E6179B" w:rsidRDefault="00E6179B" w:rsidP="00E6179B">
            <w:pPr>
              <w:suppressAutoHyphens w:val="0"/>
              <w:rPr>
                <w:sz w:val="18"/>
                <w:szCs w:val="18"/>
                <w:lang w:eastAsia="it-IT"/>
              </w:rPr>
            </w:pPr>
            <w:r w:rsidRPr="00E6179B">
              <w:rPr>
                <w:sz w:val="18"/>
                <w:szCs w:val="18"/>
                <w:lang w:eastAsia="it-IT"/>
              </w:rPr>
              <w:t>AUSER VOLONTARIATO ALA MEDIA VALLE DEL TEVERE</w:t>
            </w:r>
          </w:p>
        </w:tc>
        <w:tc>
          <w:tcPr>
            <w:tcW w:w="2060" w:type="dxa"/>
            <w:tcBorders>
              <w:top w:val="nil"/>
              <w:left w:val="nil"/>
              <w:bottom w:val="single" w:sz="4" w:space="0" w:color="auto"/>
              <w:right w:val="single" w:sz="4" w:space="0" w:color="auto"/>
            </w:tcBorders>
            <w:shd w:val="clear" w:color="000000" w:fill="FFFFFF"/>
            <w:vAlign w:val="bottom"/>
            <w:hideMark/>
          </w:tcPr>
          <w:p w14:paraId="3F935EF9" w14:textId="77777777" w:rsidR="00E6179B" w:rsidRPr="00E6179B" w:rsidRDefault="00E6179B" w:rsidP="00E6179B">
            <w:pPr>
              <w:suppressAutoHyphens w:val="0"/>
              <w:rPr>
                <w:sz w:val="18"/>
                <w:szCs w:val="18"/>
                <w:lang w:eastAsia="it-IT"/>
              </w:rPr>
            </w:pPr>
            <w:r w:rsidRPr="00E6179B">
              <w:rPr>
                <w:sz w:val="18"/>
                <w:szCs w:val="18"/>
                <w:lang w:eastAsia="it-IT"/>
              </w:rPr>
              <w:t>rimborsi spese per attività di volontariato</w:t>
            </w:r>
          </w:p>
        </w:tc>
        <w:tc>
          <w:tcPr>
            <w:tcW w:w="1540" w:type="dxa"/>
            <w:tcBorders>
              <w:top w:val="nil"/>
              <w:left w:val="nil"/>
              <w:bottom w:val="single" w:sz="4" w:space="0" w:color="auto"/>
              <w:right w:val="single" w:sz="4" w:space="0" w:color="auto"/>
            </w:tcBorders>
            <w:shd w:val="clear" w:color="000000" w:fill="FFFFFF"/>
            <w:vAlign w:val="bottom"/>
            <w:hideMark/>
          </w:tcPr>
          <w:p w14:paraId="13AF49EE" w14:textId="77777777" w:rsidR="00E6179B" w:rsidRPr="00E6179B" w:rsidRDefault="00E6179B" w:rsidP="00E6179B">
            <w:pPr>
              <w:suppressAutoHyphens w:val="0"/>
              <w:rPr>
                <w:sz w:val="18"/>
                <w:szCs w:val="18"/>
                <w:lang w:eastAsia="it-IT"/>
              </w:rPr>
            </w:pPr>
            <w:r w:rsidRPr="00E6179B">
              <w:rPr>
                <w:sz w:val="18"/>
                <w:szCs w:val="18"/>
                <w:lang w:eastAsia="it-IT"/>
              </w:rPr>
              <w:t>Convenzione triennale vigente</w:t>
            </w:r>
          </w:p>
        </w:tc>
        <w:tc>
          <w:tcPr>
            <w:tcW w:w="1060" w:type="dxa"/>
            <w:tcBorders>
              <w:top w:val="nil"/>
              <w:left w:val="nil"/>
              <w:bottom w:val="single" w:sz="4" w:space="0" w:color="auto"/>
              <w:right w:val="single" w:sz="4" w:space="0" w:color="auto"/>
            </w:tcBorders>
            <w:shd w:val="clear" w:color="000000" w:fill="FFFFFF"/>
            <w:vAlign w:val="bottom"/>
            <w:hideMark/>
          </w:tcPr>
          <w:p w14:paraId="46B3F046" w14:textId="77777777" w:rsidR="00E6179B" w:rsidRPr="00E6179B" w:rsidRDefault="00E6179B" w:rsidP="00E6179B">
            <w:pPr>
              <w:suppressAutoHyphens w:val="0"/>
              <w:jc w:val="center"/>
              <w:rPr>
                <w:sz w:val="18"/>
                <w:szCs w:val="18"/>
                <w:lang w:eastAsia="it-IT"/>
              </w:rPr>
            </w:pPr>
            <w:r w:rsidRPr="00E6179B">
              <w:rPr>
                <w:sz w:val="18"/>
                <w:szCs w:val="18"/>
                <w:lang w:eastAsia="it-IT"/>
              </w:rPr>
              <w:t>varie</w:t>
            </w:r>
          </w:p>
        </w:tc>
        <w:tc>
          <w:tcPr>
            <w:tcW w:w="1160" w:type="dxa"/>
            <w:tcBorders>
              <w:top w:val="nil"/>
              <w:left w:val="nil"/>
              <w:bottom w:val="single" w:sz="4" w:space="0" w:color="auto"/>
              <w:right w:val="single" w:sz="4" w:space="0" w:color="auto"/>
            </w:tcBorders>
            <w:shd w:val="clear" w:color="000000" w:fill="FFFFFF"/>
            <w:vAlign w:val="bottom"/>
            <w:hideMark/>
          </w:tcPr>
          <w:p w14:paraId="00158BD8" w14:textId="77777777" w:rsidR="00E6179B" w:rsidRPr="00E6179B" w:rsidRDefault="00E6179B" w:rsidP="00E6179B">
            <w:pPr>
              <w:suppressAutoHyphens w:val="0"/>
              <w:jc w:val="right"/>
              <w:rPr>
                <w:sz w:val="18"/>
                <w:szCs w:val="18"/>
                <w:lang w:eastAsia="it-IT"/>
              </w:rPr>
            </w:pPr>
            <w:r w:rsidRPr="00E6179B">
              <w:rPr>
                <w:sz w:val="18"/>
                <w:szCs w:val="18"/>
                <w:lang w:eastAsia="it-IT"/>
              </w:rPr>
              <w:t>€ 12.740,00</w:t>
            </w:r>
          </w:p>
        </w:tc>
        <w:tc>
          <w:tcPr>
            <w:tcW w:w="960" w:type="dxa"/>
            <w:tcBorders>
              <w:top w:val="nil"/>
              <w:left w:val="nil"/>
              <w:bottom w:val="single" w:sz="4" w:space="0" w:color="auto"/>
              <w:right w:val="single" w:sz="4" w:space="0" w:color="auto"/>
            </w:tcBorders>
            <w:shd w:val="clear" w:color="000000" w:fill="FFFFFF"/>
            <w:vAlign w:val="bottom"/>
            <w:hideMark/>
          </w:tcPr>
          <w:p w14:paraId="55A28BD9"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115FEAF"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2B54F1F5" w14:textId="77777777" w:rsidR="00E6179B" w:rsidRPr="00E6179B" w:rsidRDefault="00E6179B" w:rsidP="00E6179B">
            <w:pPr>
              <w:suppressAutoHyphens w:val="0"/>
              <w:rPr>
                <w:sz w:val="18"/>
                <w:szCs w:val="18"/>
                <w:lang w:eastAsia="it-IT"/>
              </w:rPr>
            </w:pPr>
            <w:r w:rsidRPr="00E6179B">
              <w:rPr>
                <w:sz w:val="18"/>
                <w:szCs w:val="18"/>
                <w:lang w:eastAsia="it-IT"/>
              </w:rPr>
              <w:t>La Rosa dell'Umbria Onlus (protezione civile)</w:t>
            </w:r>
          </w:p>
        </w:tc>
        <w:tc>
          <w:tcPr>
            <w:tcW w:w="2060" w:type="dxa"/>
            <w:tcBorders>
              <w:top w:val="nil"/>
              <w:left w:val="nil"/>
              <w:bottom w:val="single" w:sz="4" w:space="0" w:color="auto"/>
              <w:right w:val="single" w:sz="4" w:space="0" w:color="auto"/>
            </w:tcBorders>
            <w:shd w:val="clear" w:color="000000" w:fill="FFFFFF"/>
            <w:vAlign w:val="bottom"/>
            <w:hideMark/>
          </w:tcPr>
          <w:p w14:paraId="74D2FB00" w14:textId="77777777" w:rsidR="00E6179B" w:rsidRPr="00E6179B" w:rsidRDefault="00E6179B" w:rsidP="00E6179B">
            <w:pPr>
              <w:suppressAutoHyphens w:val="0"/>
              <w:rPr>
                <w:sz w:val="18"/>
                <w:szCs w:val="18"/>
                <w:lang w:eastAsia="it-IT"/>
              </w:rPr>
            </w:pPr>
            <w:r w:rsidRPr="00E6179B">
              <w:rPr>
                <w:sz w:val="18"/>
                <w:szCs w:val="18"/>
                <w:lang w:eastAsia="it-IT"/>
              </w:rPr>
              <w:t>contributo per attività festa 8.9.2024</w:t>
            </w:r>
          </w:p>
        </w:tc>
        <w:tc>
          <w:tcPr>
            <w:tcW w:w="1540" w:type="dxa"/>
            <w:tcBorders>
              <w:top w:val="nil"/>
              <w:left w:val="nil"/>
              <w:bottom w:val="single" w:sz="4" w:space="0" w:color="auto"/>
              <w:right w:val="single" w:sz="4" w:space="0" w:color="auto"/>
            </w:tcBorders>
            <w:shd w:val="clear" w:color="000000" w:fill="FFFFFF"/>
            <w:vAlign w:val="bottom"/>
            <w:hideMark/>
          </w:tcPr>
          <w:p w14:paraId="5CF41547" w14:textId="77777777" w:rsidR="00E6179B" w:rsidRPr="00E6179B" w:rsidRDefault="00E6179B" w:rsidP="00E6179B">
            <w:pPr>
              <w:suppressAutoHyphens w:val="0"/>
              <w:rPr>
                <w:sz w:val="18"/>
                <w:szCs w:val="18"/>
                <w:lang w:eastAsia="it-IT"/>
              </w:rPr>
            </w:pPr>
            <w:r w:rsidRPr="00E6179B">
              <w:rPr>
                <w:sz w:val="18"/>
                <w:szCs w:val="18"/>
                <w:lang w:eastAsia="it-IT"/>
              </w:rPr>
              <w:t>Mandato</w:t>
            </w:r>
          </w:p>
        </w:tc>
        <w:tc>
          <w:tcPr>
            <w:tcW w:w="1060" w:type="dxa"/>
            <w:tcBorders>
              <w:top w:val="nil"/>
              <w:left w:val="nil"/>
              <w:bottom w:val="single" w:sz="4" w:space="0" w:color="auto"/>
              <w:right w:val="single" w:sz="4" w:space="0" w:color="auto"/>
            </w:tcBorders>
            <w:shd w:val="clear" w:color="000000" w:fill="FFFFFF"/>
            <w:vAlign w:val="bottom"/>
            <w:hideMark/>
          </w:tcPr>
          <w:p w14:paraId="1AE11C63" w14:textId="77777777" w:rsidR="00E6179B" w:rsidRPr="00E6179B" w:rsidRDefault="00E6179B" w:rsidP="00E6179B">
            <w:pPr>
              <w:suppressAutoHyphens w:val="0"/>
              <w:jc w:val="center"/>
              <w:rPr>
                <w:sz w:val="18"/>
                <w:szCs w:val="18"/>
                <w:lang w:eastAsia="it-IT"/>
              </w:rPr>
            </w:pPr>
            <w:r w:rsidRPr="00E6179B">
              <w:rPr>
                <w:sz w:val="18"/>
                <w:szCs w:val="18"/>
                <w:lang w:eastAsia="it-IT"/>
              </w:rPr>
              <w:t>429</w:t>
            </w:r>
          </w:p>
        </w:tc>
        <w:tc>
          <w:tcPr>
            <w:tcW w:w="1160" w:type="dxa"/>
            <w:tcBorders>
              <w:top w:val="nil"/>
              <w:left w:val="nil"/>
              <w:bottom w:val="single" w:sz="4" w:space="0" w:color="auto"/>
              <w:right w:val="single" w:sz="4" w:space="0" w:color="auto"/>
            </w:tcBorders>
            <w:shd w:val="clear" w:color="000000" w:fill="FFFFFF"/>
            <w:vAlign w:val="bottom"/>
            <w:hideMark/>
          </w:tcPr>
          <w:p w14:paraId="490AC267" w14:textId="77777777" w:rsidR="00E6179B" w:rsidRPr="00E6179B" w:rsidRDefault="00E6179B" w:rsidP="00E6179B">
            <w:pPr>
              <w:suppressAutoHyphens w:val="0"/>
              <w:jc w:val="right"/>
              <w:rPr>
                <w:sz w:val="18"/>
                <w:szCs w:val="18"/>
                <w:lang w:eastAsia="it-IT"/>
              </w:rPr>
            </w:pPr>
            <w:r w:rsidRPr="00E6179B">
              <w:rPr>
                <w:sz w:val="18"/>
                <w:szCs w:val="18"/>
                <w:lang w:eastAsia="it-IT"/>
              </w:rPr>
              <w:t>€ 1.000,00</w:t>
            </w:r>
          </w:p>
        </w:tc>
        <w:tc>
          <w:tcPr>
            <w:tcW w:w="960" w:type="dxa"/>
            <w:tcBorders>
              <w:top w:val="nil"/>
              <w:left w:val="nil"/>
              <w:bottom w:val="single" w:sz="4" w:space="0" w:color="auto"/>
              <w:right w:val="single" w:sz="4" w:space="0" w:color="auto"/>
            </w:tcBorders>
            <w:shd w:val="clear" w:color="000000" w:fill="FFFFFF"/>
            <w:vAlign w:val="bottom"/>
            <w:hideMark/>
          </w:tcPr>
          <w:p w14:paraId="3CD0CB5A"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93B12F7" w14:textId="77777777" w:rsidTr="00E6179B">
        <w:trPr>
          <w:trHeight w:val="765"/>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3D841E3" w14:textId="77777777" w:rsidR="00E6179B" w:rsidRPr="00E6179B" w:rsidRDefault="00E6179B" w:rsidP="00E6179B">
            <w:pPr>
              <w:suppressAutoHyphens w:val="0"/>
              <w:rPr>
                <w:sz w:val="20"/>
                <w:szCs w:val="20"/>
                <w:lang w:eastAsia="it-IT"/>
              </w:rPr>
            </w:pPr>
            <w:r w:rsidRPr="00E6179B">
              <w:rPr>
                <w:sz w:val="20"/>
                <w:szCs w:val="20"/>
                <w:lang w:eastAsia="it-IT"/>
              </w:rPr>
              <w:t>IIS CIUFFELLI EINAUDI</w:t>
            </w:r>
          </w:p>
        </w:tc>
        <w:tc>
          <w:tcPr>
            <w:tcW w:w="2060" w:type="dxa"/>
            <w:tcBorders>
              <w:top w:val="nil"/>
              <w:left w:val="nil"/>
              <w:bottom w:val="single" w:sz="4" w:space="0" w:color="auto"/>
              <w:right w:val="single" w:sz="4" w:space="0" w:color="auto"/>
            </w:tcBorders>
            <w:shd w:val="clear" w:color="000000" w:fill="FFFFFF"/>
            <w:vAlign w:val="bottom"/>
            <w:hideMark/>
          </w:tcPr>
          <w:p w14:paraId="0A6471CB" w14:textId="77777777" w:rsidR="00E6179B" w:rsidRPr="00E6179B" w:rsidRDefault="00E6179B" w:rsidP="00E6179B">
            <w:pPr>
              <w:suppressAutoHyphens w:val="0"/>
              <w:rPr>
                <w:sz w:val="20"/>
                <w:szCs w:val="20"/>
                <w:lang w:eastAsia="it-IT"/>
              </w:rPr>
            </w:pPr>
            <w:r w:rsidRPr="00E6179B">
              <w:rPr>
                <w:sz w:val="20"/>
                <w:szCs w:val="20"/>
                <w:lang w:eastAsia="it-IT"/>
              </w:rPr>
              <w:t xml:space="preserve">borse di studio studenti dell'IIS Ciuffelli di Todi </w:t>
            </w:r>
            <w:proofErr w:type="spellStart"/>
            <w:r w:rsidRPr="00E6179B">
              <w:rPr>
                <w:sz w:val="20"/>
                <w:szCs w:val="20"/>
                <w:lang w:eastAsia="it-IT"/>
              </w:rPr>
              <w:t>a.s.</w:t>
            </w:r>
            <w:proofErr w:type="spellEnd"/>
            <w:r w:rsidRPr="00E6179B">
              <w:rPr>
                <w:sz w:val="20"/>
                <w:szCs w:val="20"/>
                <w:lang w:eastAsia="it-IT"/>
              </w:rPr>
              <w:t xml:space="preserve"> 2024/2025</w:t>
            </w:r>
          </w:p>
        </w:tc>
        <w:tc>
          <w:tcPr>
            <w:tcW w:w="1540" w:type="dxa"/>
            <w:tcBorders>
              <w:top w:val="nil"/>
              <w:left w:val="nil"/>
              <w:bottom w:val="single" w:sz="4" w:space="0" w:color="auto"/>
              <w:right w:val="single" w:sz="4" w:space="0" w:color="auto"/>
            </w:tcBorders>
            <w:shd w:val="clear" w:color="000000" w:fill="FFFFFF"/>
            <w:vAlign w:val="bottom"/>
            <w:hideMark/>
          </w:tcPr>
          <w:p w14:paraId="4A6E216F" w14:textId="77777777" w:rsidR="00E6179B" w:rsidRPr="00E6179B" w:rsidRDefault="00E6179B" w:rsidP="00E6179B">
            <w:pPr>
              <w:suppressAutoHyphens w:val="0"/>
              <w:rPr>
                <w:sz w:val="18"/>
                <w:szCs w:val="18"/>
                <w:lang w:eastAsia="it-IT"/>
              </w:rPr>
            </w:pPr>
            <w:r w:rsidRPr="00E6179B">
              <w:rPr>
                <w:sz w:val="18"/>
                <w:szCs w:val="18"/>
                <w:lang w:eastAsia="it-IT"/>
              </w:rPr>
              <w:t>Bando</w:t>
            </w:r>
          </w:p>
        </w:tc>
        <w:tc>
          <w:tcPr>
            <w:tcW w:w="1060" w:type="dxa"/>
            <w:tcBorders>
              <w:top w:val="nil"/>
              <w:left w:val="nil"/>
              <w:bottom w:val="single" w:sz="4" w:space="0" w:color="auto"/>
              <w:right w:val="single" w:sz="4" w:space="0" w:color="auto"/>
            </w:tcBorders>
            <w:shd w:val="clear" w:color="000000" w:fill="FFFFFF"/>
            <w:vAlign w:val="bottom"/>
            <w:hideMark/>
          </w:tcPr>
          <w:p w14:paraId="7E056B00" w14:textId="77777777" w:rsidR="00E6179B" w:rsidRPr="00E6179B" w:rsidRDefault="00E6179B" w:rsidP="00E6179B">
            <w:pPr>
              <w:suppressAutoHyphens w:val="0"/>
              <w:jc w:val="center"/>
              <w:rPr>
                <w:sz w:val="18"/>
                <w:szCs w:val="18"/>
                <w:lang w:eastAsia="it-IT"/>
              </w:rPr>
            </w:pPr>
            <w:r w:rsidRPr="00E6179B">
              <w:rPr>
                <w:sz w:val="18"/>
                <w:szCs w:val="18"/>
                <w:lang w:eastAsia="it-IT"/>
              </w:rPr>
              <w:t>595</w:t>
            </w:r>
          </w:p>
        </w:tc>
        <w:tc>
          <w:tcPr>
            <w:tcW w:w="1160" w:type="dxa"/>
            <w:tcBorders>
              <w:top w:val="nil"/>
              <w:left w:val="nil"/>
              <w:bottom w:val="single" w:sz="4" w:space="0" w:color="auto"/>
              <w:right w:val="single" w:sz="4" w:space="0" w:color="auto"/>
            </w:tcBorders>
            <w:shd w:val="clear" w:color="000000" w:fill="FFFFFF"/>
            <w:vAlign w:val="bottom"/>
            <w:hideMark/>
          </w:tcPr>
          <w:p w14:paraId="30E6CA60" w14:textId="77777777" w:rsidR="00E6179B" w:rsidRPr="00E6179B" w:rsidRDefault="00E6179B" w:rsidP="00E6179B">
            <w:pPr>
              <w:suppressAutoHyphens w:val="0"/>
              <w:jc w:val="right"/>
              <w:rPr>
                <w:sz w:val="18"/>
                <w:szCs w:val="18"/>
                <w:lang w:eastAsia="it-IT"/>
              </w:rPr>
            </w:pPr>
            <w:r w:rsidRPr="00E6179B">
              <w:rPr>
                <w:sz w:val="18"/>
                <w:szCs w:val="18"/>
                <w:lang w:eastAsia="it-IT"/>
              </w:rPr>
              <w:t>€ 4.000,00</w:t>
            </w:r>
          </w:p>
        </w:tc>
        <w:tc>
          <w:tcPr>
            <w:tcW w:w="960" w:type="dxa"/>
            <w:tcBorders>
              <w:top w:val="nil"/>
              <w:left w:val="nil"/>
              <w:bottom w:val="single" w:sz="4" w:space="0" w:color="auto"/>
              <w:right w:val="single" w:sz="4" w:space="0" w:color="auto"/>
            </w:tcBorders>
            <w:shd w:val="clear" w:color="000000" w:fill="FFFFFF"/>
            <w:vAlign w:val="bottom"/>
            <w:hideMark/>
          </w:tcPr>
          <w:p w14:paraId="20EE8398"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13F8975F" w14:textId="77777777" w:rsidTr="00E6179B">
        <w:trPr>
          <w:trHeight w:val="51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A538923" w14:textId="77777777" w:rsidR="00E6179B" w:rsidRPr="00E6179B" w:rsidRDefault="00E6179B" w:rsidP="00E6179B">
            <w:pPr>
              <w:suppressAutoHyphens w:val="0"/>
              <w:rPr>
                <w:sz w:val="20"/>
                <w:szCs w:val="20"/>
                <w:lang w:eastAsia="it-IT"/>
              </w:rPr>
            </w:pPr>
            <w:r w:rsidRPr="00E6179B">
              <w:rPr>
                <w:sz w:val="20"/>
                <w:szCs w:val="20"/>
                <w:lang w:eastAsia="it-IT"/>
              </w:rPr>
              <w:t>IIS CIUFFELLI EINAUDI</w:t>
            </w:r>
          </w:p>
        </w:tc>
        <w:tc>
          <w:tcPr>
            <w:tcW w:w="2060" w:type="dxa"/>
            <w:tcBorders>
              <w:top w:val="nil"/>
              <w:left w:val="nil"/>
              <w:bottom w:val="single" w:sz="4" w:space="0" w:color="auto"/>
              <w:right w:val="single" w:sz="4" w:space="0" w:color="auto"/>
            </w:tcBorders>
            <w:shd w:val="clear" w:color="000000" w:fill="FFFFFF"/>
            <w:vAlign w:val="bottom"/>
            <w:hideMark/>
          </w:tcPr>
          <w:p w14:paraId="21C0E3DA" w14:textId="77777777" w:rsidR="00E6179B" w:rsidRPr="00E6179B" w:rsidRDefault="00E6179B" w:rsidP="00E6179B">
            <w:pPr>
              <w:suppressAutoHyphens w:val="0"/>
              <w:rPr>
                <w:sz w:val="20"/>
                <w:szCs w:val="20"/>
                <w:lang w:eastAsia="it-IT"/>
              </w:rPr>
            </w:pPr>
            <w:r w:rsidRPr="00E6179B">
              <w:rPr>
                <w:sz w:val="20"/>
                <w:szCs w:val="20"/>
                <w:lang w:eastAsia="it-IT"/>
              </w:rPr>
              <w:t>Progetto contapersone</w:t>
            </w:r>
          </w:p>
        </w:tc>
        <w:tc>
          <w:tcPr>
            <w:tcW w:w="1540" w:type="dxa"/>
            <w:tcBorders>
              <w:top w:val="nil"/>
              <w:left w:val="nil"/>
              <w:bottom w:val="single" w:sz="4" w:space="0" w:color="auto"/>
              <w:right w:val="single" w:sz="4" w:space="0" w:color="auto"/>
            </w:tcBorders>
            <w:shd w:val="clear" w:color="000000" w:fill="FFFFFF"/>
            <w:vAlign w:val="bottom"/>
            <w:hideMark/>
          </w:tcPr>
          <w:p w14:paraId="7FF1D764"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7BE1162E" w14:textId="77777777" w:rsidR="00E6179B" w:rsidRPr="00E6179B" w:rsidRDefault="00E6179B" w:rsidP="00E6179B">
            <w:pPr>
              <w:suppressAutoHyphens w:val="0"/>
              <w:jc w:val="center"/>
              <w:rPr>
                <w:sz w:val="18"/>
                <w:szCs w:val="18"/>
                <w:lang w:eastAsia="it-IT"/>
              </w:rPr>
            </w:pPr>
            <w:r w:rsidRPr="00E6179B">
              <w:rPr>
                <w:sz w:val="18"/>
                <w:szCs w:val="18"/>
                <w:lang w:eastAsia="it-IT"/>
              </w:rPr>
              <w:t>112</w:t>
            </w:r>
          </w:p>
        </w:tc>
        <w:tc>
          <w:tcPr>
            <w:tcW w:w="1160" w:type="dxa"/>
            <w:tcBorders>
              <w:top w:val="nil"/>
              <w:left w:val="nil"/>
              <w:bottom w:val="single" w:sz="4" w:space="0" w:color="auto"/>
              <w:right w:val="single" w:sz="4" w:space="0" w:color="auto"/>
            </w:tcBorders>
            <w:shd w:val="clear" w:color="000000" w:fill="FFFFFF"/>
            <w:vAlign w:val="bottom"/>
            <w:hideMark/>
          </w:tcPr>
          <w:p w14:paraId="051CD07C" w14:textId="77777777" w:rsidR="00E6179B" w:rsidRPr="00E6179B" w:rsidRDefault="00E6179B" w:rsidP="00E6179B">
            <w:pPr>
              <w:suppressAutoHyphens w:val="0"/>
              <w:jc w:val="right"/>
              <w:rPr>
                <w:sz w:val="18"/>
                <w:szCs w:val="18"/>
                <w:lang w:eastAsia="it-IT"/>
              </w:rPr>
            </w:pPr>
            <w:r w:rsidRPr="00E6179B">
              <w:rPr>
                <w:sz w:val="18"/>
                <w:szCs w:val="18"/>
                <w:lang w:eastAsia="it-IT"/>
              </w:rPr>
              <w:t>€ 800,00</w:t>
            </w:r>
          </w:p>
        </w:tc>
        <w:tc>
          <w:tcPr>
            <w:tcW w:w="960" w:type="dxa"/>
            <w:tcBorders>
              <w:top w:val="nil"/>
              <w:left w:val="nil"/>
              <w:bottom w:val="single" w:sz="4" w:space="0" w:color="auto"/>
              <w:right w:val="single" w:sz="4" w:space="0" w:color="auto"/>
            </w:tcBorders>
            <w:shd w:val="clear" w:color="000000" w:fill="FFFFFF"/>
            <w:vAlign w:val="bottom"/>
            <w:hideMark/>
          </w:tcPr>
          <w:p w14:paraId="3D76DC92"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00A890DD" w14:textId="77777777" w:rsidTr="00E6179B">
        <w:trPr>
          <w:trHeight w:val="51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42D3D22E" w14:textId="77777777" w:rsidR="00E6179B" w:rsidRPr="00E6179B" w:rsidRDefault="00E6179B" w:rsidP="00E6179B">
            <w:pPr>
              <w:suppressAutoHyphens w:val="0"/>
              <w:rPr>
                <w:sz w:val="20"/>
                <w:szCs w:val="20"/>
                <w:lang w:eastAsia="it-IT"/>
              </w:rPr>
            </w:pPr>
            <w:r w:rsidRPr="00E6179B">
              <w:rPr>
                <w:sz w:val="20"/>
                <w:szCs w:val="20"/>
                <w:lang w:eastAsia="it-IT"/>
              </w:rPr>
              <w:t>IIS CIUFFELLI EINAUDI</w:t>
            </w:r>
          </w:p>
        </w:tc>
        <w:tc>
          <w:tcPr>
            <w:tcW w:w="2060" w:type="dxa"/>
            <w:tcBorders>
              <w:top w:val="nil"/>
              <w:left w:val="nil"/>
              <w:bottom w:val="single" w:sz="4" w:space="0" w:color="auto"/>
              <w:right w:val="single" w:sz="4" w:space="0" w:color="auto"/>
            </w:tcBorders>
            <w:shd w:val="clear" w:color="000000" w:fill="FFFFFF"/>
            <w:vAlign w:val="bottom"/>
            <w:hideMark/>
          </w:tcPr>
          <w:p w14:paraId="5333112A" w14:textId="77777777" w:rsidR="00E6179B" w:rsidRPr="00E6179B" w:rsidRDefault="00E6179B" w:rsidP="00E6179B">
            <w:pPr>
              <w:suppressAutoHyphens w:val="0"/>
              <w:rPr>
                <w:sz w:val="20"/>
                <w:szCs w:val="20"/>
                <w:lang w:eastAsia="it-IT"/>
              </w:rPr>
            </w:pPr>
            <w:r w:rsidRPr="00E6179B">
              <w:rPr>
                <w:sz w:val="20"/>
                <w:szCs w:val="20"/>
                <w:lang w:eastAsia="it-IT"/>
              </w:rPr>
              <w:t>“Patentino per cittadini digitali”</w:t>
            </w:r>
          </w:p>
        </w:tc>
        <w:tc>
          <w:tcPr>
            <w:tcW w:w="1540" w:type="dxa"/>
            <w:tcBorders>
              <w:top w:val="nil"/>
              <w:left w:val="nil"/>
              <w:bottom w:val="single" w:sz="4" w:space="0" w:color="auto"/>
              <w:right w:val="single" w:sz="4" w:space="0" w:color="auto"/>
            </w:tcBorders>
            <w:shd w:val="clear" w:color="000000" w:fill="FFFFFF"/>
            <w:vAlign w:val="bottom"/>
            <w:hideMark/>
          </w:tcPr>
          <w:p w14:paraId="69266C05"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020AEE03" w14:textId="77777777" w:rsidR="00E6179B" w:rsidRPr="00E6179B" w:rsidRDefault="00E6179B" w:rsidP="00E6179B">
            <w:pPr>
              <w:suppressAutoHyphens w:val="0"/>
              <w:jc w:val="center"/>
              <w:rPr>
                <w:sz w:val="18"/>
                <w:szCs w:val="18"/>
                <w:lang w:eastAsia="it-IT"/>
              </w:rPr>
            </w:pPr>
            <w:r w:rsidRPr="00E6179B">
              <w:rPr>
                <w:sz w:val="18"/>
                <w:szCs w:val="18"/>
                <w:lang w:eastAsia="it-IT"/>
              </w:rPr>
              <w:t>579</w:t>
            </w:r>
          </w:p>
        </w:tc>
        <w:tc>
          <w:tcPr>
            <w:tcW w:w="1160" w:type="dxa"/>
            <w:tcBorders>
              <w:top w:val="nil"/>
              <w:left w:val="nil"/>
              <w:bottom w:val="single" w:sz="4" w:space="0" w:color="auto"/>
              <w:right w:val="single" w:sz="4" w:space="0" w:color="auto"/>
            </w:tcBorders>
            <w:shd w:val="clear" w:color="000000" w:fill="FFFFFF"/>
            <w:vAlign w:val="bottom"/>
            <w:hideMark/>
          </w:tcPr>
          <w:p w14:paraId="785995AB" w14:textId="77777777" w:rsidR="00E6179B" w:rsidRPr="00E6179B" w:rsidRDefault="00E6179B" w:rsidP="00E6179B">
            <w:pPr>
              <w:suppressAutoHyphens w:val="0"/>
              <w:jc w:val="right"/>
              <w:rPr>
                <w:sz w:val="18"/>
                <w:szCs w:val="18"/>
                <w:lang w:eastAsia="it-IT"/>
              </w:rPr>
            </w:pPr>
            <w:r w:rsidRPr="00E6179B">
              <w:rPr>
                <w:sz w:val="18"/>
                <w:szCs w:val="18"/>
                <w:lang w:eastAsia="it-IT"/>
              </w:rPr>
              <w:t>€ 300,00</w:t>
            </w:r>
          </w:p>
        </w:tc>
        <w:tc>
          <w:tcPr>
            <w:tcW w:w="960" w:type="dxa"/>
            <w:tcBorders>
              <w:top w:val="nil"/>
              <w:left w:val="nil"/>
              <w:bottom w:val="single" w:sz="4" w:space="0" w:color="auto"/>
              <w:right w:val="single" w:sz="4" w:space="0" w:color="auto"/>
            </w:tcBorders>
            <w:shd w:val="clear" w:color="000000" w:fill="FFFFFF"/>
            <w:vAlign w:val="bottom"/>
            <w:hideMark/>
          </w:tcPr>
          <w:p w14:paraId="1FCFC440"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8D02782" w14:textId="77777777" w:rsidTr="00E6179B">
        <w:trPr>
          <w:trHeight w:val="51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5DCA17F2" w14:textId="77777777" w:rsidR="00E6179B" w:rsidRPr="00E6179B" w:rsidRDefault="00E6179B" w:rsidP="00E6179B">
            <w:pPr>
              <w:suppressAutoHyphens w:val="0"/>
              <w:rPr>
                <w:sz w:val="20"/>
                <w:szCs w:val="20"/>
                <w:lang w:eastAsia="it-IT"/>
              </w:rPr>
            </w:pPr>
            <w:r w:rsidRPr="00E6179B">
              <w:rPr>
                <w:sz w:val="20"/>
                <w:szCs w:val="20"/>
                <w:lang w:eastAsia="it-IT"/>
              </w:rPr>
              <w:t>IIS CIUFFELLI EINAUDI</w:t>
            </w:r>
          </w:p>
        </w:tc>
        <w:tc>
          <w:tcPr>
            <w:tcW w:w="2060" w:type="dxa"/>
            <w:tcBorders>
              <w:top w:val="nil"/>
              <w:left w:val="nil"/>
              <w:bottom w:val="single" w:sz="4" w:space="0" w:color="auto"/>
              <w:right w:val="single" w:sz="4" w:space="0" w:color="auto"/>
            </w:tcBorders>
            <w:shd w:val="clear" w:color="000000" w:fill="FFFFFF"/>
            <w:vAlign w:val="bottom"/>
            <w:hideMark/>
          </w:tcPr>
          <w:p w14:paraId="2D057875" w14:textId="77777777" w:rsidR="00E6179B" w:rsidRPr="00E6179B" w:rsidRDefault="00E6179B" w:rsidP="00E6179B">
            <w:pPr>
              <w:suppressAutoHyphens w:val="0"/>
              <w:rPr>
                <w:sz w:val="20"/>
                <w:szCs w:val="20"/>
                <w:lang w:eastAsia="it-IT"/>
              </w:rPr>
            </w:pPr>
            <w:r w:rsidRPr="00E6179B">
              <w:rPr>
                <w:sz w:val="20"/>
                <w:szCs w:val="20"/>
                <w:lang w:eastAsia="it-IT"/>
              </w:rPr>
              <w:t>Intervento A.C.</w:t>
            </w:r>
          </w:p>
        </w:tc>
        <w:tc>
          <w:tcPr>
            <w:tcW w:w="1540" w:type="dxa"/>
            <w:tcBorders>
              <w:top w:val="nil"/>
              <w:left w:val="nil"/>
              <w:bottom w:val="single" w:sz="4" w:space="0" w:color="auto"/>
              <w:right w:val="single" w:sz="4" w:space="0" w:color="auto"/>
            </w:tcBorders>
            <w:shd w:val="clear" w:color="000000" w:fill="FFFFFF"/>
            <w:vAlign w:val="bottom"/>
            <w:hideMark/>
          </w:tcPr>
          <w:p w14:paraId="45EAE1C4" w14:textId="77777777" w:rsidR="00E6179B" w:rsidRPr="00E6179B" w:rsidRDefault="00E6179B" w:rsidP="00E6179B">
            <w:pPr>
              <w:suppressAutoHyphens w:val="0"/>
              <w:rPr>
                <w:sz w:val="18"/>
                <w:szCs w:val="18"/>
                <w:lang w:eastAsia="it-IT"/>
              </w:rPr>
            </w:pPr>
            <w:r w:rsidRPr="00E6179B">
              <w:rPr>
                <w:sz w:val="18"/>
                <w:szCs w:val="18"/>
                <w:lang w:eastAsia="it-IT"/>
              </w:rPr>
              <w:t>deliberazione</w:t>
            </w:r>
          </w:p>
        </w:tc>
        <w:tc>
          <w:tcPr>
            <w:tcW w:w="1060" w:type="dxa"/>
            <w:tcBorders>
              <w:top w:val="nil"/>
              <w:left w:val="nil"/>
              <w:bottom w:val="single" w:sz="4" w:space="0" w:color="auto"/>
              <w:right w:val="single" w:sz="4" w:space="0" w:color="auto"/>
            </w:tcBorders>
            <w:shd w:val="clear" w:color="000000" w:fill="FFFFFF"/>
            <w:vAlign w:val="bottom"/>
            <w:hideMark/>
          </w:tcPr>
          <w:p w14:paraId="5EE3FE0F" w14:textId="77777777" w:rsidR="00E6179B" w:rsidRPr="00E6179B" w:rsidRDefault="00E6179B" w:rsidP="00E6179B">
            <w:pPr>
              <w:suppressAutoHyphens w:val="0"/>
              <w:jc w:val="center"/>
              <w:rPr>
                <w:sz w:val="18"/>
                <w:szCs w:val="18"/>
                <w:lang w:eastAsia="it-IT"/>
              </w:rPr>
            </w:pPr>
            <w:r w:rsidRPr="00E6179B">
              <w:rPr>
                <w:sz w:val="18"/>
                <w:szCs w:val="18"/>
                <w:lang w:eastAsia="it-IT"/>
              </w:rPr>
              <w:t>522</w:t>
            </w:r>
          </w:p>
        </w:tc>
        <w:tc>
          <w:tcPr>
            <w:tcW w:w="1160" w:type="dxa"/>
            <w:tcBorders>
              <w:top w:val="nil"/>
              <w:left w:val="nil"/>
              <w:bottom w:val="single" w:sz="4" w:space="0" w:color="auto"/>
              <w:right w:val="single" w:sz="4" w:space="0" w:color="auto"/>
            </w:tcBorders>
            <w:shd w:val="clear" w:color="000000" w:fill="FFFFFF"/>
            <w:vAlign w:val="bottom"/>
            <w:hideMark/>
          </w:tcPr>
          <w:p w14:paraId="6B9667D4" w14:textId="77777777" w:rsidR="00E6179B" w:rsidRPr="00E6179B" w:rsidRDefault="00E6179B" w:rsidP="00E6179B">
            <w:pPr>
              <w:suppressAutoHyphens w:val="0"/>
              <w:jc w:val="right"/>
              <w:rPr>
                <w:sz w:val="18"/>
                <w:szCs w:val="18"/>
                <w:lang w:eastAsia="it-IT"/>
              </w:rPr>
            </w:pPr>
            <w:r w:rsidRPr="00E6179B">
              <w:rPr>
                <w:sz w:val="18"/>
                <w:szCs w:val="18"/>
                <w:lang w:eastAsia="it-IT"/>
              </w:rPr>
              <w:t>€ 600,00</w:t>
            </w:r>
          </w:p>
        </w:tc>
        <w:tc>
          <w:tcPr>
            <w:tcW w:w="960" w:type="dxa"/>
            <w:tcBorders>
              <w:top w:val="nil"/>
              <w:left w:val="nil"/>
              <w:bottom w:val="single" w:sz="4" w:space="0" w:color="auto"/>
              <w:right w:val="single" w:sz="4" w:space="0" w:color="auto"/>
            </w:tcBorders>
            <w:shd w:val="clear" w:color="000000" w:fill="FFFFFF"/>
            <w:vAlign w:val="bottom"/>
            <w:hideMark/>
          </w:tcPr>
          <w:p w14:paraId="041A1CD1"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117A6E33" w14:textId="77777777" w:rsidTr="00E6179B">
        <w:trPr>
          <w:trHeight w:val="51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4889F29" w14:textId="77777777" w:rsidR="00E6179B" w:rsidRPr="00E6179B" w:rsidRDefault="00E6179B" w:rsidP="00E6179B">
            <w:pPr>
              <w:suppressAutoHyphens w:val="0"/>
              <w:rPr>
                <w:sz w:val="20"/>
                <w:szCs w:val="20"/>
                <w:lang w:eastAsia="it-IT"/>
              </w:rPr>
            </w:pPr>
            <w:r w:rsidRPr="00E6179B">
              <w:rPr>
                <w:sz w:val="20"/>
                <w:szCs w:val="20"/>
                <w:lang w:eastAsia="it-IT"/>
              </w:rPr>
              <w:t>IIS CIUFFELLI EINAUDI</w:t>
            </w:r>
          </w:p>
        </w:tc>
        <w:tc>
          <w:tcPr>
            <w:tcW w:w="2060" w:type="dxa"/>
            <w:tcBorders>
              <w:top w:val="nil"/>
              <w:left w:val="nil"/>
              <w:bottom w:val="single" w:sz="4" w:space="0" w:color="auto"/>
              <w:right w:val="single" w:sz="4" w:space="0" w:color="auto"/>
            </w:tcBorders>
            <w:shd w:val="clear" w:color="000000" w:fill="FFFFFF"/>
            <w:vAlign w:val="bottom"/>
            <w:hideMark/>
          </w:tcPr>
          <w:p w14:paraId="684EC853" w14:textId="77777777" w:rsidR="00E6179B" w:rsidRPr="00E6179B" w:rsidRDefault="00E6179B" w:rsidP="00E6179B">
            <w:pPr>
              <w:suppressAutoHyphens w:val="0"/>
              <w:rPr>
                <w:sz w:val="20"/>
                <w:szCs w:val="20"/>
                <w:lang w:eastAsia="it-IT"/>
              </w:rPr>
            </w:pPr>
            <w:r w:rsidRPr="00E6179B">
              <w:rPr>
                <w:sz w:val="20"/>
                <w:szCs w:val="20"/>
                <w:lang w:eastAsia="it-IT"/>
              </w:rPr>
              <w:t xml:space="preserve">progetto AIESEC </w:t>
            </w:r>
          </w:p>
        </w:tc>
        <w:tc>
          <w:tcPr>
            <w:tcW w:w="1540" w:type="dxa"/>
            <w:tcBorders>
              <w:top w:val="nil"/>
              <w:left w:val="nil"/>
              <w:bottom w:val="single" w:sz="4" w:space="0" w:color="auto"/>
              <w:right w:val="single" w:sz="4" w:space="0" w:color="auto"/>
            </w:tcBorders>
            <w:shd w:val="clear" w:color="000000" w:fill="FFFFFF"/>
            <w:vAlign w:val="bottom"/>
            <w:hideMark/>
          </w:tcPr>
          <w:p w14:paraId="31680F97"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002ADBDE" w14:textId="77777777" w:rsidR="00E6179B" w:rsidRPr="00E6179B" w:rsidRDefault="00E6179B" w:rsidP="00E6179B">
            <w:pPr>
              <w:suppressAutoHyphens w:val="0"/>
              <w:jc w:val="center"/>
              <w:rPr>
                <w:sz w:val="18"/>
                <w:szCs w:val="18"/>
                <w:lang w:eastAsia="it-IT"/>
              </w:rPr>
            </w:pPr>
            <w:r w:rsidRPr="00E6179B">
              <w:rPr>
                <w:sz w:val="18"/>
                <w:szCs w:val="18"/>
                <w:lang w:eastAsia="it-IT"/>
              </w:rPr>
              <w:t>521</w:t>
            </w:r>
          </w:p>
        </w:tc>
        <w:tc>
          <w:tcPr>
            <w:tcW w:w="1160" w:type="dxa"/>
            <w:tcBorders>
              <w:top w:val="nil"/>
              <w:left w:val="nil"/>
              <w:bottom w:val="single" w:sz="4" w:space="0" w:color="auto"/>
              <w:right w:val="single" w:sz="4" w:space="0" w:color="auto"/>
            </w:tcBorders>
            <w:shd w:val="clear" w:color="000000" w:fill="FFFFFF"/>
            <w:vAlign w:val="bottom"/>
            <w:hideMark/>
          </w:tcPr>
          <w:p w14:paraId="0741761F" w14:textId="77777777" w:rsidR="00E6179B" w:rsidRPr="00E6179B" w:rsidRDefault="00E6179B" w:rsidP="00E6179B">
            <w:pPr>
              <w:suppressAutoHyphens w:val="0"/>
              <w:jc w:val="right"/>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755D25A7"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6337340"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20E24C82" w14:textId="77777777" w:rsidR="00E6179B" w:rsidRPr="00E6179B" w:rsidRDefault="00E6179B" w:rsidP="00E6179B">
            <w:pPr>
              <w:suppressAutoHyphens w:val="0"/>
              <w:rPr>
                <w:sz w:val="18"/>
                <w:szCs w:val="18"/>
                <w:lang w:eastAsia="it-IT"/>
              </w:rPr>
            </w:pPr>
            <w:r w:rsidRPr="00E6179B">
              <w:rPr>
                <w:sz w:val="18"/>
                <w:szCs w:val="18"/>
                <w:lang w:eastAsia="it-IT"/>
              </w:rPr>
              <w:t>IIS CIUFFELLI EINAUDI -  (diversi studenti)</w:t>
            </w:r>
          </w:p>
        </w:tc>
        <w:tc>
          <w:tcPr>
            <w:tcW w:w="2060" w:type="dxa"/>
            <w:tcBorders>
              <w:top w:val="nil"/>
              <w:left w:val="nil"/>
              <w:bottom w:val="single" w:sz="4" w:space="0" w:color="auto"/>
              <w:right w:val="single" w:sz="4" w:space="0" w:color="auto"/>
            </w:tcBorders>
            <w:shd w:val="clear" w:color="000000" w:fill="FFFFFF"/>
            <w:vAlign w:val="bottom"/>
            <w:hideMark/>
          </w:tcPr>
          <w:p w14:paraId="249DD0A0" w14:textId="77777777" w:rsidR="00E6179B" w:rsidRPr="00E6179B" w:rsidRDefault="00E6179B" w:rsidP="00E6179B">
            <w:pPr>
              <w:suppressAutoHyphens w:val="0"/>
              <w:rPr>
                <w:sz w:val="18"/>
                <w:szCs w:val="18"/>
                <w:lang w:eastAsia="it-IT"/>
              </w:rPr>
            </w:pPr>
            <w:r w:rsidRPr="00E6179B">
              <w:rPr>
                <w:sz w:val="18"/>
                <w:szCs w:val="18"/>
                <w:lang w:eastAsia="it-IT"/>
              </w:rPr>
              <w:t>contributi mobilità</w:t>
            </w:r>
          </w:p>
        </w:tc>
        <w:tc>
          <w:tcPr>
            <w:tcW w:w="1540" w:type="dxa"/>
            <w:tcBorders>
              <w:top w:val="nil"/>
              <w:left w:val="nil"/>
              <w:bottom w:val="single" w:sz="4" w:space="0" w:color="auto"/>
              <w:right w:val="single" w:sz="4" w:space="0" w:color="auto"/>
            </w:tcBorders>
            <w:shd w:val="clear" w:color="000000" w:fill="FFFFFF"/>
            <w:vAlign w:val="bottom"/>
            <w:hideMark/>
          </w:tcPr>
          <w:p w14:paraId="555942D8" w14:textId="77777777" w:rsidR="00E6179B" w:rsidRPr="00E6179B" w:rsidRDefault="00E6179B" w:rsidP="00E6179B">
            <w:pPr>
              <w:suppressAutoHyphens w:val="0"/>
              <w:rPr>
                <w:sz w:val="18"/>
                <w:szCs w:val="18"/>
                <w:lang w:eastAsia="it-IT"/>
              </w:rPr>
            </w:pPr>
            <w:r w:rsidRPr="00E6179B">
              <w:rPr>
                <w:sz w:val="18"/>
                <w:szCs w:val="18"/>
                <w:lang w:eastAsia="it-IT"/>
              </w:rPr>
              <w:t>Delibera e Bando</w:t>
            </w:r>
          </w:p>
        </w:tc>
        <w:tc>
          <w:tcPr>
            <w:tcW w:w="1060" w:type="dxa"/>
            <w:tcBorders>
              <w:top w:val="nil"/>
              <w:left w:val="nil"/>
              <w:bottom w:val="single" w:sz="4" w:space="0" w:color="auto"/>
              <w:right w:val="single" w:sz="4" w:space="0" w:color="auto"/>
            </w:tcBorders>
            <w:shd w:val="clear" w:color="000000" w:fill="FFFFFF"/>
            <w:vAlign w:val="bottom"/>
            <w:hideMark/>
          </w:tcPr>
          <w:p w14:paraId="5C664590" w14:textId="77777777" w:rsidR="00E6179B" w:rsidRPr="00E6179B" w:rsidRDefault="00E6179B" w:rsidP="00E6179B">
            <w:pPr>
              <w:suppressAutoHyphens w:val="0"/>
              <w:jc w:val="center"/>
              <w:rPr>
                <w:sz w:val="18"/>
                <w:szCs w:val="18"/>
                <w:lang w:eastAsia="it-IT"/>
              </w:rPr>
            </w:pPr>
            <w:r w:rsidRPr="00E6179B">
              <w:rPr>
                <w:sz w:val="18"/>
                <w:szCs w:val="18"/>
                <w:lang w:eastAsia="it-IT"/>
              </w:rPr>
              <w:t>596-597-598-599-600-601-602-603-604-605</w:t>
            </w:r>
          </w:p>
        </w:tc>
        <w:tc>
          <w:tcPr>
            <w:tcW w:w="1160" w:type="dxa"/>
            <w:tcBorders>
              <w:top w:val="nil"/>
              <w:left w:val="nil"/>
              <w:bottom w:val="single" w:sz="4" w:space="0" w:color="auto"/>
              <w:right w:val="single" w:sz="4" w:space="0" w:color="auto"/>
            </w:tcBorders>
            <w:shd w:val="clear" w:color="000000" w:fill="FFFFFF"/>
            <w:noWrap/>
            <w:vAlign w:val="bottom"/>
            <w:hideMark/>
          </w:tcPr>
          <w:p w14:paraId="5A879122" w14:textId="77777777" w:rsidR="00E6179B" w:rsidRPr="00E6179B" w:rsidRDefault="00E6179B" w:rsidP="00E6179B">
            <w:pPr>
              <w:suppressAutoHyphens w:val="0"/>
              <w:jc w:val="center"/>
              <w:rPr>
                <w:sz w:val="18"/>
                <w:szCs w:val="18"/>
                <w:lang w:eastAsia="it-IT"/>
              </w:rPr>
            </w:pPr>
            <w:r w:rsidRPr="00E6179B">
              <w:rPr>
                <w:sz w:val="18"/>
                <w:szCs w:val="18"/>
                <w:lang w:eastAsia="it-IT"/>
              </w:rPr>
              <w:t>€ 2.000,00</w:t>
            </w:r>
          </w:p>
        </w:tc>
        <w:tc>
          <w:tcPr>
            <w:tcW w:w="960" w:type="dxa"/>
            <w:tcBorders>
              <w:top w:val="nil"/>
              <w:left w:val="nil"/>
              <w:bottom w:val="single" w:sz="4" w:space="0" w:color="auto"/>
              <w:right w:val="single" w:sz="4" w:space="0" w:color="auto"/>
            </w:tcBorders>
            <w:shd w:val="clear" w:color="000000" w:fill="FFFFFF"/>
            <w:vAlign w:val="bottom"/>
            <w:hideMark/>
          </w:tcPr>
          <w:p w14:paraId="1DD7ADCE"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6C344D0" w14:textId="77777777" w:rsidTr="00E6179B">
        <w:trPr>
          <w:trHeight w:val="120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2ED96007" w14:textId="77777777" w:rsidR="00E6179B" w:rsidRPr="00E6179B" w:rsidRDefault="00E6179B" w:rsidP="00E6179B">
            <w:pPr>
              <w:suppressAutoHyphens w:val="0"/>
              <w:rPr>
                <w:sz w:val="20"/>
                <w:szCs w:val="20"/>
                <w:lang w:eastAsia="it-IT"/>
              </w:rPr>
            </w:pPr>
            <w:r w:rsidRPr="00E6179B">
              <w:rPr>
                <w:sz w:val="20"/>
                <w:szCs w:val="20"/>
                <w:lang w:eastAsia="it-IT"/>
              </w:rPr>
              <w:lastRenderedPageBreak/>
              <w:t>CROCE ROSSA ITALIANA COMITATO DI TODI</w:t>
            </w:r>
          </w:p>
        </w:tc>
        <w:tc>
          <w:tcPr>
            <w:tcW w:w="2060" w:type="dxa"/>
            <w:tcBorders>
              <w:top w:val="nil"/>
              <w:left w:val="nil"/>
              <w:bottom w:val="single" w:sz="4" w:space="0" w:color="auto"/>
              <w:right w:val="single" w:sz="4" w:space="0" w:color="auto"/>
            </w:tcBorders>
            <w:shd w:val="clear" w:color="000000" w:fill="FFFFFF"/>
            <w:vAlign w:val="bottom"/>
            <w:hideMark/>
          </w:tcPr>
          <w:p w14:paraId="6445B718" w14:textId="77777777" w:rsidR="00E6179B" w:rsidRPr="00E6179B" w:rsidRDefault="00E6179B" w:rsidP="00E6179B">
            <w:pPr>
              <w:suppressAutoHyphens w:val="0"/>
              <w:rPr>
                <w:sz w:val="20"/>
                <w:szCs w:val="20"/>
                <w:lang w:eastAsia="it-IT"/>
              </w:rPr>
            </w:pPr>
            <w:r w:rsidRPr="00E6179B">
              <w:rPr>
                <w:sz w:val="20"/>
                <w:szCs w:val="20"/>
                <w:lang w:eastAsia="it-IT"/>
              </w:rPr>
              <w:t>Contributi vari erogati nel 2024 (pagamenti per cassa)</w:t>
            </w:r>
          </w:p>
        </w:tc>
        <w:tc>
          <w:tcPr>
            <w:tcW w:w="1540" w:type="dxa"/>
            <w:tcBorders>
              <w:top w:val="nil"/>
              <w:left w:val="nil"/>
              <w:bottom w:val="single" w:sz="4" w:space="0" w:color="auto"/>
              <w:right w:val="single" w:sz="4" w:space="0" w:color="auto"/>
            </w:tcBorders>
            <w:shd w:val="clear" w:color="000000" w:fill="FFFFFF"/>
            <w:vAlign w:val="bottom"/>
            <w:hideMark/>
          </w:tcPr>
          <w:p w14:paraId="618E09A7" w14:textId="77777777" w:rsidR="00E6179B" w:rsidRPr="00E6179B" w:rsidRDefault="00E6179B" w:rsidP="00E6179B">
            <w:pPr>
              <w:suppressAutoHyphens w:val="0"/>
              <w:rPr>
                <w:sz w:val="18"/>
                <w:szCs w:val="18"/>
                <w:lang w:eastAsia="it-IT"/>
              </w:rPr>
            </w:pPr>
            <w:r w:rsidRPr="00E6179B">
              <w:rPr>
                <w:sz w:val="18"/>
                <w:szCs w:val="18"/>
                <w:lang w:eastAsia="it-IT"/>
              </w:rPr>
              <w:t>Convenzione triennale vigente - nel 2024 erogate Euro 11.666,60- il saldo nel 2025</w:t>
            </w:r>
          </w:p>
        </w:tc>
        <w:tc>
          <w:tcPr>
            <w:tcW w:w="1060" w:type="dxa"/>
            <w:tcBorders>
              <w:top w:val="nil"/>
              <w:left w:val="nil"/>
              <w:bottom w:val="single" w:sz="4" w:space="0" w:color="auto"/>
              <w:right w:val="single" w:sz="4" w:space="0" w:color="auto"/>
            </w:tcBorders>
            <w:shd w:val="clear" w:color="000000" w:fill="FFFFFF"/>
            <w:vAlign w:val="bottom"/>
            <w:hideMark/>
          </w:tcPr>
          <w:p w14:paraId="21154820" w14:textId="77777777" w:rsidR="00E6179B" w:rsidRPr="00E6179B" w:rsidRDefault="00E6179B" w:rsidP="00E6179B">
            <w:pPr>
              <w:suppressAutoHyphens w:val="0"/>
              <w:jc w:val="center"/>
              <w:rPr>
                <w:sz w:val="18"/>
                <w:szCs w:val="18"/>
                <w:lang w:eastAsia="it-IT"/>
              </w:rPr>
            </w:pPr>
            <w:r w:rsidRPr="00E6179B">
              <w:rPr>
                <w:sz w:val="18"/>
                <w:szCs w:val="18"/>
                <w:lang w:eastAsia="it-IT"/>
              </w:rPr>
              <w:t>varie</w:t>
            </w:r>
          </w:p>
        </w:tc>
        <w:tc>
          <w:tcPr>
            <w:tcW w:w="1160" w:type="dxa"/>
            <w:tcBorders>
              <w:top w:val="nil"/>
              <w:left w:val="nil"/>
              <w:bottom w:val="single" w:sz="4" w:space="0" w:color="auto"/>
              <w:right w:val="single" w:sz="4" w:space="0" w:color="auto"/>
            </w:tcBorders>
            <w:shd w:val="clear" w:color="000000" w:fill="FFFFFF"/>
            <w:vAlign w:val="bottom"/>
            <w:hideMark/>
          </w:tcPr>
          <w:p w14:paraId="487CC226" w14:textId="77777777" w:rsidR="00E6179B" w:rsidRPr="00E6179B" w:rsidRDefault="00E6179B" w:rsidP="00E6179B">
            <w:pPr>
              <w:suppressAutoHyphens w:val="0"/>
              <w:jc w:val="right"/>
              <w:rPr>
                <w:sz w:val="18"/>
                <w:szCs w:val="18"/>
                <w:lang w:eastAsia="it-IT"/>
              </w:rPr>
            </w:pPr>
            <w:r w:rsidRPr="00E6179B">
              <w:rPr>
                <w:sz w:val="18"/>
                <w:szCs w:val="18"/>
                <w:lang w:eastAsia="it-IT"/>
              </w:rPr>
              <w:t>€ 14.000,00</w:t>
            </w:r>
          </w:p>
        </w:tc>
        <w:tc>
          <w:tcPr>
            <w:tcW w:w="960" w:type="dxa"/>
            <w:tcBorders>
              <w:top w:val="nil"/>
              <w:left w:val="nil"/>
              <w:bottom w:val="single" w:sz="4" w:space="0" w:color="auto"/>
              <w:right w:val="single" w:sz="4" w:space="0" w:color="auto"/>
            </w:tcBorders>
            <w:shd w:val="clear" w:color="000000" w:fill="FFFFFF"/>
            <w:vAlign w:val="bottom"/>
            <w:hideMark/>
          </w:tcPr>
          <w:p w14:paraId="7531136D"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1547736"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C33E875" w14:textId="77777777" w:rsidR="00E6179B" w:rsidRPr="00E6179B" w:rsidRDefault="00E6179B" w:rsidP="00E6179B">
            <w:pPr>
              <w:suppressAutoHyphens w:val="0"/>
              <w:rPr>
                <w:sz w:val="18"/>
                <w:szCs w:val="18"/>
                <w:lang w:eastAsia="it-IT"/>
              </w:rPr>
            </w:pPr>
            <w:r w:rsidRPr="00E6179B">
              <w:rPr>
                <w:sz w:val="18"/>
                <w:szCs w:val="18"/>
                <w:lang w:eastAsia="it-IT"/>
              </w:rPr>
              <w:t>Comune di Todi (SEDICIEVENTI DIV. GEOFORM SRL UNIPERSONALE.)</w:t>
            </w:r>
          </w:p>
        </w:tc>
        <w:tc>
          <w:tcPr>
            <w:tcW w:w="2060" w:type="dxa"/>
            <w:tcBorders>
              <w:top w:val="nil"/>
              <w:left w:val="nil"/>
              <w:bottom w:val="single" w:sz="4" w:space="0" w:color="auto"/>
              <w:right w:val="single" w:sz="4" w:space="0" w:color="auto"/>
            </w:tcBorders>
            <w:shd w:val="clear" w:color="000000" w:fill="FFFFFF"/>
            <w:vAlign w:val="bottom"/>
            <w:hideMark/>
          </w:tcPr>
          <w:p w14:paraId="2E69A4F3" w14:textId="77777777" w:rsidR="00E6179B" w:rsidRPr="00E6179B" w:rsidRDefault="00E6179B" w:rsidP="00E6179B">
            <w:pPr>
              <w:suppressAutoHyphens w:val="0"/>
              <w:rPr>
                <w:sz w:val="18"/>
                <w:szCs w:val="18"/>
                <w:lang w:eastAsia="it-IT"/>
              </w:rPr>
            </w:pPr>
            <w:r w:rsidRPr="00E6179B">
              <w:rPr>
                <w:sz w:val="18"/>
                <w:szCs w:val="18"/>
                <w:lang w:eastAsia="it-IT"/>
              </w:rPr>
              <w:t>EROGAZIONE CONTRIBUTO TODI FESTIVAL 2023</w:t>
            </w:r>
          </w:p>
        </w:tc>
        <w:tc>
          <w:tcPr>
            <w:tcW w:w="1540" w:type="dxa"/>
            <w:tcBorders>
              <w:top w:val="nil"/>
              <w:left w:val="nil"/>
              <w:bottom w:val="single" w:sz="4" w:space="0" w:color="auto"/>
              <w:right w:val="single" w:sz="4" w:space="0" w:color="auto"/>
            </w:tcBorders>
            <w:shd w:val="clear" w:color="000000" w:fill="FFFFFF"/>
            <w:vAlign w:val="bottom"/>
            <w:hideMark/>
          </w:tcPr>
          <w:p w14:paraId="25E9CCF4"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15687BD8" w14:textId="77777777" w:rsidR="00E6179B" w:rsidRPr="00E6179B" w:rsidRDefault="00E6179B" w:rsidP="00E6179B">
            <w:pPr>
              <w:suppressAutoHyphens w:val="0"/>
              <w:jc w:val="center"/>
              <w:rPr>
                <w:color w:val="000000"/>
                <w:sz w:val="18"/>
                <w:szCs w:val="18"/>
                <w:lang w:eastAsia="it-IT"/>
              </w:rPr>
            </w:pPr>
            <w:r w:rsidRPr="00E6179B">
              <w:rPr>
                <w:color w:val="000000"/>
                <w:sz w:val="18"/>
                <w:szCs w:val="18"/>
                <w:lang w:eastAsia="it-IT"/>
              </w:rPr>
              <w:t>217</w:t>
            </w:r>
          </w:p>
        </w:tc>
        <w:tc>
          <w:tcPr>
            <w:tcW w:w="1160" w:type="dxa"/>
            <w:tcBorders>
              <w:top w:val="nil"/>
              <w:left w:val="nil"/>
              <w:bottom w:val="single" w:sz="4" w:space="0" w:color="auto"/>
              <w:right w:val="single" w:sz="4" w:space="0" w:color="auto"/>
            </w:tcBorders>
            <w:shd w:val="clear" w:color="000000" w:fill="FFFFFF"/>
            <w:noWrap/>
            <w:vAlign w:val="bottom"/>
            <w:hideMark/>
          </w:tcPr>
          <w:p w14:paraId="6463C0B8" w14:textId="77777777" w:rsidR="00E6179B" w:rsidRPr="00E6179B" w:rsidRDefault="00E6179B" w:rsidP="00E6179B">
            <w:pPr>
              <w:suppressAutoHyphens w:val="0"/>
              <w:jc w:val="center"/>
              <w:rPr>
                <w:sz w:val="18"/>
                <w:szCs w:val="18"/>
                <w:lang w:eastAsia="it-IT"/>
              </w:rPr>
            </w:pPr>
            <w:r w:rsidRPr="00E6179B">
              <w:rPr>
                <w:sz w:val="18"/>
                <w:szCs w:val="18"/>
                <w:lang w:eastAsia="it-IT"/>
              </w:rPr>
              <w:t>€ 2.000,00</w:t>
            </w:r>
          </w:p>
        </w:tc>
        <w:tc>
          <w:tcPr>
            <w:tcW w:w="960" w:type="dxa"/>
            <w:tcBorders>
              <w:top w:val="nil"/>
              <w:left w:val="nil"/>
              <w:bottom w:val="single" w:sz="4" w:space="0" w:color="auto"/>
              <w:right w:val="single" w:sz="4" w:space="0" w:color="auto"/>
            </w:tcBorders>
            <w:shd w:val="clear" w:color="000000" w:fill="FFFFFF"/>
            <w:vAlign w:val="bottom"/>
            <w:hideMark/>
          </w:tcPr>
          <w:p w14:paraId="61E535F9"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6702259D" w14:textId="77777777" w:rsidTr="00E6179B">
        <w:trPr>
          <w:trHeight w:val="24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106E1FB9" w14:textId="77777777" w:rsidR="00E6179B" w:rsidRPr="00E6179B" w:rsidRDefault="00E6179B" w:rsidP="00E6179B">
            <w:pPr>
              <w:suppressAutoHyphens w:val="0"/>
              <w:rPr>
                <w:sz w:val="18"/>
                <w:szCs w:val="18"/>
                <w:lang w:eastAsia="it-IT"/>
              </w:rPr>
            </w:pPr>
            <w:r w:rsidRPr="00E6179B">
              <w:rPr>
                <w:sz w:val="18"/>
                <w:szCs w:val="18"/>
                <w:lang w:eastAsia="it-IT"/>
              </w:rPr>
              <w:t>AVIS TODI</w:t>
            </w:r>
          </w:p>
        </w:tc>
        <w:tc>
          <w:tcPr>
            <w:tcW w:w="2060" w:type="dxa"/>
            <w:tcBorders>
              <w:top w:val="nil"/>
              <w:left w:val="nil"/>
              <w:bottom w:val="single" w:sz="4" w:space="0" w:color="auto"/>
              <w:right w:val="single" w:sz="4" w:space="0" w:color="auto"/>
            </w:tcBorders>
            <w:shd w:val="clear" w:color="000000" w:fill="FFFFFF"/>
            <w:vAlign w:val="bottom"/>
            <w:hideMark/>
          </w:tcPr>
          <w:p w14:paraId="6BC3AC29" w14:textId="77777777" w:rsidR="00E6179B" w:rsidRPr="00E6179B" w:rsidRDefault="00E6179B" w:rsidP="00E6179B">
            <w:pPr>
              <w:suppressAutoHyphens w:val="0"/>
              <w:rPr>
                <w:sz w:val="18"/>
                <w:szCs w:val="18"/>
                <w:lang w:eastAsia="it-IT"/>
              </w:rPr>
            </w:pPr>
            <w:r w:rsidRPr="00E6179B">
              <w:rPr>
                <w:sz w:val="18"/>
                <w:szCs w:val="18"/>
                <w:lang w:eastAsia="it-IT"/>
              </w:rPr>
              <w:t>Comodato sede</w:t>
            </w:r>
          </w:p>
        </w:tc>
        <w:tc>
          <w:tcPr>
            <w:tcW w:w="1540" w:type="dxa"/>
            <w:tcBorders>
              <w:top w:val="nil"/>
              <w:left w:val="nil"/>
              <w:bottom w:val="single" w:sz="4" w:space="0" w:color="auto"/>
              <w:right w:val="single" w:sz="4" w:space="0" w:color="auto"/>
            </w:tcBorders>
            <w:shd w:val="clear" w:color="000000" w:fill="FFFFFF"/>
            <w:vAlign w:val="bottom"/>
            <w:hideMark/>
          </w:tcPr>
          <w:p w14:paraId="4CB08453" w14:textId="77777777" w:rsidR="00E6179B" w:rsidRPr="00E6179B" w:rsidRDefault="00E6179B" w:rsidP="00E6179B">
            <w:pPr>
              <w:suppressAutoHyphens w:val="0"/>
              <w:rPr>
                <w:sz w:val="18"/>
                <w:szCs w:val="18"/>
                <w:lang w:eastAsia="it-IT"/>
              </w:rPr>
            </w:pPr>
            <w:r w:rsidRPr="00E6179B">
              <w:rPr>
                <w:sz w:val="18"/>
                <w:szCs w:val="18"/>
                <w:lang w:eastAsia="it-IT"/>
              </w:rPr>
              <w:t>comodato</w:t>
            </w:r>
          </w:p>
        </w:tc>
        <w:tc>
          <w:tcPr>
            <w:tcW w:w="1060" w:type="dxa"/>
            <w:tcBorders>
              <w:top w:val="nil"/>
              <w:left w:val="nil"/>
              <w:bottom w:val="single" w:sz="4" w:space="0" w:color="auto"/>
              <w:right w:val="single" w:sz="4" w:space="0" w:color="auto"/>
            </w:tcBorders>
            <w:shd w:val="clear" w:color="000000" w:fill="FFFFFF"/>
            <w:vAlign w:val="bottom"/>
            <w:hideMark/>
          </w:tcPr>
          <w:p w14:paraId="2AD13F7E" w14:textId="77777777" w:rsidR="00E6179B" w:rsidRPr="00E6179B" w:rsidRDefault="00E6179B" w:rsidP="00E6179B">
            <w:pPr>
              <w:suppressAutoHyphens w:val="0"/>
              <w:jc w:val="center"/>
              <w:rPr>
                <w:sz w:val="18"/>
                <w:szCs w:val="18"/>
                <w:lang w:eastAsia="it-IT"/>
              </w:rPr>
            </w:pPr>
            <w:r w:rsidRPr="00E6179B">
              <w:rPr>
                <w:sz w:val="18"/>
                <w:szCs w:val="18"/>
                <w:lang w:eastAsia="it-IT"/>
              </w:rPr>
              <w:t>577</w:t>
            </w:r>
          </w:p>
        </w:tc>
        <w:tc>
          <w:tcPr>
            <w:tcW w:w="1160" w:type="dxa"/>
            <w:tcBorders>
              <w:top w:val="nil"/>
              <w:left w:val="nil"/>
              <w:bottom w:val="single" w:sz="4" w:space="0" w:color="auto"/>
              <w:right w:val="single" w:sz="4" w:space="0" w:color="auto"/>
            </w:tcBorders>
            <w:shd w:val="clear" w:color="000000" w:fill="FFFFFF"/>
            <w:noWrap/>
            <w:vAlign w:val="bottom"/>
            <w:hideMark/>
          </w:tcPr>
          <w:p w14:paraId="387D885C" w14:textId="77777777" w:rsidR="00E6179B" w:rsidRPr="00E6179B" w:rsidRDefault="00E6179B" w:rsidP="00E6179B">
            <w:pPr>
              <w:suppressAutoHyphens w:val="0"/>
              <w:jc w:val="center"/>
              <w:rPr>
                <w:sz w:val="18"/>
                <w:szCs w:val="18"/>
                <w:lang w:eastAsia="it-IT"/>
              </w:rPr>
            </w:pPr>
            <w:r w:rsidRPr="00E6179B">
              <w:rPr>
                <w:sz w:val="18"/>
                <w:szCs w:val="18"/>
                <w:lang w:eastAsia="it-IT"/>
              </w:rPr>
              <w:t>€ 5.000,00</w:t>
            </w:r>
          </w:p>
        </w:tc>
        <w:tc>
          <w:tcPr>
            <w:tcW w:w="960" w:type="dxa"/>
            <w:tcBorders>
              <w:top w:val="nil"/>
              <w:left w:val="nil"/>
              <w:bottom w:val="single" w:sz="4" w:space="0" w:color="auto"/>
              <w:right w:val="single" w:sz="4" w:space="0" w:color="auto"/>
            </w:tcBorders>
            <w:shd w:val="clear" w:color="000000" w:fill="FFFFFF"/>
            <w:vAlign w:val="bottom"/>
            <w:hideMark/>
          </w:tcPr>
          <w:p w14:paraId="42E5051E"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E6D1657"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5869F072" w14:textId="77777777" w:rsidR="00E6179B" w:rsidRPr="00E6179B" w:rsidRDefault="00E6179B" w:rsidP="00E6179B">
            <w:pPr>
              <w:suppressAutoHyphens w:val="0"/>
              <w:rPr>
                <w:sz w:val="18"/>
                <w:szCs w:val="18"/>
                <w:lang w:eastAsia="it-IT"/>
              </w:rPr>
            </w:pPr>
            <w:r w:rsidRPr="00E6179B">
              <w:rPr>
                <w:sz w:val="18"/>
                <w:szCs w:val="18"/>
                <w:lang w:eastAsia="it-IT"/>
              </w:rPr>
              <w:t>AVIS TODI</w:t>
            </w:r>
          </w:p>
        </w:tc>
        <w:tc>
          <w:tcPr>
            <w:tcW w:w="2060" w:type="dxa"/>
            <w:tcBorders>
              <w:top w:val="nil"/>
              <w:left w:val="nil"/>
              <w:bottom w:val="single" w:sz="4" w:space="0" w:color="auto"/>
              <w:right w:val="single" w:sz="4" w:space="0" w:color="auto"/>
            </w:tcBorders>
            <w:shd w:val="clear" w:color="000000" w:fill="FFFFFF"/>
            <w:vAlign w:val="bottom"/>
            <w:hideMark/>
          </w:tcPr>
          <w:p w14:paraId="733A1B47" w14:textId="77777777" w:rsidR="00E6179B" w:rsidRPr="00E6179B" w:rsidRDefault="00E6179B" w:rsidP="00E6179B">
            <w:pPr>
              <w:suppressAutoHyphens w:val="0"/>
              <w:rPr>
                <w:sz w:val="18"/>
                <w:szCs w:val="18"/>
                <w:lang w:eastAsia="it-IT"/>
              </w:rPr>
            </w:pPr>
            <w:r w:rsidRPr="00E6179B">
              <w:rPr>
                <w:sz w:val="18"/>
                <w:szCs w:val="18"/>
                <w:lang w:eastAsia="it-IT"/>
              </w:rPr>
              <w:t>Contributo Spettacolo teatrale</w:t>
            </w:r>
          </w:p>
        </w:tc>
        <w:tc>
          <w:tcPr>
            <w:tcW w:w="1540" w:type="dxa"/>
            <w:tcBorders>
              <w:top w:val="nil"/>
              <w:left w:val="nil"/>
              <w:bottom w:val="single" w:sz="4" w:space="0" w:color="auto"/>
              <w:right w:val="single" w:sz="4" w:space="0" w:color="auto"/>
            </w:tcBorders>
            <w:shd w:val="clear" w:color="000000" w:fill="FFFFFF"/>
            <w:vAlign w:val="bottom"/>
            <w:hideMark/>
          </w:tcPr>
          <w:p w14:paraId="17357924" w14:textId="77777777" w:rsidR="00E6179B" w:rsidRPr="00E6179B" w:rsidRDefault="00E6179B" w:rsidP="00E6179B">
            <w:pPr>
              <w:suppressAutoHyphens w:val="0"/>
              <w:rPr>
                <w:sz w:val="18"/>
                <w:szCs w:val="18"/>
                <w:lang w:eastAsia="it-IT"/>
              </w:rPr>
            </w:pPr>
            <w:r w:rsidRPr="00E6179B">
              <w:rPr>
                <w:sz w:val="18"/>
                <w:szCs w:val="18"/>
                <w:lang w:eastAsia="it-IT"/>
              </w:rPr>
              <w:t>non rendicontato/non erogato</w:t>
            </w:r>
          </w:p>
        </w:tc>
        <w:tc>
          <w:tcPr>
            <w:tcW w:w="1060" w:type="dxa"/>
            <w:tcBorders>
              <w:top w:val="nil"/>
              <w:left w:val="nil"/>
              <w:bottom w:val="single" w:sz="4" w:space="0" w:color="auto"/>
              <w:right w:val="single" w:sz="4" w:space="0" w:color="auto"/>
            </w:tcBorders>
            <w:shd w:val="clear" w:color="000000" w:fill="FFFFFF"/>
            <w:vAlign w:val="bottom"/>
            <w:hideMark/>
          </w:tcPr>
          <w:p w14:paraId="797527C7" w14:textId="77777777" w:rsidR="00E6179B" w:rsidRPr="00E6179B" w:rsidRDefault="00E6179B" w:rsidP="00E6179B">
            <w:pPr>
              <w:suppressAutoHyphens w:val="0"/>
              <w:jc w:val="center"/>
              <w:rPr>
                <w:sz w:val="18"/>
                <w:szCs w:val="18"/>
                <w:lang w:eastAsia="it-IT"/>
              </w:rPr>
            </w:pPr>
            <w:r w:rsidRPr="00E6179B">
              <w:rPr>
                <w:sz w:val="18"/>
                <w:szCs w:val="18"/>
                <w:lang w:eastAsia="it-IT"/>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83E4FF" w14:textId="77777777" w:rsidR="00E6179B" w:rsidRPr="00E6179B" w:rsidRDefault="00E6179B" w:rsidP="00E6179B">
            <w:pPr>
              <w:suppressAutoHyphens w:val="0"/>
              <w:jc w:val="center"/>
              <w:rPr>
                <w:sz w:val="18"/>
                <w:szCs w:val="18"/>
                <w:lang w:eastAsia="it-IT"/>
              </w:rPr>
            </w:pPr>
            <w:r w:rsidRPr="00E6179B">
              <w:rPr>
                <w:sz w:val="18"/>
                <w:szCs w:val="18"/>
                <w:lang w:eastAsia="it-IT"/>
              </w:rPr>
              <w:t>€ 1.000,00</w:t>
            </w:r>
          </w:p>
        </w:tc>
        <w:tc>
          <w:tcPr>
            <w:tcW w:w="960" w:type="dxa"/>
            <w:tcBorders>
              <w:top w:val="nil"/>
              <w:left w:val="nil"/>
              <w:bottom w:val="single" w:sz="4" w:space="0" w:color="auto"/>
              <w:right w:val="single" w:sz="4" w:space="0" w:color="auto"/>
            </w:tcBorders>
            <w:shd w:val="clear" w:color="000000" w:fill="FFFFFF"/>
            <w:vAlign w:val="bottom"/>
            <w:hideMark/>
          </w:tcPr>
          <w:p w14:paraId="44F4CD19"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86DAE23" w14:textId="77777777" w:rsidTr="00E6179B">
        <w:trPr>
          <w:trHeight w:val="24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9FEF4C7" w14:textId="77777777" w:rsidR="00E6179B" w:rsidRPr="00E6179B" w:rsidRDefault="00E6179B" w:rsidP="00E6179B">
            <w:pPr>
              <w:suppressAutoHyphens w:val="0"/>
              <w:rPr>
                <w:sz w:val="18"/>
                <w:szCs w:val="18"/>
                <w:lang w:eastAsia="it-IT"/>
              </w:rPr>
            </w:pPr>
            <w:r w:rsidRPr="00E6179B">
              <w:rPr>
                <w:sz w:val="18"/>
                <w:szCs w:val="18"/>
                <w:lang w:eastAsia="it-IT"/>
              </w:rPr>
              <w:t>Tower Gallery SRLS</w:t>
            </w:r>
          </w:p>
        </w:tc>
        <w:tc>
          <w:tcPr>
            <w:tcW w:w="2060" w:type="dxa"/>
            <w:tcBorders>
              <w:top w:val="nil"/>
              <w:left w:val="nil"/>
              <w:bottom w:val="single" w:sz="4" w:space="0" w:color="auto"/>
              <w:right w:val="single" w:sz="4" w:space="0" w:color="auto"/>
            </w:tcBorders>
            <w:shd w:val="clear" w:color="000000" w:fill="FFFFFF"/>
            <w:vAlign w:val="bottom"/>
            <w:hideMark/>
          </w:tcPr>
          <w:p w14:paraId="050142CC" w14:textId="77777777" w:rsidR="00E6179B" w:rsidRPr="00E6179B" w:rsidRDefault="00E6179B" w:rsidP="00E6179B">
            <w:pPr>
              <w:suppressAutoHyphens w:val="0"/>
              <w:rPr>
                <w:sz w:val="18"/>
                <w:szCs w:val="18"/>
                <w:lang w:eastAsia="it-IT"/>
              </w:rPr>
            </w:pPr>
            <w:r w:rsidRPr="00E6179B">
              <w:rPr>
                <w:sz w:val="18"/>
                <w:szCs w:val="18"/>
                <w:lang w:eastAsia="it-IT"/>
              </w:rPr>
              <w:t>Contributo Biennale</w:t>
            </w:r>
          </w:p>
        </w:tc>
        <w:tc>
          <w:tcPr>
            <w:tcW w:w="1540" w:type="dxa"/>
            <w:tcBorders>
              <w:top w:val="nil"/>
              <w:left w:val="nil"/>
              <w:bottom w:val="single" w:sz="4" w:space="0" w:color="auto"/>
              <w:right w:val="single" w:sz="4" w:space="0" w:color="auto"/>
            </w:tcBorders>
            <w:shd w:val="clear" w:color="000000" w:fill="FFFFFF"/>
            <w:vAlign w:val="bottom"/>
            <w:hideMark/>
          </w:tcPr>
          <w:p w14:paraId="1C6C510C" w14:textId="77777777" w:rsidR="00E6179B" w:rsidRPr="00E6179B" w:rsidRDefault="00E6179B" w:rsidP="00E6179B">
            <w:pPr>
              <w:suppressAutoHyphens w:val="0"/>
              <w:rPr>
                <w:sz w:val="18"/>
                <w:szCs w:val="18"/>
                <w:lang w:eastAsia="it-IT"/>
              </w:rPr>
            </w:pPr>
            <w:r w:rsidRPr="00E6179B">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000000" w:fill="FFFFFF"/>
            <w:vAlign w:val="bottom"/>
            <w:hideMark/>
          </w:tcPr>
          <w:p w14:paraId="026DF109" w14:textId="77777777" w:rsidR="00E6179B" w:rsidRPr="00E6179B" w:rsidRDefault="00E6179B" w:rsidP="00E6179B">
            <w:pPr>
              <w:suppressAutoHyphens w:val="0"/>
              <w:jc w:val="center"/>
              <w:rPr>
                <w:sz w:val="18"/>
                <w:szCs w:val="18"/>
                <w:lang w:eastAsia="it-IT"/>
              </w:rPr>
            </w:pPr>
            <w:r w:rsidRPr="00E6179B">
              <w:rPr>
                <w:sz w:val="18"/>
                <w:szCs w:val="18"/>
                <w:lang w:eastAsia="it-IT"/>
              </w:rPr>
              <w:t>152</w:t>
            </w:r>
          </w:p>
        </w:tc>
        <w:tc>
          <w:tcPr>
            <w:tcW w:w="1160" w:type="dxa"/>
            <w:tcBorders>
              <w:top w:val="nil"/>
              <w:left w:val="nil"/>
              <w:bottom w:val="single" w:sz="4" w:space="0" w:color="auto"/>
              <w:right w:val="single" w:sz="4" w:space="0" w:color="auto"/>
            </w:tcBorders>
            <w:shd w:val="clear" w:color="000000" w:fill="FFFFFF"/>
            <w:noWrap/>
            <w:vAlign w:val="bottom"/>
            <w:hideMark/>
          </w:tcPr>
          <w:p w14:paraId="4EC4982C" w14:textId="77777777" w:rsidR="00E6179B" w:rsidRPr="00E6179B" w:rsidRDefault="00E6179B" w:rsidP="00E6179B">
            <w:pPr>
              <w:suppressAutoHyphens w:val="0"/>
              <w:jc w:val="center"/>
              <w:rPr>
                <w:sz w:val="18"/>
                <w:szCs w:val="18"/>
                <w:lang w:eastAsia="it-IT"/>
              </w:rPr>
            </w:pPr>
            <w:r w:rsidRPr="00E6179B">
              <w:rPr>
                <w:sz w:val="18"/>
                <w:szCs w:val="18"/>
                <w:lang w:eastAsia="it-IT"/>
              </w:rPr>
              <w:t>€ 4.000,00</w:t>
            </w:r>
          </w:p>
        </w:tc>
        <w:tc>
          <w:tcPr>
            <w:tcW w:w="960" w:type="dxa"/>
            <w:tcBorders>
              <w:top w:val="nil"/>
              <w:left w:val="nil"/>
              <w:bottom w:val="single" w:sz="4" w:space="0" w:color="auto"/>
              <w:right w:val="single" w:sz="4" w:space="0" w:color="auto"/>
            </w:tcBorders>
            <w:shd w:val="clear" w:color="000000" w:fill="FFFFFF"/>
            <w:vAlign w:val="bottom"/>
            <w:hideMark/>
          </w:tcPr>
          <w:p w14:paraId="670EA8C6"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63A06858"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2BE585E" w14:textId="77777777" w:rsidR="00E6179B" w:rsidRPr="00E6179B" w:rsidRDefault="00E6179B" w:rsidP="00E6179B">
            <w:pPr>
              <w:suppressAutoHyphens w:val="0"/>
              <w:rPr>
                <w:sz w:val="18"/>
                <w:szCs w:val="18"/>
                <w:lang w:eastAsia="it-IT"/>
              </w:rPr>
            </w:pPr>
            <w:r w:rsidRPr="00E6179B">
              <w:rPr>
                <w:sz w:val="18"/>
                <w:szCs w:val="18"/>
                <w:lang w:eastAsia="it-IT"/>
              </w:rPr>
              <w:t>ASSOCIAZIONE CULTURALE UMBRIARTE ETS</w:t>
            </w:r>
          </w:p>
        </w:tc>
        <w:tc>
          <w:tcPr>
            <w:tcW w:w="2060" w:type="dxa"/>
            <w:tcBorders>
              <w:top w:val="nil"/>
              <w:left w:val="nil"/>
              <w:bottom w:val="single" w:sz="4" w:space="0" w:color="auto"/>
              <w:right w:val="single" w:sz="4" w:space="0" w:color="auto"/>
            </w:tcBorders>
            <w:shd w:val="clear" w:color="000000" w:fill="FFFFFF"/>
            <w:vAlign w:val="bottom"/>
            <w:hideMark/>
          </w:tcPr>
          <w:p w14:paraId="3B50FE51" w14:textId="77777777" w:rsidR="00E6179B" w:rsidRPr="00E6179B" w:rsidRDefault="00E6179B" w:rsidP="00E6179B">
            <w:pPr>
              <w:suppressAutoHyphens w:val="0"/>
              <w:rPr>
                <w:sz w:val="18"/>
                <w:szCs w:val="18"/>
                <w:lang w:eastAsia="it-IT"/>
              </w:rPr>
            </w:pPr>
            <w:r w:rsidRPr="00E6179B">
              <w:rPr>
                <w:sz w:val="18"/>
                <w:szCs w:val="18"/>
                <w:lang w:eastAsia="it-IT"/>
              </w:rPr>
              <w:t>SALDO FATTURA N. FPA 3/24 DEL 3.12.2024 CONTRIBUTI E LIBERALITA</w:t>
            </w:r>
          </w:p>
        </w:tc>
        <w:tc>
          <w:tcPr>
            <w:tcW w:w="1540" w:type="dxa"/>
            <w:tcBorders>
              <w:top w:val="nil"/>
              <w:left w:val="nil"/>
              <w:bottom w:val="single" w:sz="4" w:space="0" w:color="auto"/>
              <w:right w:val="single" w:sz="4" w:space="0" w:color="auto"/>
            </w:tcBorders>
            <w:shd w:val="clear" w:color="000000" w:fill="FFFFFF"/>
            <w:vAlign w:val="bottom"/>
            <w:hideMark/>
          </w:tcPr>
          <w:p w14:paraId="2D39400B" w14:textId="77777777" w:rsidR="00E6179B" w:rsidRPr="00E6179B" w:rsidRDefault="00E6179B" w:rsidP="00E6179B">
            <w:pPr>
              <w:suppressAutoHyphens w:val="0"/>
              <w:rPr>
                <w:sz w:val="18"/>
                <w:szCs w:val="18"/>
                <w:lang w:eastAsia="it-IT"/>
              </w:rPr>
            </w:pPr>
            <w:r w:rsidRPr="00E6179B">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000000" w:fill="FFFFFF"/>
            <w:vAlign w:val="bottom"/>
            <w:hideMark/>
          </w:tcPr>
          <w:p w14:paraId="085ABEF1" w14:textId="77777777" w:rsidR="00E6179B" w:rsidRPr="00E6179B" w:rsidRDefault="00E6179B" w:rsidP="00E6179B">
            <w:pPr>
              <w:suppressAutoHyphens w:val="0"/>
              <w:jc w:val="center"/>
              <w:rPr>
                <w:sz w:val="18"/>
                <w:szCs w:val="18"/>
                <w:lang w:eastAsia="it-IT"/>
              </w:rPr>
            </w:pPr>
            <w:r w:rsidRPr="00E6179B">
              <w:rPr>
                <w:sz w:val="18"/>
                <w:szCs w:val="18"/>
                <w:lang w:eastAsia="it-IT"/>
              </w:rPr>
              <w:t>613</w:t>
            </w:r>
          </w:p>
        </w:tc>
        <w:tc>
          <w:tcPr>
            <w:tcW w:w="1160" w:type="dxa"/>
            <w:tcBorders>
              <w:top w:val="nil"/>
              <w:left w:val="nil"/>
              <w:bottom w:val="single" w:sz="4" w:space="0" w:color="auto"/>
              <w:right w:val="single" w:sz="4" w:space="0" w:color="auto"/>
            </w:tcBorders>
            <w:shd w:val="clear" w:color="000000" w:fill="FFFFFF"/>
            <w:noWrap/>
            <w:vAlign w:val="bottom"/>
            <w:hideMark/>
          </w:tcPr>
          <w:p w14:paraId="1C5BC7F8" w14:textId="77777777" w:rsidR="00E6179B" w:rsidRPr="00E6179B" w:rsidRDefault="00E6179B" w:rsidP="00E6179B">
            <w:pPr>
              <w:suppressAutoHyphens w:val="0"/>
              <w:jc w:val="center"/>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08133337"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789BEF88"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1BCFEDFC" w14:textId="77777777" w:rsidR="00E6179B" w:rsidRPr="00E6179B" w:rsidRDefault="00E6179B" w:rsidP="00E6179B">
            <w:pPr>
              <w:suppressAutoHyphens w:val="0"/>
              <w:rPr>
                <w:sz w:val="18"/>
                <w:szCs w:val="18"/>
                <w:lang w:eastAsia="it-IT"/>
              </w:rPr>
            </w:pPr>
            <w:r w:rsidRPr="00E6179B">
              <w:rPr>
                <w:sz w:val="18"/>
                <w:szCs w:val="18"/>
                <w:lang w:eastAsia="it-IT"/>
              </w:rPr>
              <w:t>COMPAGNIA MEDIEVALE DI TODI</w:t>
            </w:r>
          </w:p>
        </w:tc>
        <w:tc>
          <w:tcPr>
            <w:tcW w:w="2060" w:type="dxa"/>
            <w:tcBorders>
              <w:top w:val="nil"/>
              <w:left w:val="nil"/>
              <w:bottom w:val="single" w:sz="4" w:space="0" w:color="auto"/>
              <w:right w:val="single" w:sz="4" w:space="0" w:color="auto"/>
            </w:tcBorders>
            <w:shd w:val="clear" w:color="000000" w:fill="FFFFFF"/>
            <w:vAlign w:val="bottom"/>
            <w:hideMark/>
          </w:tcPr>
          <w:p w14:paraId="12E9933F" w14:textId="77777777" w:rsidR="00E6179B" w:rsidRPr="00E6179B" w:rsidRDefault="00E6179B" w:rsidP="00E6179B">
            <w:pPr>
              <w:suppressAutoHyphens w:val="0"/>
              <w:rPr>
                <w:sz w:val="18"/>
                <w:szCs w:val="18"/>
                <w:lang w:eastAsia="it-IT"/>
              </w:rPr>
            </w:pPr>
            <w:r w:rsidRPr="00E6179B">
              <w:rPr>
                <w:sz w:val="18"/>
                <w:szCs w:val="18"/>
                <w:lang w:eastAsia="it-IT"/>
              </w:rPr>
              <w:t>Contributo Festa della Consolazione 8 settembre 2024</w:t>
            </w:r>
          </w:p>
        </w:tc>
        <w:tc>
          <w:tcPr>
            <w:tcW w:w="1540" w:type="dxa"/>
            <w:tcBorders>
              <w:top w:val="nil"/>
              <w:left w:val="nil"/>
              <w:bottom w:val="single" w:sz="4" w:space="0" w:color="auto"/>
              <w:right w:val="single" w:sz="4" w:space="0" w:color="auto"/>
            </w:tcBorders>
            <w:shd w:val="clear" w:color="000000" w:fill="FFFFFF"/>
            <w:vAlign w:val="bottom"/>
            <w:hideMark/>
          </w:tcPr>
          <w:p w14:paraId="25C2A24B" w14:textId="77777777" w:rsidR="00E6179B" w:rsidRPr="00E6179B" w:rsidRDefault="00E6179B" w:rsidP="00E6179B">
            <w:pPr>
              <w:suppressAutoHyphens w:val="0"/>
              <w:rPr>
                <w:sz w:val="18"/>
                <w:szCs w:val="18"/>
                <w:lang w:eastAsia="it-IT"/>
              </w:rPr>
            </w:pPr>
            <w:r w:rsidRPr="00E6179B">
              <w:rPr>
                <w:sz w:val="18"/>
                <w:szCs w:val="18"/>
                <w:lang w:eastAsia="it-IT"/>
              </w:rPr>
              <w:t>Determina</w:t>
            </w:r>
          </w:p>
        </w:tc>
        <w:tc>
          <w:tcPr>
            <w:tcW w:w="1060" w:type="dxa"/>
            <w:tcBorders>
              <w:top w:val="nil"/>
              <w:left w:val="nil"/>
              <w:bottom w:val="single" w:sz="4" w:space="0" w:color="auto"/>
              <w:right w:val="single" w:sz="4" w:space="0" w:color="auto"/>
            </w:tcBorders>
            <w:shd w:val="clear" w:color="000000" w:fill="FFFFFF"/>
            <w:vAlign w:val="bottom"/>
            <w:hideMark/>
          </w:tcPr>
          <w:p w14:paraId="36D8D8E2" w14:textId="77777777" w:rsidR="00E6179B" w:rsidRPr="00E6179B" w:rsidRDefault="00E6179B" w:rsidP="00E6179B">
            <w:pPr>
              <w:suppressAutoHyphens w:val="0"/>
              <w:jc w:val="center"/>
              <w:rPr>
                <w:sz w:val="18"/>
                <w:szCs w:val="18"/>
                <w:lang w:eastAsia="it-IT"/>
              </w:rPr>
            </w:pPr>
            <w:proofErr w:type="spellStart"/>
            <w:r w:rsidRPr="00E6179B">
              <w:rPr>
                <w:sz w:val="18"/>
                <w:szCs w:val="18"/>
                <w:lang w:eastAsia="it-IT"/>
              </w:rPr>
              <w:t>liq</w:t>
            </w:r>
            <w:proofErr w:type="spellEnd"/>
            <w:r w:rsidRPr="00E6179B">
              <w:rPr>
                <w:sz w:val="18"/>
                <w:szCs w:val="18"/>
                <w:lang w:eastAsia="it-IT"/>
              </w:rPr>
              <w:t>. 2025</w:t>
            </w:r>
          </w:p>
        </w:tc>
        <w:tc>
          <w:tcPr>
            <w:tcW w:w="1160" w:type="dxa"/>
            <w:tcBorders>
              <w:top w:val="nil"/>
              <w:left w:val="nil"/>
              <w:bottom w:val="single" w:sz="4" w:space="0" w:color="auto"/>
              <w:right w:val="single" w:sz="4" w:space="0" w:color="auto"/>
            </w:tcBorders>
            <w:shd w:val="clear" w:color="000000" w:fill="FFFFFF"/>
            <w:noWrap/>
            <w:vAlign w:val="bottom"/>
            <w:hideMark/>
          </w:tcPr>
          <w:p w14:paraId="38053470" w14:textId="77777777" w:rsidR="00E6179B" w:rsidRPr="00E6179B" w:rsidRDefault="00E6179B" w:rsidP="00E6179B">
            <w:pPr>
              <w:suppressAutoHyphens w:val="0"/>
              <w:jc w:val="center"/>
              <w:rPr>
                <w:sz w:val="18"/>
                <w:szCs w:val="18"/>
                <w:lang w:eastAsia="it-IT"/>
              </w:rPr>
            </w:pPr>
            <w:r w:rsidRPr="00E6179B">
              <w:rPr>
                <w:sz w:val="18"/>
                <w:szCs w:val="18"/>
                <w:lang w:eastAsia="it-IT"/>
              </w:rPr>
              <w:t>€ 150,00</w:t>
            </w:r>
          </w:p>
        </w:tc>
        <w:tc>
          <w:tcPr>
            <w:tcW w:w="960" w:type="dxa"/>
            <w:tcBorders>
              <w:top w:val="nil"/>
              <w:left w:val="nil"/>
              <w:bottom w:val="single" w:sz="4" w:space="0" w:color="auto"/>
              <w:right w:val="single" w:sz="4" w:space="0" w:color="auto"/>
            </w:tcBorders>
            <w:shd w:val="clear" w:color="000000" w:fill="FFFFFF"/>
            <w:vAlign w:val="bottom"/>
            <w:hideMark/>
          </w:tcPr>
          <w:p w14:paraId="3AB97A77"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1BCC1E1" w14:textId="77777777" w:rsidTr="00E6179B">
        <w:trPr>
          <w:trHeight w:val="48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11413F7A" w14:textId="77777777" w:rsidR="00E6179B" w:rsidRPr="00E6179B" w:rsidRDefault="00E6179B" w:rsidP="00E6179B">
            <w:pPr>
              <w:suppressAutoHyphens w:val="0"/>
              <w:rPr>
                <w:sz w:val="18"/>
                <w:szCs w:val="18"/>
                <w:lang w:eastAsia="it-IT"/>
              </w:rPr>
            </w:pPr>
            <w:r w:rsidRPr="00E6179B">
              <w:rPr>
                <w:sz w:val="18"/>
                <w:szCs w:val="18"/>
                <w:lang w:eastAsia="it-IT"/>
              </w:rPr>
              <w:t>Procom</w:t>
            </w:r>
          </w:p>
        </w:tc>
        <w:tc>
          <w:tcPr>
            <w:tcW w:w="2060" w:type="dxa"/>
            <w:tcBorders>
              <w:top w:val="nil"/>
              <w:left w:val="nil"/>
              <w:bottom w:val="single" w:sz="4" w:space="0" w:color="auto"/>
              <w:right w:val="single" w:sz="4" w:space="0" w:color="auto"/>
            </w:tcBorders>
            <w:shd w:val="clear" w:color="000000" w:fill="FFFFFF"/>
            <w:vAlign w:val="bottom"/>
            <w:hideMark/>
          </w:tcPr>
          <w:p w14:paraId="0F2CE398" w14:textId="77777777" w:rsidR="00E6179B" w:rsidRPr="00E6179B" w:rsidRDefault="00E6179B" w:rsidP="00E6179B">
            <w:pPr>
              <w:suppressAutoHyphens w:val="0"/>
              <w:rPr>
                <w:sz w:val="18"/>
                <w:szCs w:val="18"/>
                <w:lang w:eastAsia="it-IT"/>
              </w:rPr>
            </w:pPr>
            <w:r w:rsidRPr="00E6179B">
              <w:rPr>
                <w:sz w:val="18"/>
                <w:szCs w:val="18"/>
                <w:lang w:eastAsia="it-IT"/>
              </w:rPr>
              <w:t xml:space="preserve">vari buoni alimentari </w:t>
            </w:r>
          </w:p>
        </w:tc>
        <w:tc>
          <w:tcPr>
            <w:tcW w:w="1540" w:type="dxa"/>
            <w:tcBorders>
              <w:top w:val="nil"/>
              <w:left w:val="nil"/>
              <w:bottom w:val="single" w:sz="4" w:space="0" w:color="auto"/>
              <w:right w:val="single" w:sz="4" w:space="0" w:color="auto"/>
            </w:tcBorders>
            <w:shd w:val="clear" w:color="000000" w:fill="FFFFFF"/>
            <w:vAlign w:val="bottom"/>
            <w:hideMark/>
          </w:tcPr>
          <w:p w14:paraId="48240181"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285A900D" w14:textId="77777777" w:rsidR="00E6179B" w:rsidRPr="00E6179B" w:rsidRDefault="00E6179B" w:rsidP="00E6179B">
            <w:pPr>
              <w:suppressAutoHyphens w:val="0"/>
              <w:jc w:val="center"/>
              <w:rPr>
                <w:sz w:val="18"/>
                <w:szCs w:val="18"/>
                <w:lang w:eastAsia="it-IT"/>
              </w:rPr>
            </w:pPr>
            <w:r w:rsidRPr="00E6179B">
              <w:rPr>
                <w:sz w:val="18"/>
                <w:szCs w:val="18"/>
                <w:lang w:eastAsia="it-IT"/>
              </w:rPr>
              <w:t>164-441-547-548</w:t>
            </w:r>
          </w:p>
        </w:tc>
        <w:tc>
          <w:tcPr>
            <w:tcW w:w="1160" w:type="dxa"/>
            <w:tcBorders>
              <w:top w:val="nil"/>
              <w:left w:val="nil"/>
              <w:bottom w:val="single" w:sz="4" w:space="0" w:color="auto"/>
              <w:right w:val="single" w:sz="4" w:space="0" w:color="auto"/>
            </w:tcBorders>
            <w:shd w:val="clear" w:color="000000" w:fill="FFFFFF"/>
            <w:noWrap/>
            <w:vAlign w:val="bottom"/>
            <w:hideMark/>
          </w:tcPr>
          <w:p w14:paraId="35550290" w14:textId="77777777" w:rsidR="00E6179B" w:rsidRPr="00E6179B" w:rsidRDefault="00E6179B" w:rsidP="00E6179B">
            <w:pPr>
              <w:suppressAutoHyphens w:val="0"/>
              <w:jc w:val="center"/>
              <w:rPr>
                <w:sz w:val="18"/>
                <w:szCs w:val="18"/>
                <w:lang w:eastAsia="it-IT"/>
              </w:rPr>
            </w:pPr>
            <w:r w:rsidRPr="00E6179B">
              <w:rPr>
                <w:sz w:val="18"/>
                <w:szCs w:val="18"/>
                <w:lang w:eastAsia="it-IT"/>
              </w:rPr>
              <w:t>€ 950,00</w:t>
            </w:r>
          </w:p>
        </w:tc>
        <w:tc>
          <w:tcPr>
            <w:tcW w:w="960" w:type="dxa"/>
            <w:tcBorders>
              <w:top w:val="nil"/>
              <w:left w:val="nil"/>
              <w:bottom w:val="single" w:sz="4" w:space="0" w:color="auto"/>
              <w:right w:val="single" w:sz="4" w:space="0" w:color="auto"/>
            </w:tcBorders>
            <w:shd w:val="clear" w:color="000000" w:fill="FFFFFF"/>
            <w:vAlign w:val="bottom"/>
            <w:hideMark/>
          </w:tcPr>
          <w:p w14:paraId="19501EDD"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CE49E05"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166940E" w14:textId="77777777" w:rsidR="00E6179B" w:rsidRPr="00E6179B" w:rsidRDefault="00E6179B" w:rsidP="00E6179B">
            <w:pPr>
              <w:suppressAutoHyphens w:val="0"/>
              <w:rPr>
                <w:sz w:val="18"/>
                <w:szCs w:val="18"/>
                <w:lang w:eastAsia="it-IT"/>
              </w:rPr>
            </w:pPr>
            <w:r w:rsidRPr="00E6179B">
              <w:rPr>
                <w:sz w:val="18"/>
                <w:szCs w:val="18"/>
                <w:lang w:eastAsia="it-IT"/>
              </w:rPr>
              <w:t>PARROCCHIA SS ANNUNZIATA - TODI</w:t>
            </w:r>
          </w:p>
        </w:tc>
        <w:tc>
          <w:tcPr>
            <w:tcW w:w="2060" w:type="dxa"/>
            <w:tcBorders>
              <w:top w:val="nil"/>
              <w:left w:val="nil"/>
              <w:bottom w:val="single" w:sz="4" w:space="0" w:color="auto"/>
              <w:right w:val="single" w:sz="4" w:space="0" w:color="auto"/>
            </w:tcBorders>
            <w:shd w:val="clear" w:color="000000" w:fill="FFFFFF"/>
            <w:vAlign w:val="bottom"/>
            <w:hideMark/>
          </w:tcPr>
          <w:p w14:paraId="474AA338" w14:textId="77777777" w:rsidR="00E6179B" w:rsidRPr="00E6179B" w:rsidRDefault="00E6179B" w:rsidP="00E6179B">
            <w:pPr>
              <w:suppressAutoHyphens w:val="0"/>
              <w:rPr>
                <w:sz w:val="18"/>
                <w:szCs w:val="18"/>
                <w:lang w:eastAsia="it-IT"/>
              </w:rPr>
            </w:pPr>
            <w:r w:rsidRPr="00E6179B">
              <w:rPr>
                <w:sz w:val="18"/>
                <w:szCs w:val="18"/>
                <w:lang w:eastAsia="it-IT"/>
              </w:rPr>
              <w:t>Contributo Pesca di San Fortunato 2024</w:t>
            </w:r>
          </w:p>
        </w:tc>
        <w:tc>
          <w:tcPr>
            <w:tcW w:w="1540" w:type="dxa"/>
            <w:tcBorders>
              <w:top w:val="nil"/>
              <w:left w:val="nil"/>
              <w:bottom w:val="single" w:sz="4" w:space="0" w:color="auto"/>
              <w:right w:val="single" w:sz="4" w:space="0" w:color="auto"/>
            </w:tcBorders>
            <w:shd w:val="clear" w:color="000000" w:fill="FFFFFF"/>
            <w:vAlign w:val="bottom"/>
            <w:hideMark/>
          </w:tcPr>
          <w:p w14:paraId="156475C9" w14:textId="77777777" w:rsidR="00E6179B" w:rsidRPr="00E6179B" w:rsidRDefault="00E6179B" w:rsidP="00E6179B">
            <w:pPr>
              <w:suppressAutoHyphens w:val="0"/>
              <w:rPr>
                <w:sz w:val="18"/>
                <w:szCs w:val="18"/>
                <w:lang w:eastAsia="it-IT"/>
              </w:rPr>
            </w:pPr>
            <w:r w:rsidRPr="00E6179B">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000000" w:fill="FFFFFF"/>
            <w:vAlign w:val="bottom"/>
            <w:hideMark/>
          </w:tcPr>
          <w:p w14:paraId="4A075CB6" w14:textId="77777777" w:rsidR="00E6179B" w:rsidRPr="00E6179B" w:rsidRDefault="00E6179B" w:rsidP="00E6179B">
            <w:pPr>
              <w:suppressAutoHyphens w:val="0"/>
              <w:jc w:val="center"/>
              <w:rPr>
                <w:sz w:val="18"/>
                <w:szCs w:val="18"/>
                <w:lang w:eastAsia="it-IT"/>
              </w:rPr>
            </w:pPr>
            <w:r w:rsidRPr="00E6179B">
              <w:rPr>
                <w:sz w:val="18"/>
                <w:szCs w:val="18"/>
                <w:lang w:eastAsia="it-IT"/>
              </w:rPr>
              <w:t>496</w:t>
            </w:r>
          </w:p>
        </w:tc>
        <w:tc>
          <w:tcPr>
            <w:tcW w:w="1160" w:type="dxa"/>
            <w:tcBorders>
              <w:top w:val="nil"/>
              <w:left w:val="nil"/>
              <w:bottom w:val="single" w:sz="4" w:space="0" w:color="auto"/>
              <w:right w:val="single" w:sz="4" w:space="0" w:color="auto"/>
            </w:tcBorders>
            <w:shd w:val="clear" w:color="000000" w:fill="FFFFFF"/>
            <w:noWrap/>
            <w:vAlign w:val="bottom"/>
            <w:hideMark/>
          </w:tcPr>
          <w:p w14:paraId="177C90E7" w14:textId="77777777" w:rsidR="00E6179B" w:rsidRPr="00E6179B" w:rsidRDefault="00E6179B" w:rsidP="00E6179B">
            <w:pPr>
              <w:suppressAutoHyphens w:val="0"/>
              <w:jc w:val="center"/>
              <w:rPr>
                <w:sz w:val="18"/>
                <w:szCs w:val="18"/>
                <w:lang w:eastAsia="it-IT"/>
              </w:rPr>
            </w:pPr>
            <w:r w:rsidRPr="00E6179B">
              <w:rPr>
                <w:sz w:val="18"/>
                <w:szCs w:val="18"/>
                <w:lang w:eastAsia="it-IT"/>
              </w:rPr>
              <w:t>€ 200,00</w:t>
            </w:r>
          </w:p>
        </w:tc>
        <w:tc>
          <w:tcPr>
            <w:tcW w:w="960" w:type="dxa"/>
            <w:tcBorders>
              <w:top w:val="nil"/>
              <w:left w:val="nil"/>
              <w:bottom w:val="single" w:sz="4" w:space="0" w:color="auto"/>
              <w:right w:val="single" w:sz="4" w:space="0" w:color="auto"/>
            </w:tcBorders>
            <w:shd w:val="clear" w:color="000000" w:fill="FFFFFF"/>
            <w:vAlign w:val="bottom"/>
            <w:hideMark/>
          </w:tcPr>
          <w:p w14:paraId="20CFBF24"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FF9DAAE"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498F0CC5" w14:textId="77777777" w:rsidR="00E6179B" w:rsidRPr="00E6179B" w:rsidRDefault="00E6179B" w:rsidP="00E6179B">
            <w:pPr>
              <w:suppressAutoHyphens w:val="0"/>
              <w:rPr>
                <w:sz w:val="18"/>
                <w:szCs w:val="18"/>
                <w:lang w:eastAsia="it-IT"/>
              </w:rPr>
            </w:pPr>
            <w:r w:rsidRPr="00E6179B">
              <w:rPr>
                <w:sz w:val="18"/>
                <w:szCs w:val="18"/>
                <w:lang w:eastAsia="it-IT"/>
              </w:rPr>
              <w:t>FORTUNATI MASSIMO E LORETTA CASSIANI</w:t>
            </w:r>
          </w:p>
        </w:tc>
        <w:tc>
          <w:tcPr>
            <w:tcW w:w="2060" w:type="dxa"/>
            <w:tcBorders>
              <w:top w:val="nil"/>
              <w:left w:val="nil"/>
              <w:bottom w:val="single" w:sz="4" w:space="0" w:color="auto"/>
              <w:right w:val="single" w:sz="4" w:space="0" w:color="auto"/>
            </w:tcBorders>
            <w:shd w:val="clear" w:color="000000" w:fill="FFFFFF"/>
            <w:vAlign w:val="bottom"/>
            <w:hideMark/>
          </w:tcPr>
          <w:p w14:paraId="0FE9AB13" w14:textId="77777777" w:rsidR="00E6179B" w:rsidRPr="00E6179B" w:rsidRDefault="00E6179B" w:rsidP="00E6179B">
            <w:pPr>
              <w:suppressAutoHyphens w:val="0"/>
              <w:rPr>
                <w:sz w:val="18"/>
                <w:szCs w:val="18"/>
                <w:lang w:eastAsia="it-IT"/>
              </w:rPr>
            </w:pPr>
            <w:r w:rsidRPr="00E6179B">
              <w:rPr>
                <w:sz w:val="18"/>
                <w:szCs w:val="18"/>
                <w:lang w:eastAsia="it-IT"/>
              </w:rPr>
              <w:t>Rimborso spese per pulizia fondi lancio fuochi 2025</w:t>
            </w:r>
          </w:p>
        </w:tc>
        <w:tc>
          <w:tcPr>
            <w:tcW w:w="1540" w:type="dxa"/>
            <w:tcBorders>
              <w:top w:val="nil"/>
              <w:left w:val="nil"/>
              <w:bottom w:val="single" w:sz="4" w:space="0" w:color="auto"/>
              <w:right w:val="single" w:sz="4" w:space="0" w:color="auto"/>
            </w:tcBorders>
            <w:shd w:val="clear" w:color="000000" w:fill="FFFFFF"/>
            <w:vAlign w:val="bottom"/>
            <w:hideMark/>
          </w:tcPr>
          <w:p w14:paraId="1254B2A6" w14:textId="77777777" w:rsidR="00E6179B" w:rsidRPr="00E6179B" w:rsidRDefault="00E6179B" w:rsidP="00E6179B">
            <w:pPr>
              <w:suppressAutoHyphens w:val="0"/>
              <w:rPr>
                <w:sz w:val="18"/>
                <w:szCs w:val="18"/>
                <w:lang w:eastAsia="it-IT"/>
              </w:rPr>
            </w:pPr>
            <w:r w:rsidRPr="00E6179B">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000000" w:fill="FFFFFF"/>
            <w:vAlign w:val="bottom"/>
            <w:hideMark/>
          </w:tcPr>
          <w:p w14:paraId="56564D5D" w14:textId="77777777" w:rsidR="00E6179B" w:rsidRPr="00E6179B" w:rsidRDefault="00E6179B" w:rsidP="00E6179B">
            <w:pPr>
              <w:suppressAutoHyphens w:val="0"/>
              <w:jc w:val="center"/>
              <w:rPr>
                <w:sz w:val="18"/>
                <w:szCs w:val="18"/>
                <w:lang w:eastAsia="it-IT"/>
              </w:rPr>
            </w:pPr>
            <w:r w:rsidRPr="00E6179B">
              <w:rPr>
                <w:sz w:val="18"/>
                <w:szCs w:val="18"/>
                <w:lang w:eastAsia="it-IT"/>
              </w:rPr>
              <w:t>452</w:t>
            </w:r>
          </w:p>
        </w:tc>
        <w:tc>
          <w:tcPr>
            <w:tcW w:w="1160" w:type="dxa"/>
            <w:tcBorders>
              <w:top w:val="nil"/>
              <w:left w:val="nil"/>
              <w:bottom w:val="single" w:sz="4" w:space="0" w:color="auto"/>
              <w:right w:val="single" w:sz="4" w:space="0" w:color="auto"/>
            </w:tcBorders>
            <w:shd w:val="clear" w:color="000000" w:fill="FFFFFF"/>
            <w:noWrap/>
            <w:vAlign w:val="bottom"/>
            <w:hideMark/>
          </w:tcPr>
          <w:p w14:paraId="47E2D86E" w14:textId="77777777" w:rsidR="00E6179B" w:rsidRPr="00E6179B" w:rsidRDefault="00E6179B" w:rsidP="00E6179B">
            <w:pPr>
              <w:suppressAutoHyphens w:val="0"/>
              <w:jc w:val="center"/>
              <w:rPr>
                <w:sz w:val="18"/>
                <w:szCs w:val="18"/>
                <w:lang w:eastAsia="it-IT"/>
              </w:rPr>
            </w:pPr>
            <w:r w:rsidRPr="00E6179B">
              <w:rPr>
                <w:sz w:val="18"/>
                <w:szCs w:val="18"/>
                <w:lang w:eastAsia="it-IT"/>
              </w:rPr>
              <w:t>€ 550,00</w:t>
            </w:r>
          </w:p>
        </w:tc>
        <w:tc>
          <w:tcPr>
            <w:tcW w:w="960" w:type="dxa"/>
            <w:tcBorders>
              <w:top w:val="nil"/>
              <w:left w:val="nil"/>
              <w:bottom w:val="single" w:sz="4" w:space="0" w:color="auto"/>
              <w:right w:val="single" w:sz="4" w:space="0" w:color="auto"/>
            </w:tcBorders>
            <w:shd w:val="clear" w:color="000000" w:fill="FFFFFF"/>
            <w:vAlign w:val="bottom"/>
            <w:hideMark/>
          </w:tcPr>
          <w:p w14:paraId="6495C029"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2322AB18"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0F4733BC" w14:textId="77777777" w:rsidR="00E6179B" w:rsidRPr="00E6179B" w:rsidRDefault="00E6179B" w:rsidP="00E6179B">
            <w:pPr>
              <w:suppressAutoHyphens w:val="0"/>
              <w:rPr>
                <w:sz w:val="18"/>
                <w:szCs w:val="18"/>
                <w:lang w:eastAsia="it-IT"/>
              </w:rPr>
            </w:pPr>
            <w:r w:rsidRPr="00E6179B">
              <w:rPr>
                <w:sz w:val="18"/>
                <w:szCs w:val="18"/>
                <w:lang w:eastAsia="it-IT"/>
              </w:rPr>
              <w:t>Associazione complesso Bandistico P. del Bianco di Pantalla</w:t>
            </w:r>
          </w:p>
        </w:tc>
        <w:tc>
          <w:tcPr>
            <w:tcW w:w="2060" w:type="dxa"/>
            <w:tcBorders>
              <w:top w:val="nil"/>
              <w:left w:val="nil"/>
              <w:bottom w:val="single" w:sz="4" w:space="0" w:color="auto"/>
              <w:right w:val="single" w:sz="4" w:space="0" w:color="auto"/>
            </w:tcBorders>
            <w:shd w:val="clear" w:color="000000" w:fill="FFFFFF"/>
            <w:vAlign w:val="bottom"/>
            <w:hideMark/>
          </w:tcPr>
          <w:p w14:paraId="399863B4" w14:textId="77777777" w:rsidR="00E6179B" w:rsidRPr="00E6179B" w:rsidRDefault="00E6179B" w:rsidP="00E6179B">
            <w:pPr>
              <w:suppressAutoHyphens w:val="0"/>
              <w:rPr>
                <w:sz w:val="18"/>
                <w:szCs w:val="18"/>
                <w:lang w:eastAsia="it-IT"/>
              </w:rPr>
            </w:pPr>
            <w:r w:rsidRPr="00E6179B">
              <w:rPr>
                <w:sz w:val="18"/>
                <w:szCs w:val="18"/>
                <w:lang w:eastAsia="it-IT"/>
              </w:rPr>
              <w:t>Contributo per esibizione Festa della Consolazione 8.9.2024</w:t>
            </w:r>
          </w:p>
        </w:tc>
        <w:tc>
          <w:tcPr>
            <w:tcW w:w="1540" w:type="dxa"/>
            <w:tcBorders>
              <w:top w:val="nil"/>
              <w:left w:val="nil"/>
              <w:bottom w:val="single" w:sz="4" w:space="0" w:color="auto"/>
              <w:right w:val="single" w:sz="4" w:space="0" w:color="auto"/>
            </w:tcBorders>
            <w:shd w:val="clear" w:color="000000" w:fill="FFFFFF"/>
            <w:vAlign w:val="bottom"/>
            <w:hideMark/>
          </w:tcPr>
          <w:p w14:paraId="2635B0E8" w14:textId="77777777" w:rsidR="00E6179B" w:rsidRPr="00E6179B" w:rsidRDefault="00E6179B" w:rsidP="00E6179B">
            <w:pPr>
              <w:suppressAutoHyphens w:val="0"/>
              <w:rPr>
                <w:sz w:val="18"/>
                <w:szCs w:val="18"/>
                <w:lang w:eastAsia="it-IT"/>
              </w:rPr>
            </w:pPr>
            <w:r w:rsidRPr="00E6179B">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000000" w:fill="FFFFFF"/>
            <w:vAlign w:val="bottom"/>
            <w:hideMark/>
          </w:tcPr>
          <w:p w14:paraId="74D076D1" w14:textId="77777777" w:rsidR="00E6179B" w:rsidRPr="00E6179B" w:rsidRDefault="00E6179B" w:rsidP="00E6179B">
            <w:pPr>
              <w:suppressAutoHyphens w:val="0"/>
              <w:jc w:val="center"/>
              <w:rPr>
                <w:sz w:val="18"/>
                <w:szCs w:val="18"/>
                <w:lang w:eastAsia="it-IT"/>
              </w:rPr>
            </w:pPr>
            <w:r w:rsidRPr="00E6179B">
              <w:rPr>
                <w:sz w:val="18"/>
                <w:szCs w:val="18"/>
                <w:lang w:eastAsia="it-IT"/>
              </w:rPr>
              <w:t>453</w:t>
            </w:r>
          </w:p>
        </w:tc>
        <w:tc>
          <w:tcPr>
            <w:tcW w:w="1160" w:type="dxa"/>
            <w:tcBorders>
              <w:top w:val="nil"/>
              <w:left w:val="nil"/>
              <w:bottom w:val="single" w:sz="4" w:space="0" w:color="auto"/>
              <w:right w:val="single" w:sz="4" w:space="0" w:color="auto"/>
            </w:tcBorders>
            <w:shd w:val="clear" w:color="000000" w:fill="FFFFFF"/>
            <w:noWrap/>
            <w:vAlign w:val="bottom"/>
            <w:hideMark/>
          </w:tcPr>
          <w:p w14:paraId="7C6B1527" w14:textId="77777777" w:rsidR="00E6179B" w:rsidRPr="00E6179B" w:rsidRDefault="00E6179B" w:rsidP="00E6179B">
            <w:pPr>
              <w:suppressAutoHyphens w:val="0"/>
              <w:jc w:val="center"/>
              <w:rPr>
                <w:sz w:val="18"/>
                <w:szCs w:val="18"/>
                <w:lang w:eastAsia="it-IT"/>
              </w:rPr>
            </w:pPr>
            <w:r w:rsidRPr="00E6179B">
              <w:rPr>
                <w:sz w:val="18"/>
                <w:szCs w:val="18"/>
                <w:lang w:eastAsia="it-IT"/>
              </w:rPr>
              <w:t>€ 150,00</w:t>
            </w:r>
          </w:p>
        </w:tc>
        <w:tc>
          <w:tcPr>
            <w:tcW w:w="960" w:type="dxa"/>
            <w:tcBorders>
              <w:top w:val="nil"/>
              <w:left w:val="nil"/>
              <w:bottom w:val="single" w:sz="4" w:space="0" w:color="auto"/>
              <w:right w:val="single" w:sz="4" w:space="0" w:color="auto"/>
            </w:tcBorders>
            <w:shd w:val="clear" w:color="000000" w:fill="FFFFFF"/>
            <w:vAlign w:val="bottom"/>
            <w:hideMark/>
          </w:tcPr>
          <w:p w14:paraId="3317624B"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0C8E341B"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040A7504" w14:textId="77777777" w:rsidR="00E6179B" w:rsidRPr="00E6179B" w:rsidRDefault="00E6179B" w:rsidP="00E6179B">
            <w:pPr>
              <w:suppressAutoHyphens w:val="0"/>
              <w:rPr>
                <w:sz w:val="18"/>
                <w:szCs w:val="18"/>
                <w:lang w:eastAsia="it-IT"/>
              </w:rPr>
            </w:pPr>
            <w:r w:rsidRPr="00E6179B">
              <w:rPr>
                <w:sz w:val="18"/>
                <w:szCs w:val="18"/>
                <w:lang w:eastAsia="it-IT"/>
              </w:rPr>
              <w:t>ASSOCIAZIONE CULTURALE LIBERARE LA BELLEZZA</w:t>
            </w:r>
          </w:p>
        </w:tc>
        <w:tc>
          <w:tcPr>
            <w:tcW w:w="2060" w:type="dxa"/>
            <w:tcBorders>
              <w:top w:val="nil"/>
              <w:left w:val="nil"/>
              <w:bottom w:val="single" w:sz="4" w:space="0" w:color="auto"/>
              <w:right w:val="single" w:sz="4" w:space="0" w:color="auto"/>
            </w:tcBorders>
            <w:shd w:val="clear" w:color="000000" w:fill="FFFFFF"/>
            <w:vAlign w:val="bottom"/>
            <w:hideMark/>
          </w:tcPr>
          <w:p w14:paraId="2037BDE5" w14:textId="77777777" w:rsidR="00E6179B" w:rsidRPr="00E6179B" w:rsidRDefault="00E6179B" w:rsidP="00E6179B">
            <w:pPr>
              <w:suppressAutoHyphens w:val="0"/>
              <w:rPr>
                <w:sz w:val="18"/>
                <w:szCs w:val="18"/>
                <w:lang w:eastAsia="it-IT"/>
              </w:rPr>
            </w:pPr>
            <w:r w:rsidRPr="00E6179B">
              <w:rPr>
                <w:sz w:val="18"/>
                <w:szCs w:val="18"/>
                <w:lang w:eastAsia="it-IT"/>
              </w:rPr>
              <w:t>concessione contributo per la realizzazione della rassegna LIBERARE LA BELLEZZA 2024</w:t>
            </w:r>
          </w:p>
        </w:tc>
        <w:tc>
          <w:tcPr>
            <w:tcW w:w="1540" w:type="dxa"/>
            <w:tcBorders>
              <w:top w:val="nil"/>
              <w:left w:val="nil"/>
              <w:bottom w:val="single" w:sz="4" w:space="0" w:color="auto"/>
              <w:right w:val="single" w:sz="4" w:space="0" w:color="auto"/>
            </w:tcBorders>
            <w:shd w:val="clear" w:color="000000" w:fill="FFFFFF"/>
            <w:vAlign w:val="bottom"/>
            <w:hideMark/>
          </w:tcPr>
          <w:p w14:paraId="157CD0D0"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70636E23" w14:textId="77777777" w:rsidR="00E6179B" w:rsidRPr="00E6179B" w:rsidRDefault="00E6179B" w:rsidP="00E6179B">
            <w:pPr>
              <w:suppressAutoHyphens w:val="0"/>
              <w:jc w:val="center"/>
              <w:rPr>
                <w:sz w:val="18"/>
                <w:szCs w:val="18"/>
                <w:lang w:eastAsia="it-IT"/>
              </w:rPr>
            </w:pPr>
            <w:r w:rsidRPr="00E6179B">
              <w:rPr>
                <w:sz w:val="18"/>
                <w:szCs w:val="18"/>
                <w:lang w:eastAsia="it-IT"/>
              </w:rPr>
              <w:t>407</w:t>
            </w:r>
          </w:p>
        </w:tc>
        <w:tc>
          <w:tcPr>
            <w:tcW w:w="1160" w:type="dxa"/>
            <w:tcBorders>
              <w:top w:val="nil"/>
              <w:left w:val="nil"/>
              <w:bottom w:val="single" w:sz="4" w:space="0" w:color="auto"/>
              <w:right w:val="single" w:sz="4" w:space="0" w:color="auto"/>
            </w:tcBorders>
            <w:shd w:val="clear" w:color="000000" w:fill="FFFFFF"/>
            <w:noWrap/>
            <w:vAlign w:val="bottom"/>
            <w:hideMark/>
          </w:tcPr>
          <w:p w14:paraId="318525DC" w14:textId="77777777" w:rsidR="00E6179B" w:rsidRPr="00E6179B" w:rsidRDefault="00E6179B" w:rsidP="00E6179B">
            <w:pPr>
              <w:suppressAutoHyphens w:val="0"/>
              <w:jc w:val="center"/>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5C0A2730"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4616D355"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4671B737" w14:textId="77777777" w:rsidR="00E6179B" w:rsidRPr="00E6179B" w:rsidRDefault="00E6179B" w:rsidP="00E6179B">
            <w:pPr>
              <w:suppressAutoHyphens w:val="0"/>
              <w:rPr>
                <w:sz w:val="18"/>
                <w:szCs w:val="18"/>
                <w:lang w:eastAsia="it-IT"/>
              </w:rPr>
            </w:pPr>
            <w:r w:rsidRPr="00E6179B">
              <w:rPr>
                <w:sz w:val="18"/>
                <w:szCs w:val="18"/>
                <w:lang w:eastAsia="it-IT"/>
              </w:rPr>
              <w:t>ASSOCIAZIONE CULTURALE ACCADEMIA PERUSINA</w:t>
            </w:r>
          </w:p>
        </w:tc>
        <w:tc>
          <w:tcPr>
            <w:tcW w:w="2060" w:type="dxa"/>
            <w:tcBorders>
              <w:top w:val="nil"/>
              <w:left w:val="nil"/>
              <w:bottom w:val="single" w:sz="4" w:space="0" w:color="auto"/>
              <w:right w:val="single" w:sz="4" w:space="0" w:color="auto"/>
            </w:tcBorders>
            <w:shd w:val="clear" w:color="000000" w:fill="FFFFFF"/>
            <w:vAlign w:val="bottom"/>
            <w:hideMark/>
          </w:tcPr>
          <w:p w14:paraId="138E96CB" w14:textId="77777777" w:rsidR="00E6179B" w:rsidRPr="00E6179B" w:rsidRDefault="00E6179B" w:rsidP="00E6179B">
            <w:pPr>
              <w:suppressAutoHyphens w:val="0"/>
              <w:rPr>
                <w:sz w:val="18"/>
                <w:szCs w:val="18"/>
                <w:lang w:eastAsia="it-IT"/>
              </w:rPr>
            </w:pPr>
            <w:r w:rsidRPr="00E6179B">
              <w:rPr>
                <w:sz w:val="18"/>
                <w:szCs w:val="18"/>
                <w:lang w:eastAsia="it-IT"/>
              </w:rPr>
              <w:t>CONCERTO ACCADEMIA PERUSINA 9.2.2024</w:t>
            </w:r>
          </w:p>
        </w:tc>
        <w:tc>
          <w:tcPr>
            <w:tcW w:w="1540" w:type="dxa"/>
            <w:tcBorders>
              <w:top w:val="nil"/>
              <w:left w:val="nil"/>
              <w:bottom w:val="single" w:sz="4" w:space="0" w:color="auto"/>
              <w:right w:val="single" w:sz="4" w:space="0" w:color="auto"/>
            </w:tcBorders>
            <w:shd w:val="clear" w:color="000000" w:fill="FFFFFF"/>
            <w:vAlign w:val="bottom"/>
            <w:hideMark/>
          </w:tcPr>
          <w:p w14:paraId="603BAD1B"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6C6CC9F6" w14:textId="77777777" w:rsidR="00E6179B" w:rsidRPr="00E6179B" w:rsidRDefault="00E6179B" w:rsidP="00E6179B">
            <w:pPr>
              <w:suppressAutoHyphens w:val="0"/>
              <w:jc w:val="center"/>
              <w:rPr>
                <w:sz w:val="18"/>
                <w:szCs w:val="18"/>
                <w:lang w:eastAsia="it-IT"/>
              </w:rPr>
            </w:pPr>
            <w:r w:rsidRPr="00E6179B">
              <w:rPr>
                <w:sz w:val="18"/>
                <w:szCs w:val="18"/>
                <w:lang w:eastAsia="it-IT"/>
              </w:rPr>
              <w:t>169</w:t>
            </w:r>
          </w:p>
        </w:tc>
        <w:tc>
          <w:tcPr>
            <w:tcW w:w="1160" w:type="dxa"/>
            <w:tcBorders>
              <w:top w:val="nil"/>
              <w:left w:val="nil"/>
              <w:bottom w:val="single" w:sz="4" w:space="0" w:color="auto"/>
              <w:right w:val="single" w:sz="4" w:space="0" w:color="auto"/>
            </w:tcBorders>
            <w:shd w:val="clear" w:color="000000" w:fill="FFFFFF"/>
            <w:noWrap/>
            <w:vAlign w:val="bottom"/>
            <w:hideMark/>
          </w:tcPr>
          <w:p w14:paraId="248CC473" w14:textId="77777777" w:rsidR="00E6179B" w:rsidRPr="00E6179B" w:rsidRDefault="00E6179B" w:rsidP="00E6179B">
            <w:pPr>
              <w:suppressAutoHyphens w:val="0"/>
              <w:jc w:val="center"/>
              <w:rPr>
                <w:sz w:val="18"/>
                <w:szCs w:val="18"/>
                <w:lang w:eastAsia="it-IT"/>
              </w:rPr>
            </w:pPr>
            <w:r w:rsidRPr="00E6179B">
              <w:rPr>
                <w:sz w:val="18"/>
                <w:szCs w:val="18"/>
                <w:lang w:eastAsia="it-IT"/>
              </w:rPr>
              <w:t>€ 1.000,00</w:t>
            </w:r>
          </w:p>
        </w:tc>
        <w:tc>
          <w:tcPr>
            <w:tcW w:w="960" w:type="dxa"/>
            <w:tcBorders>
              <w:top w:val="nil"/>
              <w:left w:val="nil"/>
              <w:bottom w:val="single" w:sz="4" w:space="0" w:color="auto"/>
              <w:right w:val="single" w:sz="4" w:space="0" w:color="auto"/>
            </w:tcBorders>
            <w:shd w:val="clear" w:color="000000" w:fill="FFFFFF"/>
            <w:vAlign w:val="bottom"/>
            <w:hideMark/>
          </w:tcPr>
          <w:p w14:paraId="475940C6"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2FAD2363"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74B630D4" w14:textId="77777777" w:rsidR="00E6179B" w:rsidRPr="00E6179B" w:rsidRDefault="00E6179B" w:rsidP="00E6179B">
            <w:pPr>
              <w:suppressAutoHyphens w:val="0"/>
              <w:rPr>
                <w:sz w:val="18"/>
                <w:szCs w:val="18"/>
                <w:lang w:eastAsia="it-IT"/>
              </w:rPr>
            </w:pPr>
            <w:r w:rsidRPr="00E6179B">
              <w:rPr>
                <w:sz w:val="18"/>
                <w:szCs w:val="18"/>
                <w:lang w:eastAsia="it-IT"/>
              </w:rPr>
              <w:t>ARCHEOCLUB D'ITALIA SEDE DI TODI</w:t>
            </w:r>
          </w:p>
        </w:tc>
        <w:tc>
          <w:tcPr>
            <w:tcW w:w="2060" w:type="dxa"/>
            <w:tcBorders>
              <w:top w:val="nil"/>
              <w:left w:val="nil"/>
              <w:bottom w:val="single" w:sz="4" w:space="0" w:color="auto"/>
              <w:right w:val="single" w:sz="4" w:space="0" w:color="auto"/>
            </w:tcBorders>
            <w:shd w:val="clear" w:color="000000" w:fill="FFFFFF"/>
            <w:vAlign w:val="bottom"/>
            <w:hideMark/>
          </w:tcPr>
          <w:p w14:paraId="0C7C23C3" w14:textId="77777777" w:rsidR="00E6179B" w:rsidRPr="00E6179B" w:rsidRDefault="00E6179B" w:rsidP="00E6179B">
            <w:pPr>
              <w:suppressAutoHyphens w:val="0"/>
              <w:rPr>
                <w:sz w:val="18"/>
                <w:szCs w:val="18"/>
                <w:lang w:eastAsia="it-IT"/>
              </w:rPr>
            </w:pPr>
            <w:r w:rsidRPr="00E6179B">
              <w:rPr>
                <w:sz w:val="18"/>
                <w:szCs w:val="18"/>
                <w:lang w:eastAsia="it-IT"/>
              </w:rPr>
              <w:t>Contributo per concerto Chiesta della Consolazione</w:t>
            </w:r>
          </w:p>
        </w:tc>
        <w:tc>
          <w:tcPr>
            <w:tcW w:w="1540" w:type="dxa"/>
            <w:tcBorders>
              <w:top w:val="nil"/>
              <w:left w:val="nil"/>
              <w:bottom w:val="single" w:sz="4" w:space="0" w:color="auto"/>
              <w:right w:val="single" w:sz="4" w:space="0" w:color="auto"/>
            </w:tcBorders>
            <w:shd w:val="clear" w:color="000000" w:fill="FFFFFF"/>
            <w:vAlign w:val="bottom"/>
            <w:hideMark/>
          </w:tcPr>
          <w:p w14:paraId="1174B54D"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455C0D0F" w14:textId="77777777" w:rsidR="00E6179B" w:rsidRPr="00E6179B" w:rsidRDefault="00E6179B" w:rsidP="00E6179B">
            <w:pPr>
              <w:suppressAutoHyphens w:val="0"/>
              <w:jc w:val="center"/>
              <w:rPr>
                <w:sz w:val="18"/>
                <w:szCs w:val="18"/>
                <w:lang w:eastAsia="it-IT"/>
              </w:rPr>
            </w:pPr>
            <w:r w:rsidRPr="00E6179B">
              <w:rPr>
                <w:sz w:val="18"/>
                <w:szCs w:val="18"/>
                <w:lang w:eastAsia="it-IT"/>
              </w:rPr>
              <w:t>168</w:t>
            </w:r>
          </w:p>
        </w:tc>
        <w:tc>
          <w:tcPr>
            <w:tcW w:w="1160" w:type="dxa"/>
            <w:tcBorders>
              <w:top w:val="nil"/>
              <w:left w:val="nil"/>
              <w:bottom w:val="single" w:sz="4" w:space="0" w:color="auto"/>
              <w:right w:val="single" w:sz="4" w:space="0" w:color="auto"/>
            </w:tcBorders>
            <w:shd w:val="clear" w:color="000000" w:fill="FFFFFF"/>
            <w:noWrap/>
            <w:vAlign w:val="bottom"/>
            <w:hideMark/>
          </w:tcPr>
          <w:p w14:paraId="776DDA3A" w14:textId="77777777" w:rsidR="00E6179B" w:rsidRPr="00E6179B" w:rsidRDefault="00E6179B" w:rsidP="00E6179B">
            <w:pPr>
              <w:suppressAutoHyphens w:val="0"/>
              <w:jc w:val="center"/>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4C59E4D8"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474A9D34"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20335C8A" w14:textId="77777777" w:rsidR="00E6179B" w:rsidRPr="00E6179B" w:rsidRDefault="00E6179B" w:rsidP="00E6179B">
            <w:pPr>
              <w:suppressAutoHyphens w:val="0"/>
              <w:rPr>
                <w:sz w:val="18"/>
                <w:szCs w:val="18"/>
                <w:lang w:eastAsia="it-IT"/>
              </w:rPr>
            </w:pPr>
            <w:r w:rsidRPr="00E6179B">
              <w:rPr>
                <w:sz w:val="18"/>
                <w:szCs w:val="18"/>
                <w:lang w:eastAsia="it-IT"/>
              </w:rPr>
              <w:t>ARCHEOCLUB D'ITALIA SEDE DI TODI</w:t>
            </w:r>
          </w:p>
        </w:tc>
        <w:tc>
          <w:tcPr>
            <w:tcW w:w="2060" w:type="dxa"/>
            <w:tcBorders>
              <w:top w:val="nil"/>
              <w:left w:val="nil"/>
              <w:bottom w:val="single" w:sz="4" w:space="0" w:color="auto"/>
              <w:right w:val="single" w:sz="4" w:space="0" w:color="auto"/>
            </w:tcBorders>
            <w:shd w:val="clear" w:color="000000" w:fill="FFFFFF"/>
            <w:vAlign w:val="bottom"/>
            <w:hideMark/>
          </w:tcPr>
          <w:p w14:paraId="6D71F039" w14:textId="71BB85FC" w:rsidR="00E6179B" w:rsidRPr="00E6179B" w:rsidRDefault="00281384" w:rsidP="00E6179B">
            <w:pPr>
              <w:suppressAutoHyphens w:val="0"/>
              <w:rPr>
                <w:sz w:val="18"/>
                <w:szCs w:val="18"/>
                <w:lang w:eastAsia="it-IT"/>
              </w:rPr>
            </w:pPr>
            <w:r>
              <w:rPr>
                <w:sz w:val="18"/>
                <w:szCs w:val="18"/>
                <w:lang w:eastAsia="it-IT"/>
              </w:rPr>
              <w:t>C</w:t>
            </w:r>
            <w:r w:rsidR="00E6179B" w:rsidRPr="00E6179B">
              <w:rPr>
                <w:sz w:val="18"/>
                <w:szCs w:val="18"/>
                <w:lang w:eastAsia="it-IT"/>
              </w:rPr>
              <w:t>ontributo per concerto Gospel Chiesa della Consolazione</w:t>
            </w:r>
          </w:p>
        </w:tc>
        <w:tc>
          <w:tcPr>
            <w:tcW w:w="1540" w:type="dxa"/>
            <w:tcBorders>
              <w:top w:val="nil"/>
              <w:left w:val="nil"/>
              <w:bottom w:val="single" w:sz="4" w:space="0" w:color="auto"/>
              <w:right w:val="single" w:sz="4" w:space="0" w:color="auto"/>
            </w:tcBorders>
            <w:shd w:val="clear" w:color="000000" w:fill="FFFFFF"/>
            <w:vAlign w:val="bottom"/>
            <w:hideMark/>
          </w:tcPr>
          <w:p w14:paraId="4719AF98"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3F7241D8" w14:textId="77777777" w:rsidR="00E6179B" w:rsidRPr="00E6179B" w:rsidRDefault="00E6179B" w:rsidP="00E6179B">
            <w:pPr>
              <w:suppressAutoHyphens w:val="0"/>
              <w:jc w:val="center"/>
              <w:rPr>
                <w:sz w:val="18"/>
                <w:szCs w:val="18"/>
                <w:lang w:eastAsia="it-IT"/>
              </w:rPr>
            </w:pPr>
            <w:r w:rsidRPr="00E6179B">
              <w:rPr>
                <w:sz w:val="18"/>
                <w:szCs w:val="18"/>
                <w:lang w:eastAsia="it-IT"/>
              </w:rPr>
              <w:t>643</w:t>
            </w:r>
          </w:p>
        </w:tc>
        <w:tc>
          <w:tcPr>
            <w:tcW w:w="1160" w:type="dxa"/>
            <w:tcBorders>
              <w:top w:val="nil"/>
              <w:left w:val="nil"/>
              <w:bottom w:val="single" w:sz="4" w:space="0" w:color="auto"/>
              <w:right w:val="single" w:sz="4" w:space="0" w:color="auto"/>
            </w:tcBorders>
            <w:shd w:val="clear" w:color="000000" w:fill="FFFFFF"/>
            <w:noWrap/>
            <w:vAlign w:val="bottom"/>
            <w:hideMark/>
          </w:tcPr>
          <w:p w14:paraId="1D54DD54" w14:textId="77777777" w:rsidR="00E6179B" w:rsidRPr="00E6179B" w:rsidRDefault="00E6179B" w:rsidP="00E6179B">
            <w:pPr>
              <w:suppressAutoHyphens w:val="0"/>
              <w:jc w:val="center"/>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5BBB9B88"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18B4DB1F" w14:textId="77777777" w:rsidTr="00E6179B">
        <w:trPr>
          <w:trHeight w:val="48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147DA3D8" w14:textId="77777777" w:rsidR="00E6179B" w:rsidRPr="00E6179B" w:rsidRDefault="00E6179B" w:rsidP="00E6179B">
            <w:pPr>
              <w:suppressAutoHyphens w:val="0"/>
              <w:rPr>
                <w:sz w:val="18"/>
                <w:szCs w:val="18"/>
                <w:lang w:eastAsia="it-IT"/>
              </w:rPr>
            </w:pPr>
            <w:r w:rsidRPr="00E6179B">
              <w:rPr>
                <w:sz w:val="18"/>
                <w:szCs w:val="18"/>
                <w:lang w:eastAsia="it-IT"/>
              </w:rPr>
              <w:t>ASSOCIAZIONE VEGA</w:t>
            </w:r>
          </w:p>
        </w:tc>
        <w:tc>
          <w:tcPr>
            <w:tcW w:w="2060" w:type="dxa"/>
            <w:tcBorders>
              <w:top w:val="nil"/>
              <w:left w:val="nil"/>
              <w:bottom w:val="single" w:sz="4" w:space="0" w:color="auto"/>
              <w:right w:val="single" w:sz="4" w:space="0" w:color="auto"/>
            </w:tcBorders>
            <w:shd w:val="clear" w:color="000000" w:fill="FFFFFF"/>
            <w:vAlign w:val="bottom"/>
            <w:hideMark/>
          </w:tcPr>
          <w:p w14:paraId="330341AD" w14:textId="77777777" w:rsidR="00E6179B" w:rsidRPr="00E6179B" w:rsidRDefault="00E6179B" w:rsidP="00E6179B">
            <w:pPr>
              <w:suppressAutoHyphens w:val="0"/>
              <w:rPr>
                <w:sz w:val="18"/>
                <w:szCs w:val="18"/>
                <w:lang w:eastAsia="it-IT"/>
              </w:rPr>
            </w:pPr>
            <w:r w:rsidRPr="00E6179B">
              <w:rPr>
                <w:sz w:val="18"/>
                <w:szCs w:val="18"/>
                <w:lang w:eastAsia="it-IT"/>
              </w:rPr>
              <w:t>contributo per rassegna AMATI Festival 2024</w:t>
            </w:r>
          </w:p>
        </w:tc>
        <w:tc>
          <w:tcPr>
            <w:tcW w:w="1540" w:type="dxa"/>
            <w:tcBorders>
              <w:top w:val="nil"/>
              <w:left w:val="nil"/>
              <w:bottom w:val="single" w:sz="4" w:space="0" w:color="auto"/>
              <w:right w:val="single" w:sz="4" w:space="0" w:color="auto"/>
            </w:tcBorders>
            <w:shd w:val="clear" w:color="000000" w:fill="FFFFFF"/>
            <w:vAlign w:val="bottom"/>
            <w:hideMark/>
          </w:tcPr>
          <w:p w14:paraId="1EFB6A22"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2E235D7D" w14:textId="77777777" w:rsidR="00E6179B" w:rsidRPr="00E6179B" w:rsidRDefault="00E6179B" w:rsidP="00E6179B">
            <w:pPr>
              <w:suppressAutoHyphens w:val="0"/>
              <w:jc w:val="center"/>
              <w:rPr>
                <w:sz w:val="18"/>
                <w:szCs w:val="18"/>
                <w:lang w:eastAsia="it-IT"/>
              </w:rPr>
            </w:pPr>
            <w:r w:rsidRPr="00E6179B">
              <w:rPr>
                <w:sz w:val="18"/>
                <w:szCs w:val="18"/>
                <w:lang w:eastAsia="it-IT"/>
              </w:rPr>
              <w:t>301</w:t>
            </w:r>
          </w:p>
        </w:tc>
        <w:tc>
          <w:tcPr>
            <w:tcW w:w="1160" w:type="dxa"/>
            <w:tcBorders>
              <w:top w:val="nil"/>
              <w:left w:val="nil"/>
              <w:bottom w:val="single" w:sz="4" w:space="0" w:color="auto"/>
              <w:right w:val="single" w:sz="4" w:space="0" w:color="auto"/>
            </w:tcBorders>
            <w:shd w:val="clear" w:color="000000" w:fill="FFFFFF"/>
            <w:noWrap/>
            <w:vAlign w:val="bottom"/>
            <w:hideMark/>
          </w:tcPr>
          <w:p w14:paraId="1DC654A9" w14:textId="77777777" w:rsidR="00E6179B" w:rsidRPr="00E6179B" w:rsidRDefault="00E6179B" w:rsidP="00E6179B">
            <w:pPr>
              <w:suppressAutoHyphens w:val="0"/>
              <w:jc w:val="center"/>
              <w:rPr>
                <w:sz w:val="18"/>
                <w:szCs w:val="18"/>
                <w:lang w:eastAsia="it-IT"/>
              </w:rPr>
            </w:pPr>
            <w:r w:rsidRPr="00E6179B">
              <w:rPr>
                <w:sz w:val="18"/>
                <w:szCs w:val="18"/>
                <w:lang w:eastAsia="it-IT"/>
              </w:rPr>
              <w:t>€ 3.000,00</w:t>
            </w:r>
          </w:p>
        </w:tc>
        <w:tc>
          <w:tcPr>
            <w:tcW w:w="960" w:type="dxa"/>
            <w:tcBorders>
              <w:top w:val="nil"/>
              <w:left w:val="nil"/>
              <w:bottom w:val="single" w:sz="4" w:space="0" w:color="auto"/>
              <w:right w:val="single" w:sz="4" w:space="0" w:color="auto"/>
            </w:tcBorders>
            <w:shd w:val="clear" w:color="000000" w:fill="FFFFFF"/>
            <w:vAlign w:val="bottom"/>
            <w:hideMark/>
          </w:tcPr>
          <w:p w14:paraId="5CAA9F79"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156AF472" w14:textId="77777777" w:rsidTr="00E6179B">
        <w:trPr>
          <w:trHeight w:val="96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6D46F8E5" w14:textId="77777777" w:rsidR="00E6179B" w:rsidRPr="00E6179B" w:rsidRDefault="00E6179B" w:rsidP="00E6179B">
            <w:pPr>
              <w:suppressAutoHyphens w:val="0"/>
              <w:rPr>
                <w:sz w:val="18"/>
                <w:szCs w:val="18"/>
                <w:lang w:eastAsia="it-IT"/>
              </w:rPr>
            </w:pPr>
            <w:r w:rsidRPr="00E6179B">
              <w:rPr>
                <w:sz w:val="18"/>
                <w:szCs w:val="18"/>
                <w:lang w:eastAsia="it-IT"/>
              </w:rPr>
              <w:t>ASSOCIAZIONE TODI SOTTERRANEA APS</w:t>
            </w:r>
          </w:p>
        </w:tc>
        <w:tc>
          <w:tcPr>
            <w:tcW w:w="2060" w:type="dxa"/>
            <w:tcBorders>
              <w:top w:val="nil"/>
              <w:left w:val="nil"/>
              <w:bottom w:val="single" w:sz="4" w:space="0" w:color="auto"/>
              <w:right w:val="single" w:sz="4" w:space="0" w:color="auto"/>
            </w:tcBorders>
            <w:shd w:val="clear" w:color="000000" w:fill="FFFFFF"/>
            <w:vAlign w:val="bottom"/>
            <w:hideMark/>
          </w:tcPr>
          <w:p w14:paraId="56C751B7" w14:textId="77777777" w:rsidR="00E6179B" w:rsidRPr="00E6179B" w:rsidRDefault="00E6179B" w:rsidP="00E6179B">
            <w:pPr>
              <w:suppressAutoHyphens w:val="0"/>
              <w:rPr>
                <w:sz w:val="18"/>
                <w:szCs w:val="18"/>
                <w:lang w:eastAsia="it-IT"/>
              </w:rPr>
            </w:pPr>
            <w:r w:rsidRPr="00E6179B">
              <w:rPr>
                <w:sz w:val="18"/>
                <w:szCs w:val="18"/>
                <w:lang w:eastAsia="it-IT"/>
              </w:rPr>
              <w:t>Contributo per volume Todi nel settecento</w:t>
            </w:r>
          </w:p>
        </w:tc>
        <w:tc>
          <w:tcPr>
            <w:tcW w:w="1540" w:type="dxa"/>
            <w:tcBorders>
              <w:top w:val="nil"/>
              <w:left w:val="nil"/>
              <w:bottom w:val="single" w:sz="4" w:space="0" w:color="auto"/>
              <w:right w:val="single" w:sz="4" w:space="0" w:color="auto"/>
            </w:tcBorders>
            <w:shd w:val="clear" w:color="000000" w:fill="FFFFFF"/>
            <w:noWrap/>
            <w:vAlign w:val="bottom"/>
            <w:hideMark/>
          </w:tcPr>
          <w:p w14:paraId="3796C24E"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2DA90899" w14:textId="77777777" w:rsidR="00E6179B" w:rsidRPr="00E6179B" w:rsidRDefault="00E6179B" w:rsidP="00E6179B">
            <w:pPr>
              <w:suppressAutoHyphens w:val="0"/>
              <w:jc w:val="center"/>
              <w:rPr>
                <w:sz w:val="18"/>
                <w:szCs w:val="18"/>
                <w:lang w:eastAsia="it-IT"/>
              </w:rPr>
            </w:pPr>
            <w:r w:rsidRPr="00E6179B">
              <w:rPr>
                <w:sz w:val="18"/>
                <w:szCs w:val="18"/>
                <w:lang w:eastAsia="it-IT"/>
              </w:rPr>
              <w:t>484</w:t>
            </w:r>
          </w:p>
        </w:tc>
        <w:tc>
          <w:tcPr>
            <w:tcW w:w="1160" w:type="dxa"/>
            <w:tcBorders>
              <w:top w:val="nil"/>
              <w:left w:val="nil"/>
              <w:bottom w:val="single" w:sz="4" w:space="0" w:color="auto"/>
              <w:right w:val="single" w:sz="4" w:space="0" w:color="auto"/>
            </w:tcBorders>
            <w:shd w:val="clear" w:color="000000" w:fill="FFFFFF"/>
            <w:noWrap/>
            <w:vAlign w:val="bottom"/>
            <w:hideMark/>
          </w:tcPr>
          <w:p w14:paraId="48BB9C64" w14:textId="77777777" w:rsidR="00E6179B" w:rsidRPr="00E6179B" w:rsidRDefault="00E6179B" w:rsidP="00E6179B">
            <w:pPr>
              <w:suppressAutoHyphens w:val="0"/>
              <w:jc w:val="center"/>
              <w:rPr>
                <w:sz w:val="18"/>
                <w:szCs w:val="18"/>
                <w:lang w:eastAsia="it-IT"/>
              </w:rPr>
            </w:pPr>
            <w:r w:rsidRPr="00E6179B">
              <w:rPr>
                <w:sz w:val="18"/>
                <w:szCs w:val="18"/>
                <w:lang w:eastAsia="it-IT"/>
              </w:rPr>
              <w:t>€ 300,00</w:t>
            </w:r>
          </w:p>
        </w:tc>
        <w:tc>
          <w:tcPr>
            <w:tcW w:w="960" w:type="dxa"/>
            <w:tcBorders>
              <w:top w:val="nil"/>
              <w:left w:val="nil"/>
              <w:bottom w:val="single" w:sz="4" w:space="0" w:color="auto"/>
              <w:right w:val="single" w:sz="4" w:space="0" w:color="auto"/>
            </w:tcBorders>
            <w:shd w:val="clear" w:color="000000" w:fill="FFFFFF"/>
            <w:vAlign w:val="bottom"/>
            <w:hideMark/>
          </w:tcPr>
          <w:p w14:paraId="606B74C1"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347A3BA8" w14:textId="77777777" w:rsidTr="00E6179B">
        <w:trPr>
          <w:trHeight w:val="48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43307535" w14:textId="77777777" w:rsidR="00E6179B" w:rsidRPr="00E6179B" w:rsidRDefault="00E6179B" w:rsidP="00E6179B">
            <w:pPr>
              <w:suppressAutoHyphens w:val="0"/>
              <w:rPr>
                <w:sz w:val="18"/>
                <w:szCs w:val="18"/>
                <w:lang w:eastAsia="it-IT"/>
              </w:rPr>
            </w:pPr>
            <w:r w:rsidRPr="00E6179B">
              <w:rPr>
                <w:sz w:val="18"/>
                <w:szCs w:val="18"/>
                <w:lang w:eastAsia="it-IT"/>
              </w:rPr>
              <w:t>Comune di Todi richiesta S. Sociali</w:t>
            </w:r>
          </w:p>
        </w:tc>
        <w:tc>
          <w:tcPr>
            <w:tcW w:w="2060" w:type="dxa"/>
            <w:tcBorders>
              <w:top w:val="nil"/>
              <w:left w:val="nil"/>
              <w:bottom w:val="single" w:sz="4" w:space="0" w:color="auto"/>
              <w:right w:val="single" w:sz="4" w:space="0" w:color="auto"/>
            </w:tcBorders>
            <w:shd w:val="clear" w:color="000000" w:fill="FFFFFF"/>
            <w:vAlign w:val="bottom"/>
            <w:hideMark/>
          </w:tcPr>
          <w:p w14:paraId="350D4A25" w14:textId="77777777" w:rsidR="00E6179B" w:rsidRPr="00E6179B" w:rsidRDefault="00E6179B" w:rsidP="00E6179B">
            <w:pPr>
              <w:suppressAutoHyphens w:val="0"/>
              <w:rPr>
                <w:sz w:val="18"/>
                <w:szCs w:val="18"/>
                <w:lang w:eastAsia="it-IT"/>
              </w:rPr>
            </w:pPr>
            <w:r w:rsidRPr="00E6179B">
              <w:rPr>
                <w:sz w:val="18"/>
                <w:szCs w:val="18"/>
                <w:lang w:eastAsia="it-IT"/>
              </w:rPr>
              <w:t>compartecipazione spesa funerale</w:t>
            </w:r>
          </w:p>
        </w:tc>
        <w:tc>
          <w:tcPr>
            <w:tcW w:w="1540" w:type="dxa"/>
            <w:tcBorders>
              <w:top w:val="nil"/>
              <w:left w:val="nil"/>
              <w:bottom w:val="single" w:sz="4" w:space="0" w:color="auto"/>
              <w:right w:val="single" w:sz="4" w:space="0" w:color="auto"/>
            </w:tcBorders>
            <w:shd w:val="clear" w:color="000000" w:fill="FFFFFF"/>
            <w:noWrap/>
            <w:vAlign w:val="bottom"/>
            <w:hideMark/>
          </w:tcPr>
          <w:p w14:paraId="59E249C0"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5934428F" w14:textId="77777777" w:rsidR="00E6179B" w:rsidRPr="00E6179B" w:rsidRDefault="00E6179B" w:rsidP="00E6179B">
            <w:pPr>
              <w:suppressAutoHyphens w:val="0"/>
              <w:jc w:val="center"/>
              <w:rPr>
                <w:sz w:val="18"/>
                <w:szCs w:val="18"/>
                <w:lang w:eastAsia="it-IT"/>
              </w:rPr>
            </w:pPr>
            <w:r w:rsidRPr="00E6179B">
              <w:rPr>
                <w:sz w:val="18"/>
                <w:szCs w:val="18"/>
                <w:lang w:eastAsia="it-IT"/>
              </w:rPr>
              <w:t>651</w:t>
            </w:r>
          </w:p>
        </w:tc>
        <w:tc>
          <w:tcPr>
            <w:tcW w:w="1160" w:type="dxa"/>
            <w:tcBorders>
              <w:top w:val="nil"/>
              <w:left w:val="nil"/>
              <w:bottom w:val="single" w:sz="4" w:space="0" w:color="auto"/>
              <w:right w:val="single" w:sz="4" w:space="0" w:color="auto"/>
            </w:tcBorders>
            <w:shd w:val="clear" w:color="000000" w:fill="FFFFFF"/>
            <w:noWrap/>
            <w:vAlign w:val="bottom"/>
            <w:hideMark/>
          </w:tcPr>
          <w:p w14:paraId="44EA52CC" w14:textId="77777777" w:rsidR="00E6179B" w:rsidRPr="00E6179B" w:rsidRDefault="00E6179B" w:rsidP="00E6179B">
            <w:pPr>
              <w:suppressAutoHyphens w:val="0"/>
              <w:jc w:val="center"/>
              <w:rPr>
                <w:sz w:val="18"/>
                <w:szCs w:val="18"/>
                <w:lang w:eastAsia="it-IT"/>
              </w:rPr>
            </w:pPr>
            <w:r w:rsidRPr="00E6179B">
              <w:rPr>
                <w:sz w:val="18"/>
                <w:szCs w:val="18"/>
                <w:lang w:eastAsia="it-IT"/>
              </w:rPr>
              <w:t>€ 500,00</w:t>
            </w:r>
          </w:p>
        </w:tc>
        <w:tc>
          <w:tcPr>
            <w:tcW w:w="960" w:type="dxa"/>
            <w:tcBorders>
              <w:top w:val="nil"/>
              <w:left w:val="nil"/>
              <w:bottom w:val="single" w:sz="4" w:space="0" w:color="auto"/>
              <w:right w:val="single" w:sz="4" w:space="0" w:color="auto"/>
            </w:tcBorders>
            <w:shd w:val="clear" w:color="000000" w:fill="FFFFFF"/>
            <w:vAlign w:val="bottom"/>
            <w:hideMark/>
          </w:tcPr>
          <w:p w14:paraId="6C7736B2"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5CA4B43A" w14:textId="77777777" w:rsidTr="00E6179B">
        <w:trPr>
          <w:trHeight w:val="48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504F7293" w14:textId="77777777" w:rsidR="00E6179B" w:rsidRPr="00E6179B" w:rsidRDefault="00E6179B" w:rsidP="00E6179B">
            <w:pPr>
              <w:suppressAutoHyphens w:val="0"/>
              <w:rPr>
                <w:sz w:val="18"/>
                <w:szCs w:val="18"/>
                <w:lang w:eastAsia="it-IT"/>
              </w:rPr>
            </w:pPr>
            <w:r w:rsidRPr="00E6179B">
              <w:rPr>
                <w:sz w:val="18"/>
                <w:szCs w:val="18"/>
                <w:lang w:eastAsia="it-IT"/>
              </w:rPr>
              <w:t>Comune di Todi richiesta S. Sociali</w:t>
            </w:r>
          </w:p>
        </w:tc>
        <w:tc>
          <w:tcPr>
            <w:tcW w:w="2060" w:type="dxa"/>
            <w:tcBorders>
              <w:top w:val="nil"/>
              <w:left w:val="nil"/>
              <w:bottom w:val="single" w:sz="4" w:space="0" w:color="auto"/>
              <w:right w:val="single" w:sz="4" w:space="0" w:color="auto"/>
            </w:tcBorders>
            <w:shd w:val="clear" w:color="000000" w:fill="FFFFFF"/>
            <w:vAlign w:val="bottom"/>
            <w:hideMark/>
          </w:tcPr>
          <w:p w14:paraId="12EB4361" w14:textId="77777777" w:rsidR="00E6179B" w:rsidRPr="00E6179B" w:rsidRDefault="00E6179B" w:rsidP="00E6179B">
            <w:pPr>
              <w:suppressAutoHyphens w:val="0"/>
              <w:rPr>
                <w:sz w:val="18"/>
                <w:szCs w:val="18"/>
                <w:lang w:eastAsia="it-IT"/>
              </w:rPr>
            </w:pPr>
            <w:r w:rsidRPr="00E6179B">
              <w:rPr>
                <w:sz w:val="18"/>
                <w:szCs w:val="18"/>
                <w:lang w:eastAsia="it-IT"/>
              </w:rPr>
              <w:t>pagamento canone</w:t>
            </w:r>
          </w:p>
        </w:tc>
        <w:tc>
          <w:tcPr>
            <w:tcW w:w="1540" w:type="dxa"/>
            <w:tcBorders>
              <w:top w:val="nil"/>
              <w:left w:val="nil"/>
              <w:bottom w:val="single" w:sz="4" w:space="0" w:color="auto"/>
              <w:right w:val="single" w:sz="4" w:space="0" w:color="auto"/>
            </w:tcBorders>
            <w:shd w:val="clear" w:color="000000" w:fill="FFFFFF"/>
            <w:noWrap/>
            <w:vAlign w:val="bottom"/>
            <w:hideMark/>
          </w:tcPr>
          <w:p w14:paraId="668488C6" w14:textId="77777777" w:rsidR="00E6179B" w:rsidRPr="00E6179B" w:rsidRDefault="00E6179B" w:rsidP="00E6179B">
            <w:pPr>
              <w:suppressAutoHyphens w:val="0"/>
              <w:rPr>
                <w:sz w:val="18"/>
                <w:szCs w:val="18"/>
                <w:lang w:eastAsia="it-IT"/>
              </w:rPr>
            </w:pPr>
            <w:r w:rsidRPr="00E6179B">
              <w:rPr>
                <w:sz w:val="18"/>
                <w:szCs w:val="18"/>
                <w:lang w:eastAsia="it-IT"/>
              </w:rPr>
              <w:t> </w:t>
            </w:r>
          </w:p>
        </w:tc>
        <w:tc>
          <w:tcPr>
            <w:tcW w:w="1060" w:type="dxa"/>
            <w:tcBorders>
              <w:top w:val="nil"/>
              <w:left w:val="nil"/>
              <w:bottom w:val="single" w:sz="4" w:space="0" w:color="auto"/>
              <w:right w:val="single" w:sz="4" w:space="0" w:color="auto"/>
            </w:tcBorders>
            <w:shd w:val="clear" w:color="000000" w:fill="FFFFFF"/>
            <w:vAlign w:val="bottom"/>
            <w:hideMark/>
          </w:tcPr>
          <w:p w14:paraId="057FF80A" w14:textId="77777777" w:rsidR="00E6179B" w:rsidRPr="00E6179B" w:rsidRDefault="00E6179B" w:rsidP="00E6179B">
            <w:pPr>
              <w:suppressAutoHyphens w:val="0"/>
              <w:jc w:val="center"/>
              <w:rPr>
                <w:sz w:val="18"/>
                <w:szCs w:val="18"/>
                <w:lang w:eastAsia="it-IT"/>
              </w:rPr>
            </w:pPr>
            <w:r w:rsidRPr="00E6179B">
              <w:rPr>
                <w:sz w:val="18"/>
                <w:szCs w:val="18"/>
                <w:lang w:eastAsia="it-IT"/>
              </w:rPr>
              <w:t>406</w:t>
            </w:r>
          </w:p>
        </w:tc>
        <w:tc>
          <w:tcPr>
            <w:tcW w:w="1160" w:type="dxa"/>
            <w:tcBorders>
              <w:top w:val="nil"/>
              <w:left w:val="nil"/>
              <w:bottom w:val="single" w:sz="4" w:space="0" w:color="auto"/>
              <w:right w:val="single" w:sz="4" w:space="0" w:color="auto"/>
            </w:tcBorders>
            <w:shd w:val="clear" w:color="000000" w:fill="FFFFFF"/>
            <w:noWrap/>
            <w:vAlign w:val="bottom"/>
            <w:hideMark/>
          </w:tcPr>
          <w:p w14:paraId="195B3E86" w14:textId="77777777" w:rsidR="00E6179B" w:rsidRPr="00E6179B" w:rsidRDefault="00E6179B" w:rsidP="00E6179B">
            <w:pPr>
              <w:suppressAutoHyphens w:val="0"/>
              <w:jc w:val="center"/>
              <w:rPr>
                <w:sz w:val="18"/>
                <w:szCs w:val="18"/>
                <w:lang w:eastAsia="it-IT"/>
              </w:rPr>
            </w:pPr>
            <w:r w:rsidRPr="00E6179B">
              <w:rPr>
                <w:sz w:val="18"/>
                <w:szCs w:val="18"/>
                <w:lang w:eastAsia="it-IT"/>
              </w:rPr>
              <w:t>€ 450,00</w:t>
            </w:r>
          </w:p>
        </w:tc>
        <w:tc>
          <w:tcPr>
            <w:tcW w:w="960" w:type="dxa"/>
            <w:tcBorders>
              <w:top w:val="nil"/>
              <w:left w:val="nil"/>
              <w:bottom w:val="single" w:sz="4" w:space="0" w:color="auto"/>
              <w:right w:val="single" w:sz="4" w:space="0" w:color="auto"/>
            </w:tcBorders>
            <w:shd w:val="clear" w:color="000000" w:fill="FFFFFF"/>
            <w:vAlign w:val="bottom"/>
            <w:hideMark/>
          </w:tcPr>
          <w:p w14:paraId="5C7A5892"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0740717C" w14:textId="77777777" w:rsidTr="00E6179B">
        <w:trPr>
          <w:trHeight w:val="24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35A2F115" w14:textId="77777777" w:rsidR="00E6179B" w:rsidRPr="00E6179B" w:rsidRDefault="00E6179B" w:rsidP="00E6179B">
            <w:pPr>
              <w:suppressAutoHyphens w:val="0"/>
              <w:rPr>
                <w:sz w:val="18"/>
                <w:szCs w:val="18"/>
                <w:lang w:eastAsia="it-IT"/>
              </w:rPr>
            </w:pPr>
            <w:r w:rsidRPr="00E6179B">
              <w:rPr>
                <w:sz w:val="18"/>
                <w:szCs w:val="18"/>
                <w:lang w:eastAsia="it-IT"/>
              </w:rPr>
              <w:lastRenderedPageBreak/>
              <w:t>SOLIDEA S.R.L.</w:t>
            </w:r>
          </w:p>
        </w:tc>
        <w:tc>
          <w:tcPr>
            <w:tcW w:w="2060" w:type="dxa"/>
            <w:tcBorders>
              <w:top w:val="nil"/>
              <w:left w:val="nil"/>
              <w:bottom w:val="single" w:sz="4" w:space="0" w:color="auto"/>
              <w:right w:val="single" w:sz="4" w:space="0" w:color="auto"/>
            </w:tcBorders>
            <w:shd w:val="clear" w:color="000000" w:fill="FFFFFF"/>
            <w:vAlign w:val="bottom"/>
            <w:hideMark/>
          </w:tcPr>
          <w:p w14:paraId="47078E91" w14:textId="77777777" w:rsidR="00E6179B" w:rsidRPr="00E6179B" w:rsidRDefault="00E6179B" w:rsidP="00E6179B">
            <w:pPr>
              <w:suppressAutoHyphens w:val="0"/>
              <w:rPr>
                <w:sz w:val="18"/>
                <w:szCs w:val="18"/>
                <w:lang w:eastAsia="it-IT"/>
              </w:rPr>
            </w:pPr>
            <w:r w:rsidRPr="00E6179B">
              <w:rPr>
                <w:sz w:val="18"/>
                <w:szCs w:val="18"/>
                <w:lang w:eastAsia="it-IT"/>
              </w:rPr>
              <w:t>Acquisto biglietti concerto</w:t>
            </w:r>
          </w:p>
        </w:tc>
        <w:tc>
          <w:tcPr>
            <w:tcW w:w="1540" w:type="dxa"/>
            <w:tcBorders>
              <w:top w:val="nil"/>
              <w:left w:val="nil"/>
              <w:bottom w:val="single" w:sz="4" w:space="0" w:color="auto"/>
              <w:right w:val="single" w:sz="4" w:space="0" w:color="auto"/>
            </w:tcBorders>
            <w:shd w:val="clear" w:color="000000" w:fill="FFFFFF"/>
            <w:noWrap/>
            <w:vAlign w:val="bottom"/>
            <w:hideMark/>
          </w:tcPr>
          <w:p w14:paraId="07F525A6" w14:textId="77777777" w:rsidR="00E6179B" w:rsidRPr="00E6179B" w:rsidRDefault="00E6179B" w:rsidP="00E6179B">
            <w:pPr>
              <w:suppressAutoHyphens w:val="0"/>
              <w:rPr>
                <w:sz w:val="18"/>
                <w:szCs w:val="18"/>
                <w:lang w:eastAsia="it-IT"/>
              </w:rPr>
            </w:pPr>
            <w:r w:rsidRPr="00E6179B">
              <w:rPr>
                <w:sz w:val="18"/>
                <w:szCs w:val="18"/>
                <w:lang w:eastAsia="it-IT"/>
              </w:rPr>
              <w:t>delibera e determina</w:t>
            </w:r>
          </w:p>
        </w:tc>
        <w:tc>
          <w:tcPr>
            <w:tcW w:w="1060" w:type="dxa"/>
            <w:tcBorders>
              <w:top w:val="nil"/>
              <w:left w:val="nil"/>
              <w:bottom w:val="single" w:sz="4" w:space="0" w:color="auto"/>
              <w:right w:val="single" w:sz="4" w:space="0" w:color="auto"/>
            </w:tcBorders>
            <w:shd w:val="clear" w:color="000000" w:fill="FFFFFF"/>
            <w:vAlign w:val="bottom"/>
            <w:hideMark/>
          </w:tcPr>
          <w:p w14:paraId="62B20408" w14:textId="77777777" w:rsidR="00E6179B" w:rsidRPr="00E6179B" w:rsidRDefault="00E6179B" w:rsidP="00E6179B">
            <w:pPr>
              <w:suppressAutoHyphens w:val="0"/>
              <w:jc w:val="center"/>
              <w:rPr>
                <w:sz w:val="18"/>
                <w:szCs w:val="18"/>
                <w:lang w:eastAsia="it-IT"/>
              </w:rPr>
            </w:pPr>
            <w:r w:rsidRPr="00E6179B">
              <w:rPr>
                <w:sz w:val="18"/>
                <w:szCs w:val="18"/>
                <w:lang w:eastAsia="it-IT"/>
              </w:rPr>
              <w:t>231-154</w:t>
            </w:r>
          </w:p>
        </w:tc>
        <w:tc>
          <w:tcPr>
            <w:tcW w:w="1160" w:type="dxa"/>
            <w:tcBorders>
              <w:top w:val="nil"/>
              <w:left w:val="nil"/>
              <w:bottom w:val="single" w:sz="4" w:space="0" w:color="auto"/>
              <w:right w:val="single" w:sz="4" w:space="0" w:color="auto"/>
            </w:tcBorders>
            <w:shd w:val="clear" w:color="000000" w:fill="FFFFFF"/>
            <w:noWrap/>
            <w:vAlign w:val="bottom"/>
            <w:hideMark/>
          </w:tcPr>
          <w:p w14:paraId="62517F9F" w14:textId="77777777" w:rsidR="00E6179B" w:rsidRPr="00E6179B" w:rsidRDefault="00E6179B" w:rsidP="00E6179B">
            <w:pPr>
              <w:suppressAutoHyphens w:val="0"/>
              <w:jc w:val="center"/>
              <w:rPr>
                <w:sz w:val="18"/>
                <w:szCs w:val="18"/>
                <w:lang w:eastAsia="it-IT"/>
              </w:rPr>
            </w:pPr>
            <w:r w:rsidRPr="00E6179B">
              <w:rPr>
                <w:sz w:val="18"/>
                <w:szCs w:val="18"/>
                <w:lang w:eastAsia="it-IT"/>
              </w:rPr>
              <w:t>€ 240,00</w:t>
            </w:r>
          </w:p>
        </w:tc>
        <w:tc>
          <w:tcPr>
            <w:tcW w:w="960" w:type="dxa"/>
            <w:tcBorders>
              <w:top w:val="nil"/>
              <w:left w:val="nil"/>
              <w:bottom w:val="single" w:sz="4" w:space="0" w:color="auto"/>
              <w:right w:val="single" w:sz="4" w:space="0" w:color="auto"/>
            </w:tcBorders>
            <w:shd w:val="clear" w:color="000000" w:fill="FFFFFF"/>
            <w:vAlign w:val="bottom"/>
            <w:hideMark/>
          </w:tcPr>
          <w:p w14:paraId="6B99D2FF"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0F191F1E" w14:textId="77777777" w:rsidTr="00E6179B">
        <w:trPr>
          <w:trHeight w:val="720"/>
        </w:trPr>
        <w:tc>
          <w:tcPr>
            <w:tcW w:w="1800" w:type="dxa"/>
            <w:tcBorders>
              <w:top w:val="nil"/>
              <w:left w:val="single" w:sz="4" w:space="0" w:color="auto"/>
              <w:bottom w:val="single" w:sz="4" w:space="0" w:color="auto"/>
              <w:right w:val="single" w:sz="4" w:space="0" w:color="auto"/>
            </w:tcBorders>
            <w:shd w:val="clear" w:color="000000" w:fill="FFFFFF"/>
            <w:vAlign w:val="bottom"/>
            <w:hideMark/>
          </w:tcPr>
          <w:p w14:paraId="4E4E4470" w14:textId="77777777" w:rsidR="00E6179B" w:rsidRPr="00E6179B" w:rsidRDefault="00E6179B" w:rsidP="00E6179B">
            <w:pPr>
              <w:suppressAutoHyphens w:val="0"/>
              <w:rPr>
                <w:sz w:val="18"/>
                <w:szCs w:val="18"/>
                <w:lang w:eastAsia="it-IT"/>
              </w:rPr>
            </w:pPr>
            <w:r w:rsidRPr="00E6179B">
              <w:rPr>
                <w:sz w:val="18"/>
                <w:szCs w:val="18"/>
                <w:lang w:eastAsia="it-IT"/>
              </w:rPr>
              <w:t>ASSOCIAZIONE SECONDA STELLA A DESTRA ONLUS</w:t>
            </w:r>
          </w:p>
        </w:tc>
        <w:tc>
          <w:tcPr>
            <w:tcW w:w="2060" w:type="dxa"/>
            <w:tcBorders>
              <w:top w:val="nil"/>
              <w:left w:val="nil"/>
              <w:bottom w:val="single" w:sz="4" w:space="0" w:color="auto"/>
              <w:right w:val="single" w:sz="4" w:space="0" w:color="auto"/>
            </w:tcBorders>
            <w:shd w:val="clear" w:color="000000" w:fill="FFFFFF"/>
            <w:vAlign w:val="bottom"/>
            <w:hideMark/>
          </w:tcPr>
          <w:p w14:paraId="2BA464D7" w14:textId="77777777" w:rsidR="00E6179B" w:rsidRPr="00E6179B" w:rsidRDefault="00E6179B" w:rsidP="00E6179B">
            <w:pPr>
              <w:suppressAutoHyphens w:val="0"/>
              <w:rPr>
                <w:sz w:val="18"/>
                <w:szCs w:val="18"/>
                <w:lang w:eastAsia="it-IT"/>
              </w:rPr>
            </w:pPr>
            <w:r w:rsidRPr="00E6179B">
              <w:rPr>
                <w:sz w:val="18"/>
                <w:szCs w:val="18"/>
                <w:lang w:eastAsia="it-IT"/>
              </w:rPr>
              <w:t>Devoluzione compenso esibizione 7.9.24 Maestro Luca Venturi</w:t>
            </w:r>
          </w:p>
        </w:tc>
        <w:tc>
          <w:tcPr>
            <w:tcW w:w="1540" w:type="dxa"/>
            <w:tcBorders>
              <w:top w:val="nil"/>
              <w:left w:val="nil"/>
              <w:bottom w:val="single" w:sz="4" w:space="0" w:color="auto"/>
              <w:right w:val="single" w:sz="4" w:space="0" w:color="auto"/>
            </w:tcBorders>
            <w:shd w:val="clear" w:color="000000" w:fill="FFFFFF"/>
            <w:noWrap/>
            <w:vAlign w:val="bottom"/>
            <w:hideMark/>
          </w:tcPr>
          <w:p w14:paraId="5CBD5203" w14:textId="77777777" w:rsidR="00E6179B" w:rsidRPr="00E6179B" w:rsidRDefault="00E6179B" w:rsidP="00E6179B">
            <w:pPr>
              <w:suppressAutoHyphens w:val="0"/>
              <w:rPr>
                <w:sz w:val="18"/>
                <w:szCs w:val="18"/>
                <w:lang w:eastAsia="it-IT"/>
              </w:rPr>
            </w:pPr>
            <w:r w:rsidRPr="00E6179B">
              <w:rPr>
                <w:sz w:val="18"/>
                <w:szCs w:val="18"/>
                <w:lang w:eastAsia="it-IT"/>
              </w:rPr>
              <w:t>Delibera</w:t>
            </w:r>
          </w:p>
        </w:tc>
        <w:tc>
          <w:tcPr>
            <w:tcW w:w="1060" w:type="dxa"/>
            <w:tcBorders>
              <w:top w:val="nil"/>
              <w:left w:val="nil"/>
              <w:bottom w:val="single" w:sz="4" w:space="0" w:color="auto"/>
              <w:right w:val="single" w:sz="4" w:space="0" w:color="auto"/>
            </w:tcBorders>
            <w:shd w:val="clear" w:color="000000" w:fill="FFFFFF"/>
            <w:vAlign w:val="bottom"/>
            <w:hideMark/>
          </w:tcPr>
          <w:p w14:paraId="660028FC" w14:textId="77777777" w:rsidR="00E6179B" w:rsidRPr="00E6179B" w:rsidRDefault="00E6179B" w:rsidP="00E6179B">
            <w:pPr>
              <w:suppressAutoHyphens w:val="0"/>
              <w:jc w:val="center"/>
              <w:rPr>
                <w:sz w:val="18"/>
                <w:szCs w:val="18"/>
                <w:lang w:eastAsia="it-IT"/>
              </w:rPr>
            </w:pPr>
            <w:r w:rsidRPr="00E6179B">
              <w:rPr>
                <w:sz w:val="18"/>
                <w:szCs w:val="18"/>
                <w:lang w:eastAsia="it-IT"/>
              </w:rPr>
              <w:t>427</w:t>
            </w:r>
          </w:p>
        </w:tc>
        <w:tc>
          <w:tcPr>
            <w:tcW w:w="1160" w:type="dxa"/>
            <w:tcBorders>
              <w:top w:val="nil"/>
              <w:left w:val="nil"/>
              <w:bottom w:val="single" w:sz="4" w:space="0" w:color="auto"/>
              <w:right w:val="single" w:sz="4" w:space="0" w:color="auto"/>
            </w:tcBorders>
            <w:shd w:val="clear" w:color="000000" w:fill="FFFFFF"/>
            <w:noWrap/>
            <w:vAlign w:val="bottom"/>
            <w:hideMark/>
          </w:tcPr>
          <w:p w14:paraId="2F313AF7" w14:textId="77777777" w:rsidR="00E6179B" w:rsidRPr="00E6179B" w:rsidRDefault="00E6179B" w:rsidP="00E6179B">
            <w:pPr>
              <w:suppressAutoHyphens w:val="0"/>
              <w:jc w:val="center"/>
              <w:rPr>
                <w:sz w:val="18"/>
                <w:szCs w:val="18"/>
                <w:lang w:eastAsia="it-IT"/>
              </w:rPr>
            </w:pPr>
            <w:r w:rsidRPr="00E6179B">
              <w:rPr>
                <w:sz w:val="18"/>
                <w:szCs w:val="18"/>
                <w:lang w:eastAsia="it-IT"/>
              </w:rPr>
              <w:t>€ 125,00</w:t>
            </w:r>
          </w:p>
        </w:tc>
        <w:tc>
          <w:tcPr>
            <w:tcW w:w="960" w:type="dxa"/>
            <w:tcBorders>
              <w:top w:val="nil"/>
              <w:left w:val="nil"/>
              <w:bottom w:val="single" w:sz="4" w:space="0" w:color="auto"/>
              <w:right w:val="single" w:sz="4" w:space="0" w:color="auto"/>
            </w:tcBorders>
            <w:shd w:val="clear" w:color="000000" w:fill="FFFFFF"/>
            <w:vAlign w:val="bottom"/>
            <w:hideMark/>
          </w:tcPr>
          <w:p w14:paraId="0EAFF365" w14:textId="77777777" w:rsidR="00E6179B" w:rsidRPr="00E6179B" w:rsidRDefault="00E6179B" w:rsidP="00E6179B">
            <w:pPr>
              <w:suppressAutoHyphens w:val="0"/>
              <w:jc w:val="center"/>
              <w:rPr>
                <w:sz w:val="18"/>
                <w:szCs w:val="18"/>
                <w:lang w:eastAsia="it-IT"/>
              </w:rPr>
            </w:pPr>
            <w:r w:rsidRPr="00E6179B">
              <w:rPr>
                <w:sz w:val="18"/>
                <w:szCs w:val="18"/>
                <w:lang w:eastAsia="it-IT"/>
              </w:rPr>
              <w:t>(**)</w:t>
            </w:r>
          </w:p>
        </w:tc>
      </w:tr>
      <w:tr w:rsidR="00E6179B" w:rsidRPr="00E6179B" w14:paraId="6F1766EE" w14:textId="77777777" w:rsidTr="00E6179B">
        <w:trPr>
          <w:trHeight w:val="240"/>
        </w:trPr>
        <w:tc>
          <w:tcPr>
            <w:tcW w:w="1800" w:type="dxa"/>
            <w:tcBorders>
              <w:top w:val="nil"/>
              <w:left w:val="nil"/>
              <w:bottom w:val="nil"/>
              <w:right w:val="nil"/>
            </w:tcBorders>
            <w:noWrap/>
            <w:vAlign w:val="bottom"/>
            <w:hideMark/>
          </w:tcPr>
          <w:p w14:paraId="51CB88EE" w14:textId="77777777" w:rsidR="00E6179B" w:rsidRPr="00E6179B" w:rsidRDefault="00E6179B" w:rsidP="00E6179B">
            <w:pPr>
              <w:suppressAutoHyphens w:val="0"/>
              <w:jc w:val="center"/>
              <w:rPr>
                <w:sz w:val="18"/>
                <w:szCs w:val="18"/>
                <w:lang w:eastAsia="it-IT"/>
              </w:rPr>
            </w:pPr>
          </w:p>
        </w:tc>
        <w:tc>
          <w:tcPr>
            <w:tcW w:w="2060" w:type="dxa"/>
            <w:tcBorders>
              <w:top w:val="nil"/>
              <w:left w:val="nil"/>
              <w:bottom w:val="nil"/>
              <w:right w:val="nil"/>
            </w:tcBorders>
            <w:noWrap/>
            <w:vAlign w:val="bottom"/>
            <w:hideMark/>
          </w:tcPr>
          <w:p w14:paraId="0850F3CC" w14:textId="77777777" w:rsidR="00E6179B" w:rsidRPr="00E6179B" w:rsidRDefault="00E6179B" w:rsidP="00E6179B">
            <w:pPr>
              <w:suppressAutoHyphens w:val="0"/>
              <w:rPr>
                <w:sz w:val="20"/>
                <w:szCs w:val="20"/>
                <w:lang w:eastAsia="it-IT"/>
              </w:rPr>
            </w:pPr>
          </w:p>
        </w:tc>
        <w:tc>
          <w:tcPr>
            <w:tcW w:w="1540" w:type="dxa"/>
            <w:tcBorders>
              <w:top w:val="nil"/>
              <w:left w:val="nil"/>
              <w:bottom w:val="nil"/>
              <w:right w:val="nil"/>
            </w:tcBorders>
            <w:noWrap/>
            <w:vAlign w:val="bottom"/>
            <w:hideMark/>
          </w:tcPr>
          <w:p w14:paraId="24A58AB7" w14:textId="77777777" w:rsidR="00E6179B" w:rsidRPr="00E6179B" w:rsidRDefault="00E6179B" w:rsidP="00E6179B">
            <w:pPr>
              <w:suppressAutoHyphens w:val="0"/>
              <w:jc w:val="center"/>
              <w:rPr>
                <w:sz w:val="20"/>
                <w:szCs w:val="20"/>
                <w:lang w:eastAsia="it-IT"/>
              </w:rPr>
            </w:pPr>
          </w:p>
        </w:tc>
        <w:tc>
          <w:tcPr>
            <w:tcW w:w="1060" w:type="dxa"/>
            <w:tcBorders>
              <w:top w:val="nil"/>
              <w:left w:val="nil"/>
              <w:bottom w:val="nil"/>
              <w:right w:val="nil"/>
            </w:tcBorders>
            <w:vAlign w:val="bottom"/>
            <w:hideMark/>
          </w:tcPr>
          <w:p w14:paraId="7DC74B65"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61A45561"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786C5575" w14:textId="77777777" w:rsidR="00E6179B" w:rsidRPr="00E6179B" w:rsidRDefault="00E6179B" w:rsidP="00E6179B">
            <w:pPr>
              <w:suppressAutoHyphens w:val="0"/>
              <w:rPr>
                <w:sz w:val="20"/>
                <w:szCs w:val="20"/>
                <w:lang w:eastAsia="it-IT"/>
              </w:rPr>
            </w:pPr>
          </w:p>
        </w:tc>
      </w:tr>
      <w:tr w:rsidR="00E6179B" w:rsidRPr="00E6179B" w14:paraId="73E750AE" w14:textId="77777777" w:rsidTr="00E6179B">
        <w:trPr>
          <w:trHeight w:val="240"/>
        </w:trPr>
        <w:tc>
          <w:tcPr>
            <w:tcW w:w="1800" w:type="dxa"/>
            <w:tcBorders>
              <w:top w:val="nil"/>
              <w:left w:val="nil"/>
              <w:bottom w:val="nil"/>
              <w:right w:val="nil"/>
            </w:tcBorders>
            <w:noWrap/>
            <w:vAlign w:val="bottom"/>
            <w:hideMark/>
          </w:tcPr>
          <w:p w14:paraId="6FD4BB5C" w14:textId="77777777" w:rsidR="00E6179B" w:rsidRPr="00E6179B" w:rsidRDefault="00E6179B" w:rsidP="00E6179B">
            <w:pPr>
              <w:suppressAutoHyphens w:val="0"/>
              <w:rPr>
                <w:sz w:val="20"/>
                <w:szCs w:val="20"/>
                <w:lang w:eastAsia="it-IT"/>
              </w:rPr>
            </w:pPr>
          </w:p>
        </w:tc>
        <w:tc>
          <w:tcPr>
            <w:tcW w:w="2060" w:type="dxa"/>
            <w:tcBorders>
              <w:top w:val="nil"/>
              <w:left w:val="nil"/>
              <w:bottom w:val="nil"/>
              <w:right w:val="nil"/>
            </w:tcBorders>
            <w:noWrap/>
            <w:vAlign w:val="bottom"/>
            <w:hideMark/>
          </w:tcPr>
          <w:p w14:paraId="4F249ED9" w14:textId="77777777" w:rsidR="00E6179B" w:rsidRPr="00E6179B" w:rsidRDefault="00E6179B" w:rsidP="00E6179B">
            <w:pPr>
              <w:suppressAutoHyphens w:val="0"/>
              <w:rPr>
                <w:sz w:val="20"/>
                <w:szCs w:val="20"/>
                <w:lang w:eastAsia="it-IT"/>
              </w:rPr>
            </w:pPr>
          </w:p>
        </w:tc>
        <w:tc>
          <w:tcPr>
            <w:tcW w:w="1540" w:type="dxa"/>
            <w:tcBorders>
              <w:top w:val="single" w:sz="4" w:space="0" w:color="auto"/>
              <w:left w:val="single" w:sz="4" w:space="0" w:color="auto"/>
              <w:bottom w:val="single" w:sz="4" w:space="0" w:color="auto"/>
              <w:right w:val="single" w:sz="4" w:space="0" w:color="auto"/>
            </w:tcBorders>
            <w:noWrap/>
            <w:vAlign w:val="bottom"/>
            <w:hideMark/>
          </w:tcPr>
          <w:p w14:paraId="4AEED05C" w14:textId="77777777" w:rsidR="00E6179B" w:rsidRPr="00E6179B" w:rsidRDefault="00E6179B" w:rsidP="00E6179B">
            <w:pPr>
              <w:suppressAutoHyphens w:val="0"/>
              <w:rPr>
                <w:sz w:val="18"/>
                <w:szCs w:val="18"/>
                <w:lang w:eastAsia="it-IT"/>
              </w:rPr>
            </w:pPr>
            <w:r w:rsidRPr="00E6179B">
              <w:rPr>
                <w:sz w:val="18"/>
                <w:szCs w:val="18"/>
                <w:lang w:eastAsia="it-IT"/>
              </w:rPr>
              <w:t>Totale</w:t>
            </w:r>
          </w:p>
        </w:tc>
        <w:tc>
          <w:tcPr>
            <w:tcW w:w="1060" w:type="dxa"/>
            <w:tcBorders>
              <w:top w:val="nil"/>
              <w:left w:val="nil"/>
              <w:bottom w:val="nil"/>
              <w:right w:val="nil"/>
            </w:tcBorders>
            <w:vAlign w:val="bottom"/>
            <w:hideMark/>
          </w:tcPr>
          <w:p w14:paraId="46BC37FB" w14:textId="77777777" w:rsidR="00E6179B" w:rsidRPr="00E6179B" w:rsidRDefault="00E6179B" w:rsidP="00E6179B">
            <w:pPr>
              <w:suppressAutoHyphens w:val="0"/>
              <w:rPr>
                <w:sz w:val="18"/>
                <w:szCs w:val="18"/>
                <w:lang w:eastAsia="it-IT"/>
              </w:rPr>
            </w:pPr>
          </w:p>
        </w:tc>
        <w:tc>
          <w:tcPr>
            <w:tcW w:w="1160" w:type="dxa"/>
            <w:tcBorders>
              <w:top w:val="nil"/>
              <w:left w:val="nil"/>
              <w:bottom w:val="nil"/>
              <w:right w:val="nil"/>
            </w:tcBorders>
            <w:shd w:val="clear" w:color="000000" w:fill="FFFF00"/>
            <w:noWrap/>
            <w:vAlign w:val="bottom"/>
            <w:hideMark/>
          </w:tcPr>
          <w:p w14:paraId="3DBC7ADD" w14:textId="77777777" w:rsidR="00E6179B" w:rsidRPr="00E6179B" w:rsidRDefault="00E6179B" w:rsidP="00E6179B">
            <w:pPr>
              <w:suppressAutoHyphens w:val="0"/>
              <w:jc w:val="right"/>
              <w:rPr>
                <w:b/>
                <w:bCs/>
                <w:sz w:val="18"/>
                <w:szCs w:val="18"/>
                <w:lang w:eastAsia="it-IT"/>
              </w:rPr>
            </w:pPr>
            <w:r w:rsidRPr="00E6179B">
              <w:rPr>
                <w:b/>
                <w:bCs/>
                <w:sz w:val="18"/>
                <w:szCs w:val="18"/>
                <w:lang w:eastAsia="it-IT"/>
              </w:rPr>
              <w:t>€ 152.980,00</w:t>
            </w:r>
          </w:p>
        </w:tc>
        <w:tc>
          <w:tcPr>
            <w:tcW w:w="960" w:type="dxa"/>
            <w:tcBorders>
              <w:top w:val="nil"/>
              <w:left w:val="nil"/>
              <w:bottom w:val="nil"/>
              <w:right w:val="nil"/>
            </w:tcBorders>
            <w:noWrap/>
            <w:vAlign w:val="bottom"/>
            <w:hideMark/>
          </w:tcPr>
          <w:p w14:paraId="02C25298" w14:textId="77777777" w:rsidR="00E6179B" w:rsidRPr="00E6179B" w:rsidRDefault="00E6179B" w:rsidP="00E6179B">
            <w:pPr>
              <w:suppressAutoHyphens w:val="0"/>
              <w:jc w:val="right"/>
              <w:rPr>
                <w:b/>
                <w:bCs/>
                <w:sz w:val="18"/>
                <w:szCs w:val="18"/>
                <w:lang w:eastAsia="it-IT"/>
              </w:rPr>
            </w:pPr>
          </w:p>
        </w:tc>
      </w:tr>
      <w:tr w:rsidR="00E6179B" w:rsidRPr="00E6179B" w14:paraId="19F050E4" w14:textId="77777777" w:rsidTr="00E6179B">
        <w:trPr>
          <w:trHeight w:val="240"/>
        </w:trPr>
        <w:tc>
          <w:tcPr>
            <w:tcW w:w="1800" w:type="dxa"/>
            <w:tcBorders>
              <w:top w:val="nil"/>
              <w:left w:val="nil"/>
              <w:bottom w:val="nil"/>
              <w:right w:val="nil"/>
            </w:tcBorders>
            <w:noWrap/>
            <w:vAlign w:val="bottom"/>
            <w:hideMark/>
          </w:tcPr>
          <w:p w14:paraId="0C0F1DA6" w14:textId="77777777" w:rsidR="00E6179B" w:rsidRPr="00E6179B" w:rsidRDefault="00E6179B" w:rsidP="00E6179B">
            <w:pPr>
              <w:suppressAutoHyphens w:val="0"/>
              <w:rPr>
                <w:sz w:val="20"/>
                <w:szCs w:val="20"/>
                <w:lang w:eastAsia="it-IT"/>
              </w:rPr>
            </w:pPr>
          </w:p>
        </w:tc>
        <w:tc>
          <w:tcPr>
            <w:tcW w:w="2060" w:type="dxa"/>
            <w:tcBorders>
              <w:top w:val="nil"/>
              <w:left w:val="nil"/>
              <w:bottom w:val="nil"/>
              <w:right w:val="nil"/>
            </w:tcBorders>
            <w:noWrap/>
            <w:vAlign w:val="bottom"/>
            <w:hideMark/>
          </w:tcPr>
          <w:p w14:paraId="3AF12C37" w14:textId="77777777" w:rsidR="00E6179B" w:rsidRPr="00E6179B" w:rsidRDefault="00E6179B" w:rsidP="00E6179B">
            <w:pPr>
              <w:suppressAutoHyphens w:val="0"/>
              <w:rPr>
                <w:sz w:val="20"/>
                <w:szCs w:val="20"/>
                <w:lang w:eastAsia="it-IT"/>
              </w:rPr>
            </w:pPr>
          </w:p>
        </w:tc>
        <w:tc>
          <w:tcPr>
            <w:tcW w:w="1540" w:type="dxa"/>
            <w:tcBorders>
              <w:top w:val="nil"/>
              <w:left w:val="nil"/>
              <w:bottom w:val="nil"/>
              <w:right w:val="nil"/>
            </w:tcBorders>
            <w:noWrap/>
            <w:vAlign w:val="bottom"/>
            <w:hideMark/>
          </w:tcPr>
          <w:p w14:paraId="513A1BB0" w14:textId="77777777" w:rsidR="00E6179B" w:rsidRPr="00E6179B" w:rsidRDefault="00E6179B" w:rsidP="00E6179B">
            <w:pPr>
              <w:suppressAutoHyphens w:val="0"/>
              <w:rPr>
                <w:sz w:val="20"/>
                <w:szCs w:val="20"/>
                <w:lang w:eastAsia="it-IT"/>
              </w:rPr>
            </w:pPr>
          </w:p>
        </w:tc>
        <w:tc>
          <w:tcPr>
            <w:tcW w:w="1060" w:type="dxa"/>
            <w:tcBorders>
              <w:top w:val="nil"/>
              <w:left w:val="nil"/>
              <w:bottom w:val="nil"/>
              <w:right w:val="nil"/>
            </w:tcBorders>
            <w:vAlign w:val="bottom"/>
            <w:hideMark/>
          </w:tcPr>
          <w:p w14:paraId="3D450362"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1B9F9547"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542E93FE" w14:textId="77777777" w:rsidR="00E6179B" w:rsidRPr="00E6179B" w:rsidRDefault="00E6179B" w:rsidP="00E6179B">
            <w:pPr>
              <w:suppressAutoHyphens w:val="0"/>
              <w:rPr>
                <w:sz w:val="20"/>
                <w:szCs w:val="20"/>
                <w:lang w:eastAsia="it-IT"/>
              </w:rPr>
            </w:pPr>
          </w:p>
        </w:tc>
      </w:tr>
      <w:tr w:rsidR="00E6179B" w:rsidRPr="00E6179B" w14:paraId="75FFC104" w14:textId="77777777" w:rsidTr="00E6179B">
        <w:trPr>
          <w:trHeight w:val="240"/>
        </w:trPr>
        <w:tc>
          <w:tcPr>
            <w:tcW w:w="1800" w:type="dxa"/>
            <w:tcBorders>
              <w:top w:val="nil"/>
              <w:left w:val="nil"/>
              <w:bottom w:val="nil"/>
              <w:right w:val="nil"/>
            </w:tcBorders>
            <w:noWrap/>
            <w:vAlign w:val="bottom"/>
            <w:hideMark/>
          </w:tcPr>
          <w:p w14:paraId="335BF799" w14:textId="77777777" w:rsidR="00E6179B" w:rsidRPr="00E6179B" w:rsidRDefault="00E6179B" w:rsidP="00E6179B">
            <w:pPr>
              <w:suppressAutoHyphens w:val="0"/>
              <w:rPr>
                <w:sz w:val="18"/>
                <w:szCs w:val="18"/>
                <w:lang w:eastAsia="it-IT"/>
              </w:rPr>
            </w:pPr>
            <w:r w:rsidRPr="00E6179B">
              <w:rPr>
                <w:sz w:val="18"/>
                <w:szCs w:val="18"/>
                <w:lang w:eastAsia="it-IT"/>
              </w:rPr>
              <w:t>Note</w:t>
            </w:r>
          </w:p>
        </w:tc>
        <w:tc>
          <w:tcPr>
            <w:tcW w:w="2060" w:type="dxa"/>
            <w:tcBorders>
              <w:top w:val="nil"/>
              <w:left w:val="nil"/>
              <w:bottom w:val="nil"/>
              <w:right w:val="nil"/>
            </w:tcBorders>
            <w:noWrap/>
            <w:vAlign w:val="bottom"/>
            <w:hideMark/>
          </w:tcPr>
          <w:p w14:paraId="6A3667F8" w14:textId="77777777" w:rsidR="00E6179B" w:rsidRPr="00E6179B" w:rsidRDefault="00E6179B" w:rsidP="00E6179B">
            <w:pPr>
              <w:suppressAutoHyphens w:val="0"/>
              <w:rPr>
                <w:sz w:val="18"/>
                <w:szCs w:val="18"/>
                <w:lang w:eastAsia="it-IT"/>
              </w:rPr>
            </w:pPr>
          </w:p>
        </w:tc>
        <w:tc>
          <w:tcPr>
            <w:tcW w:w="1540" w:type="dxa"/>
            <w:tcBorders>
              <w:top w:val="nil"/>
              <w:left w:val="nil"/>
              <w:bottom w:val="nil"/>
              <w:right w:val="nil"/>
            </w:tcBorders>
            <w:noWrap/>
            <w:vAlign w:val="bottom"/>
            <w:hideMark/>
          </w:tcPr>
          <w:p w14:paraId="443F888F" w14:textId="77777777" w:rsidR="00E6179B" w:rsidRPr="00E6179B" w:rsidRDefault="00E6179B" w:rsidP="00E6179B">
            <w:pPr>
              <w:suppressAutoHyphens w:val="0"/>
              <w:rPr>
                <w:sz w:val="20"/>
                <w:szCs w:val="20"/>
                <w:lang w:eastAsia="it-IT"/>
              </w:rPr>
            </w:pPr>
          </w:p>
        </w:tc>
        <w:tc>
          <w:tcPr>
            <w:tcW w:w="1060" w:type="dxa"/>
            <w:tcBorders>
              <w:top w:val="nil"/>
              <w:left w:val="nil"/>
              <w:bottom w:val="nil"/>
              <w:right w:val="nil"/>
            </w:tcBorders>
            <w:vAlign w:val="bottom"/>
            <w:hideMark/>
          </w:tcPr>
          <w:p w14:paraId="5466AC44"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01EB9023"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4505439D" w14:textId="77777777" w:rsidR="00E6179B" w:rsidRPr="00E6179B" w:rsidRDefault="00E6179B" w:rsidP="00E6179B">
            <w:pPr>
              <w:suppressAutoHyphens w:val="0"/>
              <w:rPr>
                <w:sz w:val="20"/>
                <w:szCs w:val="20"/>
                <w:lang w:eastAsia="it-IT"/>
              </w:rPr>
            </w:pPr>
          </w:p>
        </w:tc>
      </w:tr>
      <w:tr w:rsidR="00E6179B" w:rsidRPr="00E6179B" w14:paraId="0304F3D1" w14:textId="77777777" w:rsidTr="00E6179B">
        <w:trPr>
          <w:trHeight w:val="240"/>
        </w:trPr>
        <w:tc>
          <w:tcPr>
            <w:tcW w:w="3860" w:type="dxa"/>
            <w:gridSpan w:val="2"/>
            <w:tcBorders>
              <w:top w:val="nil"/>
              <w:left w:val="nil"/>
              <w:bottom w:val="nil"/>
              <w:right w:val="nil"/>
            </w:tcBorders>
            <w:noWrap/>
            <w:vAlign w:val="bottom"/>
            <w:hideMark/>
          </w:tcPr>
          <w:p w14:paraId="6F9CA545" w14:textId="77777777" w:rsidR="00E6179B" w:rsidRPr="00E6179B" w:rsidRDefault="00E6179B" w:rsidP="00E6179B">
            <w:pPr>
              <w:suppressAutoHyphens w:val="0"/>
              <w:rPr>
                <w:sz w:val="18"/>
                <w:szCs w:val="18"/>
                <w:lang w:eastAsia="it-IT"/>
              </w:rPr>
            </w:pPr>
            <w:r w:rsidRPr="00E6179B">
              <w:rPr>
                <w:sz w:val="18"/>
                <w:szCs w:val="18"/>
                <w:lang w:eastAsia="it-IT"/>
              </w:rPr>
              <w:t>(*) = importo da convenzione annuale</w:t>
            </w:r>
          </w:p>
        </w:tc>
        <w:tc>
          <w:tcPr>
            <w:tcW w:w="1540" w:type="dxa"/>
            <w:tcBorders>
              <w:top w:val="nil"/>
              <w:left w:val="nil"/>
              <w:bottom w:val="nil"/>
              <w:right w:val="nil"/>
            </w:tcBorders>
            <w:noWrap/>
            <w:vAlign w:val="bottom"/>
            <w:hideMark/>
          </w:tcPr>
          <w:p w14:paraId="677D3AC8" w14:textId="77777777" w:rsidR="00E6179B" w:rsidRPr="00E6179B" w:rsidRDefault="00E6179B" w:rsidP="00E6179B">
            <w:pPr>
              <w:suppressAutoHyphens w:val="0"/>
              <w:rPr>
                <w:sz w:val="18"/>
                <w:szCs w:val="18"/>
                <w:lang w:eastAsia="it-IT"/>
              </w:rPr>
            </w:pPr>
          </w:p>
        </w:tc>
        <w:tc>
          <w:tcPr>
            <w:tcW w:w="1060" w:type="dxa"/>
            <w:tcBorders>
              <w:top w:val="nil"/>
              <w:left w:val="nil"/>
              <w:bottom w:val="nil"/>
              <w:right w:val="nil"/>
            </w:tcBorders>
            <w:vAlign w:val="bottom"/>
            <w:hideMark/>
          </w:tcPr>
          <w:p w14:paraId="4A44E817" w14:textId="77777777" w:rsidR="00E6179B" w:rsidRPr="00E6179B" w:rsidRDefault="00E6179B" w:rsidP="00E6179B">
            <w:pPr>
              <w:suppressAutoHyphens w:val="0"/>
              <w:rPr>
                <w:sz w:val="20"/>
                <w:szCs w:val="20"/>
                <w:lang w:eastAsia="it-IT"/>
              </w:rPr>
            </w:pPr>
          </w:p>
        </w:tc>
        <w:tc>
          <w:tcPr>
            <w:tcW w:w="1160" w:type="dxa"/>
            <w:tcBorders>
              <w:top w:val="nil"/>
              <w:left w:val="nil"/>
              <w:bottom w:val="nil"/>
              <w:right w:val="nil"/>
            </w:tcBorders>
            <w:noWrap/>
            <w:vAlign w:val="bottom"/>
            <w:hideMark/>
          </w:tcPr>
          <w:p w14:paraId="5088A79A"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25929258" w14:textId="77777777" w:rsidR="00E6179B" w:rsidRPr="00E6179B" w:rsidRDefault="00E6179B" w:rsidP="00E6179B">
            <w:pPr>
              <w:suppressAutoHyphens w:val="0"/>
              <w:rPr>
                <w:sz w:val="20"/>
                <w:szCs w:val="20"/>
                <w:lang w:eastAsia="it-IT"/>
              </w:rPr>
            </w:pPr>
          </w:p>
        </w:tc>
      </w:tr>
      <w:tr w:rsidR="00E6179B" w:rsidRPr="00E6179B" w14:paraId="576F4E17" w14:textId="77777777" w:rsidTr="00E6179B">
        <w:trPr>
          <w:trHeight w:val="240"/>
        </w:trPr>
        <w:tc>
          <w:tcPr>
            <w:tcW w:w="8580" w:type="dxa"/>
            <w:gridSpan w:val="6"/>
            <w:tcBorders>
              <w:top w:val="nil"/>
              <w:left w:val="nil"/>
              <w:bottom w:val="nil"/>
              <w:right w:val="nil"/>
            </w:tcBorders>
            <w:noWrap/>
            <w:vAlign w:val="bottom"/>
            <w:hideMark/>
          </w:tcPr>
          <w:p w14:paraId="700A5517" w14:textId="77777777" w:rsidR="00E6179B" w:rsidRPr="00E6179B" w:rsidRDefault="00E6179B" w:rsidP="00E6179B">
            <w:pPr>
              <w:suppressAutoHyphens w:val="0"/>
              <w:rPr>
                <w:sz w:val="18"/>
                <w:szCs w:val="18"/>
                <w:lang w:eastAsia="it-IT"/>
              </w:rPr>
            </w:pPr>
            <w:r w:rsidRPr="00E6179B">
              <w:rPr>
                <w:sz w:val="18"/>
                <w:szCs w:val="18"/>
                <w:lang w:eastAsia="it-IT"/>
              </w:rPr>
              <w:t>(**) =  il valore indicato è quello erogato per cassa come risultante da libro giornale (cassa competenza/residui)</w:t>
            </w:r>
          </w:p>
        </w:tc>
      </w:tr>
      <w:tr w:rsidR="00E6179B" w:rsidRPr="00E6179B" w14:paraId="7F555DDE" w14:textId="77777777" w:rsidTr="00E6179B">
        <w:trPr>
          <w:trHeight w:val="240"/>
        </w:trPr>
        <w:tc>
          <w:tcPr>
            <w:tcW w:w="5400" w:type="dxa"/>
            <w:gridSpan w:val="3"/>
            <w:tcBorders>
              <w:top w:val="nil"/>
              <w:left w:val="nil"/>
              <w:bottom w:val="nil"/>
              <w:right w:val="nil"/>
            </w:tcBorders>
            <w:noWrap/>
            <w:vAlign w:val="bottom"/>
            <w:hideMark/>
          </w:tcPr>
          <w:p w14:paraId="6413A723" w14:textId="77777777" w:rsidR="00E6179B" w:rsidRPr="00E6179B" w:rsidRDefault="00E6179B" w:rsidP="00E6179B">
            <w:pPr>
              <w:suppressAutoHyphens w:val="0"/>
              <w:rPr>
                <w:sz w:val="18"/>
                <w:szCs w:val="18"/>
                <w:lang w:eastAsia="it-IT"/>
              </w:rPr>
            </w:pPr>
            <w:r w:rsidRPr="00E6179B">
              <w:rPr>
                <w:sz w:val="18"/>
                <w:szCs w:val="18"/>
                <w:lang w:eastAsia="it-IT"/>
              </w:rPr>
              <w:t>(***) = stima del contributo in base al valore locativo del bene</w:t>
            </w:r>
          </w:p>
        </w:tc>
        <w:tc>
          <w:tcPr>
            <w:tcW w:w="1060" w:type="dxa"/>
            <w:tcBorders>
              <w:top w:val="nil"/>
              <w:left w:val="nil"/>
              <w:bottom w:val="nil"/>
              <w:right w:val="nil"/>
            </w:tcBorders>
            <w:vAlign w:val="bottom"/>
            <w:hideMark/>
          </w:tcPr>
          <w:p w14:paraId="60FFE14C" w14:textId="77777777" w:rsidR="00E6179B" w:rsidRPr="00E6179B" w:rsidRDefault="00E6179B" w:rsidP="00E6179B">
            <w:pPr>
              <w:suppressAutoHyphens w:val="0"/>
              <w:rPr>
                <w:sz w:val="18"/>
                <w:szCs w:val="18"/>
                <w:lang w:eastAsia="it-IT"/>
              </w:rPr>
            </w:pPr>
          </w:p>
        </w:tc>
        <w:tc>
          <w:tcPr>
            <w:tcW w:w="1160" w:type="dxa"/>
            <w:tcBorders>
              <w:top w:val="nil"/>
              <w:left w:val="nil"/>
              <w:bottom w:val="nil"/>
              <w:right w:val="nil"/>
            </w:tcBorders>
            <w:noWrap/>
            <w:vAlign w:val="bottom"/>
            <w:hideMark/>
          </w:tcPr>
          <w:p w14:paraId="53731CEA" w14:textId="77777777" w:rsidR="00E6179B" w:rsidRPr="00E6179B" w:rsidRDefault="00E6179B" w:rsidP="00E6179B">
            <w:pPr>
              <w:suppressAutoHyphens w:val="0"/>
              <w:jc w:val="center"/>
              <w:rPr>
                <w:sz w:val="20"/>
                <w:szCs w:val="20"/>
                <w:lang w:eastAsia="it-IT"/>
              </w:rPr>
            </w:pPr>
          </w:p>
        </w:tc>
        <w:tc>
          <w:tcPr>
            <w:tcW w:w="960" w:type="dxa"/>
            <w:tcBorders>
              <w:top w:val="nil"/>
              <w:left w:val="nil"/>
              <w:bottom w:val="nil"/>
              <w:right w:val="nil"/>
            </w:tcBorders>
            <w:noWrap/>
            <w:vAlign w:val="bottom"/>
            <w:hideMark/>
          </w:tcPr>
          <w:p w14:paraId="022923F7" w14:textId="77777777" w:rsidR="00E6179B" w:rsidRPr="00E6179B" w:rsidRDefault="00E6179B" w:rsidP="00E6179B">
            <w:pPr>
              <w:suppressAutoHyphens w:val="0"/>
              <w:rPr>
                <w:sz w:val="20"/>
                <w:szCs w:val="20"/>
                <w:lang w:eastAsia="it-IT"/>
              </w:rPr>
            </w:pPr>
          </w:p>
        </w:tc>
      </w:tr>
    </w:tbl>
    <w:p w14:paraId="477E0E17" w14:textId="77777777" w:rsidR="00B06C9A" w:rsidRDefault="00B06C9A" w:rsidP="004B3A26">
      <w:pPr>
        <w:rPr>
          <w:color w:val="EE0000"/>
        </w:rPr>
      </w:pPr>
    </w:p>
    <w:p w14:paraId="7EF31134" w14:textId="77777777" w:rsidR="00B06C9A" w:rsidRDefault="00B06C9A" w:rsidP="004B3A26"/>
    <w:p w14:paraId="09C17F1D" w14:textId="7A52106C" w:rsidR="007E1664" w:rsidRDefault="007E1664" w:rsidP="004B3A26">
      <w:r>
        <w:t>Dal 2013 e fino al 2024 sono stati erogati contributi per euro 1,4 milioni di Euro.</w:t>
      </w:r>
    </w:p>
    <w:p w14:paraId="3E9C21E8" w14:textId="77777777" w:rsidR="007E1664" w:rsidRDefault="007E1664" w:rsidP="004B3A26"/>
    <w:p w14:paraId="6AEF9466" w14:textId="77777777" w:rsidR="007E1664" w:rsidRDefault="007E1664" w:rsidP="004B3A26"/>
    <w:p w14:paraId="69EE6A95" w14:textId="0BACDD65" w:rsidR="007E1664" w:rsidRDefault="007E1664" w:rsidP="004B3A26">
      <w:r>
        <w:rPr>
          <w:noProof/>
        </w:rPr>
        <w:drawing>
          <wp:inline distT="0" distB="0" distL="0" distR="0" wp14:anchorId="01B6282A" wp14:editId="442F76C6">
            <wp:extent cx="4572000" cy="2743200"/>
            <wp:effectExtent l="0" t="0" r="0" b="0"/>
            <wp:docPr id="403503083" name="Grafico 1">
              <a:extLst xmlns:a="http://schemas.openxmlformats.org/drawingml/2006/main">
                <a:ext uri="{FF2B5EF4-FFF2-40B4-BE49-F238E27FC236}">
                  <a16:creationId xmlns:a16="http://schemas.microsoft.com/office/drawing/2014/main" id="{9B8D3673-A27B-41E9-7B63-5D9BB39CF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694F05" w14:textId="77777777" w:rsidR="007E1664" w:rsidRDefault="007E1664" w:rsidP="00983A32">
      <w:pPr>
        <w:pStyle w:val="Standard"/>
        <w:jc w:val="both"/>
        <w:rPr>
          <w:b/>
          <w:sz w:val="22"/>
          <w:szCs w:val="22"/>
        </w:rPr>
      </w:pPr>
    </w:p>
    <w:p w14:paraId="1349871B" w14:textId="77777777" w:rsidR="007E1664" w:rsidRDefault="007E1664" w:rsidP="00983A32">
      <w:pPr>
        <w:pStyle w:val="Standard"/>
        <w:jc w:val="both"/>
        <w:rPr>
          <w:b/>
          <w:sz w:val="22"/>
          <w:szCs w:val="22"/>
        </w:rPr>
      </w:pPr>
    </w:p>
    <w:p w14:paraId="51E606E7" w14:textId="77777777" w:rsidR="003B0F48" w:rsidRPr="003B0F48" w:rsidRDefault="003B0F48" w:rsidP="00983A32">
      <w:pPr>
        <w:jc w:val="both"/>
        <w:rPr>
          <w:bCs/>
          <w:sz w:val="22"/>
          <w:szCs w:val="22"/>
        </w:rPr>
      </w:pPr>
    </w:p>
    <w:p w14:paraId="0923B459" w14:textId="07B45447" w:rsidR="003B0F48" w:rsidRPr="003B0F48" w:rsidRDefault="003B0F48" w:rsidP="003B0F48">
      <w:pPr>
        <w:jc w:val="both"/>
        <w:rPr>
          <w:bCs/>
          <w:sz w:val="22"/>
          <w:szCs w:val="22"/>
        </w:rPr>
      </w:pPr>
      <w:r w:rsidRPr="003B0F48">
        <w:rPr>
          <w:bCs/>
          <w:sz w:val="22"/>
          <w:szCs w:val="22"/>
        </w:rPr>
        <w:t xml:space="preserve">Si segnala infine che con </w:t>
      </w:r>
      <w:r w:rsidRPr="003B0F48">
        <w:rPr>
          <w:bCs/>
          <w:sz w:val="22"/>
          <w:szCs w:val="22"/>
        </w:rPr>
        <w:t>deliberazione del Consiglio di Amministrazione n. 87 del 29.07.2024</w:t>
      </w:r>
      <w:r w:rsidRPr="003B0F48">
        <w:rPr>
          <w:bCs/>
          <w:sz w:val="22"/>
          <w:szCs w:val="22"/>
        </w:rPr>
        <w:t xml:space="preserve"> è stato approvato il </w:t>
      </w:r>
      <w:r w:rsidRPr="003B0F48">
        <w:rPr>
          <w:bCs/>
          <w:sz w:val="22"/>
          <w:szCs w:val="22"/>
        </w:rPr>
        <w:t>REGOLAMENTO PER LA CONCESSIONE DI CONTRIBUTI E/O ALTRI VANTAGGI ECONOMICI E DEL PATROCINIO</w:t>
      </w:r>
      <w:r w:rsidRPr="003B0F48">
        <w:rPr>
          <w:bCs/>
          <w:sz w:val="22"/>
          <w:szCs w:val="22"/>
        </w:rPr>
        <w:t>.</w:t>
      </w:r>
    </w:p>
    <w:p w14:paraId="21AB2EAD" w14:textId="77777777" w:rsidR="003B0F48" w:rsidRDefault="003B0F48" w:rsidP="00983A32">
      <w:pPr>
        <w:jc w:val="both"/>
        <w:rPr>
          <w:b/>
          <w:sz w:val="22"/>
          <w:szCs w:val="22"/>
        </w:rPr>
      </w:pPr>
    </w:p>
    <w:p w14:paraId="2F940465" w14:textId="01793321" w:rsidR="00F23F4D" w:rsidRPr="00F23F4D" w:rsidRDefault="00655808" w:rsidP="00983A32">
      <w:pPr>
        <w:jc w:val="both"/>
        <w:rPr>
          <w:b/>
        </w:rPr>
      </w:pPr>
      <w:r w:rsidRPr="00783016">
        <w:rPr>
          <w:b/>
          <w:sz w:val="22"/>
          <w:szCs w:val="22"/>
        </w:rPr>
        <w:t>“</w:t>
      </w:r>
      <w:r w:rsidR="00586E23" w:rsidRPr="00783016">
        <w:rPr>
          <w:b/>
          <w:sz w:val="22"/>
          <w:szCs w:val="22"/>
        </w:rPr>
        <w:t xml:space="preserve">FESTIVAL DELLE ARTI” EDIZIONE </w:t>
      </w:r>
      <w:r w:rsidR="00586E23" w:rsidRPr="00F23F4D">
        <w:rPr>
          <w:b/>
          <w:sz w:val="22"/>
          <w:szCs w:val="22"/>
        </w:rPr>
        <w:t>2024</w:t>
      </w:r>
      <w:r w:rsidR="00FF31E4" w:rsidRPr="00F23F4D">
        <w:rPr>
          <w:b/>
          <w:sz w:val="22"/>
          <w:szCs w:val="22"/>
        </w:rPr>
        <w:t xml:space="preserve"> a cura della</w:t>
      </w:r>
      <w:r w:rsidR="00586E23" w:rsidRPr="00F23F4D">
        <w:rPr>
          <w:b/>
          <w:sz w:val="22"/>
          <w:szCs w:val="22"/>
        </w:rPr>
        <w:t xml:space="preserve"> </w:t>
      </w:r>
      <w:r w:rsidR="00154E5C" w:rsidRPr="00F23F4D">
        <w:rPr>
          <w:b/>
          <w:sz w:val="22"/>
          <w:szCs w:val="22"/>
        </w:rPr>
        <w:t>Fondazione</w:t>
      </w:r>
      <w:r w:rsidR="00586E23" w:rsidRPr="00F23F4D">
        <w:rPr>
          <w:b/>
          <w:sz w:val="22"/>
          <w:szCs w:val="22"/>
        </w:rPr>
        <w:t xml:space="preserve"> BEVERLY PEPPER</w:t>
      </w:r>
      <w:r w:rsidR="00586E23" w:rsidRPr="00F23F4D">
        <w:rPr>
          <w:b/>
        </w:rPr>
        <w:t xml:space="preserve"> </w:t>
      </w:r>
      <w:r w:rsidR="00F23F4D" w:rsidRPr="00F23F4D">
        <w:rPr>
          <w:b/>
        </w:rPr>
        <w:t>e candidatura di Todi a Capitale Italiana dell'arte contemporanea anno 2026</w:t>
      </w:r>
      <w:r w:rsidR="00F23F4D">
        <w:rPr>
          <w:b/>
        </w:rPr>
        <w:t>.</w:t>
      </w:r>
    </w:p>
    <w:p w14:paraId="6DE002AD" w14:textId="59C9D8EE" w:rsidR="00B40773" w:rsidRPr="00783016" w:rsidRDefault="00B40773" w:rsidP="00983A32">
      <w:pPr>
        <w:jc w:val="both"/>
        <w:rPr>
          <w:b/>
          <w:sz w:val="22"/>
          <w:szCs w:val="22"/>
        </w:rPr>
      </w:pPr>
      <w:r w:rsidRPr="00783016">
        <w:t>Con determina 91/2024 è stato accordato il patrocinio al festival delle arti 2024.</w:t>
      </w:r>
    </w:p>
    <w:p w14:paraId="45D39DD5" w14:textId="77777777" w:rsidR="00B40773" w:rsidRPr="00783016" w:rsidRDefault="00B40773" w:rsidP="00983A32">
      <w:pPr>
        <w:jc w:val="both"/>
      </w:pPr>
      <w:r w:rsidRPr="00783016">
        <w:t>Con mail in data 24.06.2024 (prot. 1695 in data 25.06.2024) la Fondazione Progetti Beverly Pepper (CF 941680710542) presentava il programma del Festival delle Arti 2024 e in particolare la mostra “</w:t>
      </w:r>
      <w:proofErr w:type="spellStart"/>
      <w:r w:rsidRPr="00783016">
        <w:t>Spacetime</w:t>
      </w:r>
      <w:proofErr w:type="spellEnd"/>
      <w:r w:rsidRPr="00783016">
        <w:t>” con l’omaggio della Città di Todi a Mark Di Suvero.</w:t>
      </w:r>
    </w:p>
    <w:p w14:paraId="625ADF4D" w14:textId="77777777" w:rsidR="00B40773" w:rsidRDefault="00B40773" w:rsidP="00983A32">
      <w:pPr>
        <w:jc w:val="both"/>
      </w:pPr>
      <w:r w:rsidRPr="00783016">
        <w:t xml:space="preserve">Atteso che tra le finalità dell’Ente vi rientra in generale la promozione del territorio nonché a norma dell’art. 3 del vigente Statuto </w:t>
      </w:r>
      <w:r w:rsidRPr="00783016">
        <w:rPr>
          <w:i/>
        </w:rPr>
        <w:t xml:space="preserve">“… fini assistenziali e culturali collegati alla comunità cittadina.   In questo quadro l'Ente si propone di mantenere e valorizzare il patrimonio storico artistico e culturale che ha ereditato dalle I.P.A.B. dalla cui fusione l'Ente stesso è nato </w:t>
      </w:r>
      <w:r w:rsidRPr="00783016">
        <w:t>…” è stato accordato il suddetto patrocinio Fondazione Beverly Pepper avanzava richiesta di gratuito patrocinio per la manifestazione "Festival delle Arti 2024” in programma a Todi.</w:t>
      </w:r>
    </w:p>
    <w:p w14:paraId="52B1C831" w14:textId="4ACBA6FD" w:rsidR="00F23F4D" w:rsidRPr="00783016" w:rsidRDefault="00F23F4D" w:rsidP="00983A32">
      <w:pPr>
        <w:jc w:val="both"/>
      </w:pPr>
      <w:r>
        <w:t xml:space="preserve">L’Ente con la </w:t>
      </w:r>
      <w:r w:rsidRPr="00783016">
        <w:t>Fondazione Beverly Pepper</w:t>
      </w:r>
      <w:r>
        <w:t xml:space="preserve"> e il Comune di Todi ha partecipato attivamente alla candidatura di Todi Capitale Italiana </w:t>
      </w:r>
      <w:r w:rsidRPr="00F23F4D">
        <w:t>dell'arte contemporanea</w:t>
      </w:r>
      <w:r>
        <w:t xml:space="preserve"> anno 2026 mettendo a disposizione, tra </w:t>
      </w:r>
      <w:r>
        <w:lastRenderedPageBreak/>
        <w:t xml:space="preserve">l’altro, la propria green </w:t>
      </w:r>
      <w:proofErr w:type="spellStart"/>
      <w:r>
        <w:t>gallery</w:t>
      </w:r>
      <w:proofErr w:type="spellEnd"/>
      <w:r>
        <w:t xml:space="preserve"> (Parco Olivi della Consolazione) che anche in occasione della presentazione ha destato interesse e occupato una parte importante del video promozionale visto le caratteristiche e peculiarità del progetto.</w:t>
      </w:r>
    </w:p>
    <w:p w14:paraId="7A446DE6" w14:textId="77777777" w:rsidR="00B42DEF" w:rsidRDefault="00B42DEF" w:rsidP="00725CEA"/>
    <w:p w14:paraId="16A4FF7B" w14:textId="6A2DCDFE" w:rsidR="00617244" w:rsidRDefault="00B42DEF" w:rsidP="00783016">
      <w:pPr>
        <w:jc w:val="center"/>
        <w:rPr>
          <w:b/>
          <w:bCs/>
          <w:color w:val="C00000"/>
        </w:rPr>
      </w:pPr>
      <w:r w:rsidRPr="008808D6">
        <w:rPr>
          <w:b/>
          <w:bCs/>
          <w:color w:val="C00000"/>
          <w:highlight w:val="yellow"/>
        </w:rPr>
        <w:t>P</w:t>
      </w:r>
      <w:r w:rsidR="003050E4" w:rsidRPr="008808D6">
        <w:rPr>
          <w:b/>
          <w:bCs/>
          <w:color w:val="C00000"/>
          <w:highlight w:val="yellow"/>
        </w:rPr>
        <w:t xml:space="preserve">ARTE II </w:t>
      </w:r>
      <w:r w:rsidR="00D36AE0" w:rsidRPr="008808D6">
        <w:rPr>
          <w:b/>
          <w:bCs/>
          <w:color w:val="C00000"/>
          <w:highlight w:val="yellow"/>
        </w:rPr>
        <w:t xml:space="preserve"> IL PATRIMONIO IMMOBILIARE</w:t>
      </w:r>
    </w:p>
    <w:p w14:paraId="5DF157E6" w14:textId="77777777" w:rsidR="00B42DEF" w:rsidRDefault="00B42DEF" w:rsidP="00725CEA">
      <w:pPr>
        <w:rPr>
          <w:b/>
          <w:bCs/>
          <w:color w:val="C00000"/>
        </w:rPr>
      </w:pPr>
    </w:p>
    <w:p w14:paraId="2867AC88" w14:textId="75EBCACE" w:rsidR="00251CF3" w:rsidRDefault="00B42DEF" w:rsidP="00983A32">
      <w:r w:rsidRPr="008808D6">
        <w:rPr>
          <w:b/>
          <w:bCs/>
        </w:rPr>
        <w:t>A)</w:t>
      </w:r>
      <w:r>
        <w:rPr>
          <w:b/>
          <w:bCs/>
          <w:color w:val="C00000"/>
        </w:rPr>
        <w:t xml:space="preserve"> </w:t>
      </w:r>
      <w:r w:rsidR="00251CF3">
        <w:rPr>
          <w:b/>
          <w:bCs/>
        </w:rPr>
        <w:t>IMMOBILI FINALIZZATI AL CONSEGUIMENTO DI FINALITA’ ISTITUZIONALI.</w:t>
      </w:r>
    </w:p>
    <w:p w14:paraId="2C52B141" w14:textId="77777777" w:rsidR="00251CF3" w:rsidRDefault="00251CF3" w:rsidP="00983A32"/>
    <w:p w14:paraId="74B5D47B" w14:textId="77777777" w:rsidR="00251CF3" w:rsidRPr="001F6F49" w:rsidRDefault="00251CF3" w:rsidP="00983A32">
      <w:pPr>
        <w:jc w:val="both"/>
        <w:rPr>
          <w:b/>
          <w:bCs/>
        </w:rPr>
      </w:pPr>
      <w:r w:rsidRPr="00074DE1">
        <w:rPr>
          <w:b/>
          <w:bCs/>
        </w:rPr>
        <w:t>Realizzazione nuovo Archivio Stor</w:t>
      </w:r>
      <w:r>
        <w:rPr>
          <w:b/>
          <w:bCs/>
        </w:rPr>
        <w:t>ico delle IRB/Consolazione ETAB e r</w:t>
      </w:r>
      <w:r w:rsidRPr="001F6F49">
        <w:rPr>
          <w:b/>
          <w:bCs/>
        </w:rPr>
        <w:t xml:space="preserve">ealizzazione della Casa delle Associazioni </w:t>
      </w:r>
      <w:r w:rsidRPr="00A45C68">
        <w:rPr>
          <w:b/>
          <w:bCs/>
          <w:i/>
        </w:rPr>
        <w:t>Giovanni Bacarini Morettini</w:t>
      </w:r>
      <w:r w:rsidRPr="001F6F49">
        <w:rPr>
          <w:b/>
          <w:bCs/>
        </w:rPr>
        <w:t>.</w:t>
      </w:r>
    </w:p>
    <w:p w14:paraId="29556152" w14:textId="77777777" w:rsidR="00251CF3" w:rsidRDefault="00251CF3" w:rsidP="00983A32">
      <w:pPr>
        <w:jc w:val="both"/>
      </w:pPr>
      <w:r>
        <w:t xml:space="preserve">Lo spostamento della sede dell’archivio situato presso l’IIS Ciuffelli (attualmente ricoverato presso la Biblioteca Comunale) ha reso necessario l’individuazione di alcuni locali per la realizzazione dell’archivio storico delle I.R.B. (dal 1938 circa agli anni 2000) e dell’ente La Consolazione ETAB. La documentazione è stata oggetto del censimento degli archivi delle Istituzioni Pubbliche di Assistenza e Beneficenza, intrapreso dalla Soprintendenza archivistica per l'Umbria negli anni Ottanta e conclusosi con la pubblicazione di una guida nel 1990. </w:t>
      </w:r>
    </w:p>
    <w:p w14:paraId="4589A326" w14:textId="5F5C13E2" w:rsidR="00251CF3" w:rsidRDefault="00251CF3" w:rsidP="00983A32">
      <w:pPr>
        <w:jc w:val="both"/>
      </w:pPr>
      <w:r>
        <w:t xml:space="preserve">A seguito del progetto del nuovo archivio, si è reso necessario trovare una nuova sede per le associazioni attualmente situate in Piazza Umberto I, 6 a Todi. I locali al secondo piano dello storico Palazzo Vecchi Ercolani, </w:t>
      </w:r>
      <w:r w:rsidR="00F23F4D">
        <w:t xml:space="preserve">sono stati </w:t>
      </w:r>
      <w:r>
        <w:t xml:space="preserve">adeguati con un investimento di circa </w:t>
      </w:r>
      <w:r w:rsidR="00F23F4D">
        <w:t>6</w:t>
      </w:r>
      <w:r>
        <w:t xml:space="preserve">0 mila euro per ospitare l'Auser MVT, l'Avis Todi e una terza associazione, e diventeranno la Casa delle Associazioni. Al fine di fare memoria dei nostri cari benefattori anche in questo caso si è pensato, grazie ai suggerimenti del Direttore dell’Archivio Storico, di intitolare la sede della Casa delle Associazioni al benefattore </w:t>
      </w:r>
      <w:r w:rsidR="00F23F4D" w:rsidRPr="00F23F4D">
        <w:rPr>
          <w:i/>
          <w:iCs/>
        </w:rPr>
        <w:t>Dr.</w:t>
      </w:r>
      <w:r w:rsidR="00F23F4D">
        <w:t xml:space="preserve"> </w:t>
      </w:r>
      <w:r w:rsidRPr="00F23F4D">
        <w:rPr>
          <w:i/>
          <w:iCs/>
        </w:rPr>
        <w:t>Giovanni Bacarini Morettini</w:t>
      </w:r>
      <w:r>
        <w:t xml:space="preserve"> morto prematuramente. </w:t>
      </w:r>
      <w:r w:rsidR="00390865">
        <w:t xml:space="preserve">Dette azioni hanno consentito di </w:t>
      </w:r>
      <w:r>
        <w:t>aumentare lo spazio a disposizione delle Associazioni e</w:t>
      </w:r>
      <w:r w:rsidR="00390865">
        <w:t>,</w:t>
      </w:r>
      <w:r>
        <w:t xml:space="preserve"> nello stesso tempo</w:t>
      </w:r>
      <w:r w:rsidR="00390865">
        <w:t>,</w:t>
      </w:r>
      <w:r>
        <w:t xml:space="preserve"> </w:t>
      </w:r>
      <w:r w:rsidR="00390865">
        <w:t xml:space="preserve">di </w:t>
      </w:r>
      <w:r>
        <w:t xml:space="preserve">recuperare un immobile attualmente inutilizzato e privo degli impianti tecnologici funzionanti. </w:t>
      </w:r>
    </w:p>
    <w:p w14:paraId="6C63E7C1" w14:textId="55303B96" w:rsidR="004E33E6" w:rsidRDefault="004E33E6" w:rsidP="00983A32">
      <w:pPr>
        <w:jc w:val="both"/>
      </w:pPr>
      <w:r>
        <w:t>Si presume che entro l’estate saranno completati i lavori</w:t>
      </w:r>
      <w:r w:rsidR="00390865">
        <w:t xml:space="preserve"> di realizzazione dell’archivio storico</w:t>
      </w:r>
      <w:r>
        <w:t xml:space="preserve"> e la collocazione del materiale potrà avvenire entro la fine dell’anno 2025.</w:t>
      </w:r>
    </w:p>
    <w:p w14:paraId="4C44BDD9" w14:textId="77777777" w:rsidR="00251CF3" w:rsidRDefault="00251CF3" w:rsidP="00983A32">
      <w:pPr>
        <w:jc w:val="both"/>
      </w:pPr>
    </w:p>
    <w:p w14:paraId="04340DE5" w14:textId="77777777" w:rsidR="00251CF3" w:rsidRPr="0007115D" w:rsidRDefault="00251CF3" w:rsidP="00983A32">
      <w:pPr>
        <w:jc w:val="both"/>
        <w:rPr>
          <w:b/>
          <w:bCs/>
        </w:rPr>
      </w:pPr>
      <w:r w:rsidRPr="0007115D">
        <w:rPr>
          <w:b/>
          <w:bCs/>
        </w:rPr>
        <w:t>Adeguamento e messa a norma dell’Impianto elettrico della sede dell’ente in Todi, Piazza Umberto I, 6.</w:t>
      </w:r>
    </w:p>
    <w:p w14:paraId="323D620B" w14:textId="77777777" w:rsidR="00783016" w:rsidRDefault="00783016" w:rsidP="00983A32">
      <w:pPr>
        <w:jc w:val="both"/>
      </w:pPr>
      <w:r>
        <w:t xml:space="preserve">Nella seconda metà del 2024 è stato completato il lavoro per l’adeguamento e la messa a norma dell’impianto elettrico datato ai primi anni ’80. </w:t>
      </w:r>
    </w:p>
    <w:p w14:paraId="43C71D3E" w14:textId="13C03F7D" w:rsidR="00783016" w:rsidRDefault="00783016" w:rsidP="00983A32">
      <w:pPr>
        <w:jc w:val="both"/>
      </w:pPr>
      <w:r>
        <w:t xml:space="preserve">In particolare è stata attivata indagine di mercato per appalto misto (progettazione esecutiva e realizzazione) per un importo di circa euro </w:t>
      </w:r>
      <w:r w:rsidRPr="0007115D">
        <w:t xml:space="preserve">13.884,00 + IVA </w:t>
      </w:r>
      <w:r>
        <w:t xml:space="preserve">alla Società </w:t>
      </w:r>
      <w:r w:rsidRPr="0007115D">
        <w:t>Elettrica Tuderte Srl</w:t>
      </w:r>
      <w:r>
        <w:t>. Il DVR ha recepito la messa a norma.</w:t>
      </w:r>
    </w:p>
    <w:p w14:paraId="03774CC5" w14:textId="77777777" w:rsidR="00783016" w:rsidRDefault="00783016" w:rsidP="00983A32">
      <w:pPr>
        <w:jc w:val="both"/>
        <w:rPr>
          <w:b/>
          <w:bCs/>
        </w:rPr>
      </w:pPr>
    </w:p>
    <w:p w14:paraId="78A7F321" w14:textId="77777777" w:rsidR="00251CF3" w:rsidRPr="00A45C68" w:rsidRDefault="00251CF3" w:rsidP="00983A32">
      <w:pPr>
        <w:jc w:val="both"/>
        <w:rPr>
          <w:b/>
        </w:rPr>
      </w:pPr>
      <w:r w:rsidRPr="00A45C68">
        <w:rPr>
          <w:b/>
        </w:rPr>
        <w:t>Prevenzione Incendi Liceo Jacopone (sede di Via Roma)</w:t>
      </w:r>
      <w:r>
        <w:rPr>
          <w:b/>
        </w:rPr>
        <w:t>.</w:t>
      </w:r>
    </w:p>
    <w:p w14:paraId="5E2738D0" w14:textId="40E7BFE0" w:rsidR="00251CF3" w:rsidRDefault="00251CF3" w:rsidP="00983A32">
      <w:pPr>
        <w:jc w:val="both"/>
      </w:pPr>
      <w:r>
        <w:t>Nel</w:t>
      </w:r>
      <w:r w:rsidR="00783016">
        <w:t>l’ottobre 2024 è stato completato l’ultimo sopralluogo</w:t>
      </w:r>
      <w:r w:rsidR="004E33E6">
        <w:t>. Nel marzo 2025 è stata presentata istanza di rinnovo</w:t>
      </w:r>
      <w:r>
        <w:t xml:space="preserve"> del CPI del Liceo (biennio di Via Roma).</w:t>
      </w:r>
    </w:p>
    <w:p w14:paraId="21BB7F1F" w14:textId="77777777" w:rsidR="00251CF3" w:rsidRPr="00F34B6A" w:rsidRDefault="00251CF3" w:rsidP="00983A32">
      <w:pPr>
        <w:jc w:val="both"/>
      </w:pPr>
    </w:p>
    <w:p w14:paraId="3BFA94D6" w14:textId="77777777" w:rsidR="00251CF3" w:rsidRPr="00F34B6A" w:rsidRDefault="00251CF3" w:rsidP="00983A32">
      <w:pPr>
        <w:jc w:val="both"/>
        <w:rPr>
          <w:b/>
          <w:bCs/>
        </w:rPr>
      </w:pPr>
      <w:r w:rsidRPr="00F34B6A">
        <w:rPr>
          <w:b/>
          <w:bCs/>
        </w:rPr>
        <w:t>CPI Ist. Einaudi.</w:t>
      </w:r>
    </w:p>
    <w:p w14:paraId="744AD8D3" w14:textId="01204423" w:rsidR="00251CF3" w:rsidRPr="00F34B6A" w:rsidRDefault="00783016" w:rsidP="00983A32">
      <w:pPr>
        <w:pStyle w:val="Standard"/>
        <w:jc w:val="both"/>
        <w:rPr>
          <w:bCs/>
          <w:sz w:val="24"/>
          <w:szCs w:val="24"/>
        </w:rPr>
      </w:pPr>
      <w:r>
        <w:rPr>
          <w:bCs/>
          <w:sz w:val="24"/>
          <w:szCs w:val="24"/>
        </w:rPr>
        <w:t>Anche nella seconda metà del 2024 si è proseguito con le attività legate al</w:t>
      </w:r>
      <w:r w:rsidR="00895FE8">
        <w:rPr>
          <w:bCs/>
          <w:sz w:val="24"/>
          <w:szCs w:val="24"/>
        </w:rPr>
        <w:t>la realizzazione di lavori e attività tecniche per ottenere il CPI.</w:t>
      </w:r>
      <w:r w:rsidR="004E33E6">
        <w:rPr>
          <w:bCs/>
          <w:sz w:val="24"/>
          <w:szCs w:val="24"/>
        </w:rPr>
        <w:t xml:space="preserve"> Nella prima metà del 2025 non sono emersi significativi progressi. </w:t>
      </w:r>
    </w:p>
    <w:tbl>
      <w:tblPr>
        <w:tblW w:w="8932" w:type="dxa"/>
        <w:tblInd w:w="70" w:type="dxa"/>
        <w:tblCellMar>
          <w:left w:w="70" w:type="dxa"/>
          <w:right w:w="70" w:type="dxa"/>
        </w:tblCellMar>
        <w:tblLook w:val="04A0" w:firstRow="1" w:lastRow="0" w:firstColumn="1" w:lastColumn="0" w:noHBand="0" w:noVBand="1"/>
      </w:tblPr>
      <w:tblGrid>
        <w:gridCol w:w="6172"/>
        <w:gridCol w:w="1720"/>
        <w:gridCol w:w="1040"/>
      </w:tblGrid>
      <w:tr w:rsidR="00251CF3" w:rsidRPr="00F34B6A" w14:paraId="77181F49" w14:textId="77777777" w:rsidTr="00783016">
        <w:trPr>
          <w:trHeight w:val="300"/>
        </w:trPr>
        <w:tc>
          <w:tcPr>
            <w:tcW w:w="6172" w:type="dxa"/>
            <w:tcBorders>
              <w:top w:val="nil"/>
              <w:left w:val="nil"/>
              <w:bottom w:val="nil"/>
              <w:right w:val="nil"/>
            </w:tcBorders>
            <w:noWrap/>
            <w:vAlign w:val="bottom"/>
          </w:tcPr>
          <w:p w14:paraId="0F045C63" w14:textId="77777777" w:rsidR="00251CF3" w:rsidRPr="00F34B6A" w:rsidRDefault="00251CF3" w:rsidP="00783016">
            <w:pPr>
              <w:suppressAutoHyphens w:val="0"/>
              <w:rPr>
                <w:sz w:val="20"/>
                <w:szCs w:val="20"/>
              </w:rPr>
            </w:pPr>
          </w:p>
        </w:tc>
        <w:tc>
          <w:tcPr>
            <w:tcW w:w="1720" w:type="dxa"/>
            <w:tcBorders>
              <w:top w:val="nil"/>
              <w:left w:val="nil"/>
              <w:bottom w:val="nil"/>
              <w:right w:val="nil"/>
            </w:tcBorders>
            <w:noWrap/>
            <w:vAlign w:val="bottom"/>
          </w:tcPr>
          <w:p w14:paraId="3558FB23" w14:textId="77777777" w:rsidR="00251CF3" w:rsidRPr="00F34B6A" w:rsidRDefault="00251CF3" w:rsidP="00983A32">
            <w:pPr>
              <w:suppressAutoHyphens w:val="0"/>
              <w:rPr>
                <w:sz w:val="20"/>
                <w:szCs w:val="20"/>
              </w:rPr>
            </w:pPr>
          </w:p>
        </w:tc>
        <w:tc>
          <w:tcPr>
            <w:tcW w:w="1040" w:type="dxa"/>
            <w:tcBorders>
              <w:top w:val="nil"/>
              <w:left w:val="nil"/>
              <w:bottom w:val="nil"/>
              <w:right w:val="nil"/>
            </w:tcBorders>
            <w:noWrap/>
            <w:vAlign w:val="bottom"/>
          </w:tcPr>
          <w:p w14:paraId="31A737E5" w14:textId="77777777" w:rsidR="00251CF3" w:rsidRPr="00F34B6A" w:rsidRDefault="00251CF3" w:rsidP="00983A32">
            <w:pPr>
              <w:suppressAutoHyphens w:val="0"/>
              <w:rPr>
                <w:sz w:val="20"/>
                <w:szCs w:val="20"/>
              </w:rPr>
            </w:pPr>
          </w:p>
        </w:tc>
      </w:tr>
    </w:tbl>
    <w:p w14:paraId="2730AD54" w14:textId="77777777" w:rsidR="00251CF3" w:rsidRPr="00CB3A7D" w:rsidRDefault="00251CF3" w:rsidP="00983A32">
      <w:pPr>
        <w:jc w:val="both"/>
        <w:rPr>
          <w:b/>
          <w:bCs/>
        </w:rPr>
      </w:pPr>
      <w:r w:rsidRPr="00CB3A7D">
        <w:rPr>
          <w:b/>
          <w:bCs/>
        </w:rPr>
        <w:t>Riconversioni Patrimoniali.</w:t>
      </w:r>
    </w:p>
    <w:p w14:paraId="117645E9" w14:textId="77777777" w:rsidR="00251CF3" w:rsidRDefault="00251CF3" w:rsidP="00983A32">
      <w:pPr>
        <w:jc w:val="both"/>
      </w:pPr>
      <w:r>
        <w:t>Come di consueto all’inizio di ogni mandato e secondo canoni di buona amministrazione ex art. 97 Cost. l’Amministrazione di questo Ente ha esaminato l’analisi delle fonti rispetto ai fabbisogni di investimento al fine di conseguire gli obiettivi statutari di valorizzare il Patrimonio cogliendo le peculiarità attuali del mercato immobiliare.</w:t>
      </w:r>
    </w:p>
    <w:p w14:paraId="0164BFAF" w14:textId="6E5DE1BE" w:rsidR="00251CF3" w:rsidRDefault="00251CF3" w:rsidP="00983A32">
      <w:pPr>
        <w:jc w:val="both"/>
      </w:pPr>
      <w:r>
        <w:lastRenderedPageBreak/>
        <w:t xml:space="preserve">In particolare, </w:t>
      </w:r>
      <w:r w:rsidR="00895FE8">
        <w:t>in data 30.10.2024 è stato alienato il comparto edificabile sito in Todi, Frazione Pantalla e introitato in tesoreria il corrispettivo di euro 904.000,00.</w:t>
      </w:r>
    </w:p>
    <w:p w14:paraId="16F1B26F" w14:textId="77777777" w:rsidR="00895FE8" w:rsidRDefault="00895FE8" w:rsidP="00983A32">
      <w:pPr>
        <w:jc w:val="both"/>
      </w:pPr>
      <w:r>
        <w:t>Detta operazione ha generato vantaggi legato alla minor IMU da corrispondere (ben più elevata del canone medio ritraibile annualmente) e al contempo ha portato interessi su capitali importanti nelle casse dell’ente nelle more del reinvestimento.</w:t>
      </w:r>
    </w:p>
    <w:p w14:paraId="73E143FE" w14:textId="18BDD63C" w:rsidR="00895FE8" w:rsidRDefault="00895FE8" w:rsidP="00983A32">
      <w:pPr>
        <w:jc w:val="both"/>
      </w:pPr>
      <w:r>
        <w:t>Si evidenzia</w:t>
      </w:r>
      <w:r w:rsidR="00DB4508">
        <w:t>,</w:t>
      </w:r>
      <w:r>
        <w:t xml:space="preserve"> altresì</w:t>
      </w:r>
      <w:r w:rsidR="00DB4508">
        <w:t>,</w:t>
      </w:r>
      <w:r>
        <w:t xml:space="preserve"> che dopo oltre 20 anni si è concretizzata la previsione del PRG concepito dal competente (ed appositamente creato)  ufficio comunale con l’assegnazione d</w:t>
      </w:r>
      <w:r w:rsidR="00DB4508">
        <w:t xml:space="preserve">ei lotti edificabili di Pantalla. </w:t>
      </w:r>
    </w:p>
    <w:p w14:paraId="111A4D5B" w14:textId="77777777" w:rsidR="00251CF3" w:rsidRDefault="00251CF3" w:rsidP="00983A32">
      <w:pPr>
        <w:jc w:val="both"/>
      </w:pPr>
    </w:p>
    <w:p w14:paraId="608A258C" w14:textId="47D5D3A7" w:rsidR="00CE670A" w:rsidRPr="00987489" w:rsidRDefault="00DB4508" w:rsidP="00983A32">
      <w:pPr>
        <w:shd w:val="clear" w:color="auto" w:fill="FDFDFD"/>
        <w:jc w:val="both"/>
        <w:rPr>
          <w:b/>
          <w:bCs/>
        </w:rPr>
      </w:pPr>
      <w:r w:rsidRPr="00987489">
        <w:rPr>
          <w:b/>
          <w:bCs/>
        </w:rPr>
        <w:t>PIANIFICAZIONE CONTRATTI PUBBLICI ex D.lgs 36/2023</w:t>
      </w:r>
    </w:p>
    <w:p w14:paraId="53C64F37" w14:textId="1D92A3B2" w:rsidR="00DB4508" w:rsidRPr="0045794C" w:rsidRDefault="00DB4508" w:rsidP="00DB4508">
      <w:pPr>
        <w:suppressAutoHyphens w:val="0"/>
        <w:jc w:val="both"/>
      </w:pPr>
      <w:r>
        <w:rPr>
          <w:color w:val="000000"/>
        </w:rPr>
        <w:t xml:space="preserve">Con </w:t>
      </w:r>
      <w:r w:rsidRPr="00DB4508">
        <w:rPr>
          <w:color w:val="000000"/>
        </w:rPr>
        <w:t>Deliberazione N. 100 del 18 settembre 2024</w:t>
      </w:r>
      <w:r>
        <w:rPr>
          <w:color w:val="000000"/>
        </w:rPr>
        <w:t xml:space="preserve"> avente per </w:t>
      </w:r>
      <w:r w:rsidRPr="00DB4508">
        <w:rPr>
          <w:color w:val="000000"/>
        </w:rPr>
        <w:t>OGGETTO: APPROVAZIONE DEL PROGRAMMA DI ACQUISIZIONE PER IL TRIENNIO 2025-2026-2027 (LAVORI) E DELLA PROGRAMMAZIONE SERVIZI PER IL TRIENNIO 2025-2026-2027</w:t>
      </w:r>
      <w:r>
        <w:rPr>
          <w:color w:val="000000"/>
        </w:rPr>
        <w:t xml:space="preserve"> si è stabilito d</w:t>
      </w:r>
      <w:r w:rsidRPr="0045794C">
        <w:rPr>
          <w:color w:val="000000"/>
        </w:rPr>
        <w:t xml:space="preserve">i </w:t>
      </w:r>
      <w:r w:rsidRPr="0045794C">
        <w:t>approvare i prospetti della programmazione ex art. 37 del D.lgs 36/2023 per il periodo 202</w:t>
      </w:r>
      <w:r>
        <w:t>5</w:t>
      </w:r>
      <w:r w:rsidRPr="0045794C">
        <w:t>/202</w:t>
      </w:r>
      <w:r>
        <w:t>7</w:t>
      </w:r>
      <w:r w:rsidRPr="0045794C">
        <w:t xml:space="preserve"> (lavori, beni e servizi e forniture)</w:t>
      </w:r>
      <w:r>
        <w:t>.</w:t>
      </w:r>
    </w:p>
    <w:p w14:paraId="79D9C62C" w14:textId="6C7E7E5E" w:rsidR="00DB4508" w:rsidRPr="00A71CC4" w:rsidRDefault="00DB4508" w:rsidP="00DB4508">
      <w:pPr>
        <w:widowControl w:val="0"/>
        <w:jc w:val="both"/>
        <w:rPr>
          <w:color w:val="000000"/>
        </w:rPr>
      </w:pPr>
      <w:r>
        <w:t xml:space="preserve">I </w:t>
      </w:r>
      <w:r w:rsidRPr="0045794C">
        <w:t xml:space="preserve">programmi degli acquisti di beni e servizi e quello dei lavori, nonché i relativi aggiornamenti annuali </w:t>
      </w:r>
      <w:r>
        <w:t xml:space="preserve">sono stati pubblicati </w:t>
      </w:r>
      <w:r w:rsidRPr="0045794C">
        <w:t xml:space="preserve">sul profilo del committente e secondo le altre indicazioni di legge del sito </w:t>
      </w:r>
      <w:hyperlink r:id="rId15" w:history="1">
        <w:r w:rsidRPr="0045794C">
          <w:rPr>
            <w:rStyle w:val="Collegamentoipertestuale"/>
          </w:rPr>
          <w:t>https://www.serviziocontrattipubblici.it/</w:t>
        </w:r>
      </w:hyperlink>
      <w:r w:rsidRPr="0045794C">
        <w:t xml:space="preserve"> </w:t>
      </w:r>
      <w:r>
        <w:t xml:space="preserve">ed in particolare all’indirizzo web </w:t>
      </w:r>
      <w:hyperlink r:id="rId16" w:anchor="/home/SCPProgProduzione" w:history="1">
        <w:r w:rsidRPr="00EC5F8D">
          <w:rPr>
            <w:rStyle w:val="Collegamentoipertestuale"/>
          </w:rPr>
          <w:t>https://www.serviziocontrattipubblici.it/sso-integr-fe/#/home/SCPProgProduzione</w:t>
        </w:r>
      </w:hyperlink>
      <w:r>
        <w:t>.</w:t>
      </w:r>
    </w:p>
    <w:p w14:paraId="48581DAB" w14:textId="5526878A" w:rsidR="00DB4508" w:rsidRDefault="00DB4508" w:rsidP="00DB4508">
      <w:pPr>
        <w:jc w:val="both"/>
        <w:rPr>
          <w:color w:val="000000"/>
        </w:rPr>
      </w:pPr>
      <w:r>
        <w:rPr>
          <w:color w:val="000000"/>
        </w:rPr>
        <w:t>In seguito in data 19.12.2024 sono stati assunti gli impegni per i cantieri in corso e quelli in corso di approntamento:</w:t>
      </w:r>
    </w:p>
    <w:p w14:paraId="2E88733B" w14:textId="741FE65D" w:rsidR="00DB4508" w:rsidRDefault="00DB4508" w:rsidP="00DB4508">
      <w:pPr>
        <w:pStyle w:val="Standard"/>
        <w:jc w:val="both"/>
        <w:rPr>
          <w:rFonts w:ascii="Lucida Console" w:hAnsi="Lucida Console"/>
        </w:rPr>
      </w:pPr>
      <w:r>
        <w:rPr>
          <w:rFonts w:ascii="Lucida Console" w:hAnsi="Lucida Console"/>
          <w:noProof/>
        </w:rPr>
        <w:drawing>
          <wp:inline distT="0" distB="0" distL="0" distR="0" wp14:anchorId="7A69889D" wp14:editId="63A2B5A8">
            <wp:extent cx="6115050" cy="3022600"/>
            <wp:effectExtent l="0" t="0" r="0" b="6350"/>
            <wp:docPr id="92704749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022600"/>
                    </a:xfrm>
                    <a:prstGeom prst="rect">
                      <a:avLst/>
                    </a:prstGeom>
                    <a:noFill/>
                    <a:ln>
                      <a:noFill/>
                    </a:ln>
                  </pic:spPr>
                </pic:pic>
              </a:graphicData>
            </a:graphic>
          </wp:inline>
        </w:drawing>
      </w:r>
    </w:p>
    <w:p w14:paraId="1C55907E" w14:textId="47C3CE01" w:rsidR="00DB4508" w:rsidRDefault="00DB4508" w:rsidP="00DB4508">
      <w:pPr>
        <w:pStyle w:val="Standard"/>
        <w:jc w:val="both"/>
        <w:rPr>
          <w:rFonts w:ascii="Lucida Console" w:hAnsi="Lucida Console"/>
        </w:rPr>
      </w:pPr>
      <w:r>
        <w:rPr>
          <w:rFonts w:ascii="Lucida Console" w:hAnsi="Lucida Console"/>
          <w:noProof/>
        </w:rPr>
        <w:lastRenderedPageBreak/>
        <w:drawing>
          <wp:inline distT="0" distB="0" distL="0" distR="0" wp14:anchorId="3DAAF8AE" wp14:editId="48AA491E">
            <wp:extent cx="6115050" cy="3295650"/>
            <wp:effectExtent l="0" t="0" r="0" b="0"/>
            <wp:docPr id="16133817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295650"/>
                    </a:xfrm>
                    <a:prstGeom prst="rect">
                      <a:avLst/>
                    </a:prstGeom>
                    <a:noFill/>
                    <a:ln>
                      <a:noFill/>
                    </a:ln>
                  </pic:spPr>
                </pic:pic>
              </a:graphicData>
            </a:graphic>
          </wp:inline>
        </w:drawing>
      </w:r>
    </w:p>
    <w:p w14:paraId="36E0D1DF" w14:textId="2E652004" w:rsidR="00DB4508" w:rsidRDefault="00DB4508" w:rsidP="00DB4508">
      <w:pPr>
        <w:pStyle w:val="Standard"/>
        <w:jc w:val="both"/>
        <w:rPr>
          <w:rFonts w:ascii="Lucida Console" w:hAnsi="Lucida Console"/>
        </w:rPr>
      </w:pPr>
      <w:r>
        <w:rPr>
          <w:rFonts w:ascii="Lucida Console" w:hAnsi="Lucida Console"/>
          <w:noProof/>
        </w:rPr>
        <w:drawing>
          <wp:inline distT="0" distB="0" distL="0" distR="0" wp14:anchorId="6312F89C" wp14:editId="0A9FC56A">
            <wp:extent cx="6108700" cy="2159000"/>
            <wp:effectExtent l="0" t="0" r="6350" b="0"/>
            <wp:docPr id="6106652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8700" cy="2159000"/>
                    </a:xfrm>
                    <a:prstGeom prst="rect">
                      <a:avLst/>
                    </a:prstGeom>
                    <a:noFill/>
                    <a:ln>
                      <a:noFill/>
                    </a:ln>
                  </pic:spPr>
                </pic:pic>
              </a:graphicData>
            </a:graphic>
          </wp:inline>
        </w:drawing>
      </w:r>
    </w:p>
    <w:p w14:paraId="4DECA5FF" w14:textId="0BB32767" w:rsidR="00AD74CB" w:rsidRDefault="00E03055" w:rsidP="00983A32">
      <w:pPr>
        <w:pStyle w:val="Standard"/>
        <w:jc w:val="both"/>
        <w:rPr>
          <w:b/>
          <w:bCs/>
          <w:sz w:val="24"/>
          <w:szCs w:val="24"/>
        </w:rPr>
      </w:pPr>
      <w:bookmarkStart w:id="2" w:name="_Hlk202451554"/>
      <w:r>
        <w:rPr>
          <w:b/>
          <w:bCs/>
          <w:sz w:val="24"/>
          <w:szCs w:val="24"/>
        </w:rPr>
        <w:t>Cura delle tombe dei benefattori presso il Vecchio Cimitero urbano</w:t>
      </w:r>
    </w:p>
    <w:bookmarkEnd w:id="2"/>
    <w:p w14:paraId="0AA8F80A" w14:textId="77777777" w:rsidR="00AD74CB" w:rsidRPr="00D55E86" w:rsidRDefault="00AD74CB" w:rsidP="00983A32">
      <w:pPr>
        <w:pStyle w:val="Standard"/>
        <w:jc w:val="both"/>
        <w:rPr>
          <w:sz w:val="24"/>
          <w:szCs w:val="24"/>
        </w:rPr>
      </w:pPr>
      <w:r w:rsidRPr="00D55E86">
        <w:rPr>
          <w:sz w:val="24"/>
          <w:szCs w:val="24"/>
        </w:rPr>
        <w:t xml:space="preserve">Anche </w:t>
      </w:r>
      <w:r>
        <w:rPr>
          <w:sz w:val="24"/>
          <w:szCs w:val="24"/>
        </w:rPr>
        <w:t>nello scorso ottobre, in vista della ricorrenza dei defunti di novembre, si è fatto fronte alle necessità di decoro e manutentive delle cappelle dei benefattori presso il Cimitero monumentale di Todi; in particolare un’edicola funeraria della famiglia Bacarini Morettini e due cappelle delle famiglie Bagli e De Angelis.</w:t>
      </w:r>
    </w:p>
    <w:p w14:paraId="7CD58EAF" w14:textId="77777777" w:rsidR="00472B24" w:rsidRDefault="00472B24" w:rsidP="00983A32">
      <w:pPr>
        <w:jc w:val="both"/>
        <w:rPr>
          <w:b/>
          <w:bCs/>
        </w:rPr>
      </w:pPr>
    </w:p>
    <w:p w14:paraId="4EBDFCE9" w14:textId="68D2DF83" w:rsidR="00251CF3" w:rsidRPr="00E9702A" w:rsidRDefault="00251CF3" w:rsidP="00983A32">
      <w:pPr>
        <w:jc w:val="both"/>
        <w:rPr>
          <w:b/>
          <w:bCs/>
        </w:rPr>
      </w:pPr>
      <w:r w:rsidRPr="00E9702A">
        <w:rPr>
          <w:b/>
          <w:bCs/>
        </w:rPr>
        <w:t>IMPEGNI IN OTTICA PROSPETTICA</w:t>
      </w:r>
    </w:p>
    <w:p w14:paraId="699C5B92" w14:textId="77777777" w:rsidR="00251CF3" w:rsidRPr="00E9702A" w:rsidRDefault="00251CF3" w:rsidP="00983A32">
      <w:pPr>
        <w:jc w:val="both"/>
      </w:pPr>
      <w:r w:rsidRPr="00E9702A">
        <w:t>Etab intende proseguire la propria attività con un’attenta valutazione e con un monitoraggio sistematico degli scenari che caratterizzeranno il quadro per il 2024 e per gli anni successivi, ovvero:</w:t>
      </w:r>
    </w:p>
    <w:p w14:paraId="2E71E394" w14:textId="77777777" w:rsidR="00251CF3" w:rsidRPr="00E9702A" w:rsidRDefault="00251CF3" w:rsidP="00983A32">
      <w:pPr>
        <w:jc w:val="both"/>
      </w:pPr>
      <w:r w:rsidRPr="00E9702A">
        <w:t>1.</w:t>
      </w:r>
      <w:r w:rsidRPr="00E9702A">
        <w:tab/>
        <w:t>stagnazione del mercato immobiliare,</w:t>
      </w:r>
      <w:r>
        <w:t xml:space="preserve"> in primis il mercato delle ristrutturazioni immobiliari,</w:t>
      </w:r>
      <w:r w:rsidRPr="00E9702A">
        <w:t xml:space="preserve"> con difficoltà nel disinvestire e quindi nell’investire e/o trovare le risorse per ammortizzare le passività consolidate;</w:t>
      </w:r>
    </w:p>
    <w:p w14:paraId="6234820D" w14:textId="77777777" w:rsidR="00251CF3" w:rsidRDefault="00251CF3" w:rsidP="00983A32">
      <w:pPr>
        <w:jc w:val="both"/>
      </w:pPr>
      <w:r w:rsidRPr="00E9702A">
        <w:t>2.</w:t>
      </w:r>
      <w:r w:rsidRPr="00E9702A">
        <w:tab/>
        <w:t xml:space="preserve">stabilizzazione del peso fiscale sulle rendite nette (da 22.000 Euro di ICI si è passati a 72.000 Euro di </w:t>
      </w:r>
      <w:proofErr w:type="spellStart"/>
      <w:r w:rsidRPr="00E9702A">
        <w:t>Imu</w:t>
      </w:r>
      <w:proofErr w:type="spellEnd"/>
      <w:r w:rsidRPr="00E9702A">
        <w:t xml:space="preserve"> oltre ai nuovi oneri per terreni agricoli ricadenti in zone parzialmente montane) senza maggiori benefici o detrazioni;</w:t>
      </w:r>
    </w:p>
    <w:p w14:paraId="136E0C09" w14:textId="42B8B11E" w:rsidR="00251CF3" w:rsidRPr="00E9702A" w:rsidRDefault="00164AB7" w:rsidP="00983A32">
      <w:pPr>
        <w:jc w:val="both"/>
      </w:pPr>
      <w:r w:rsidRPr="000642D1">
        <w:t>3</w:t>
      </w:r>
      <w:r w:rsidR="00B807F0" w:rsidRPr="000642D1">
        <w:t xml:space="preserve">. </w:t>
      </w:r>
      <w:r w:rsidR="000642D1">
        <w:t>n</w:t>
      </w:r>
      <w:r w:rsidR="00B807F0" w:rsidRPr="000642D1">
        <w:t>otevole aumen</w:t>
      </w:r>
      <w:r w:rsidR="00251CF3" w:rsidRPr="000642D1">
        <w:t>to</w:t>
      </w:r>
      <w:r w:rsidR="00251CF3" w:rsidRPr="00E9702A">
        <w:t xml:space="preserve"> dell’IRES su beni culturali ex art. 42/2004, con il passaggio dalla tassazione basata sulla rendita “agevolata” al concetto di rendita locativa (ridotta al 60%).</w:t>
      </w:r>
    </w:p>
    <w:p w14:paraId="7FD06A8A" w14:textId="77777777" w:rsidR="00251CF3" w:rsidRPr="00E9702A" w:rsidRDefault="00251CF3" w:rsidP="00983A32">
      <w:pPr>
        <w:jc w:val="both"/>
      </w:pPr>
      <w:r w:rsidRPr="00E9702A">
        <w:t>4.</w:t>
      </w:r>
      <w:r w:rsidRPr="00E9702A">
        <w:tab/>
        <w:t>ripresa dell’inflazione spinta dalla crisi energetica, ma anche dal prezzo delle principali materie prime in edilizia</w:t>
      </w:r>
      <w:r>
        <w:t xml:space="preserve"> (anche se la tendenza sembra arrestata)</w:t>
      </w:r>
      <w:r w:rsidRPr="00E9702A">
        <w:t>.</w:t>
      </w:r>
    </w:p>
    <w:p w14:paraId="799435F4" w14:textId="77777777" w:rsidR="00251CF3" w:rsidRPr="00E9702A" w:rsidRDefault="00251CF3" w:rsidP="00983A32">
      <w:pPr>
        <w:jc w:val="both"/>
      </w:pPr>
      <w:r w:rsidRPr="00E9702A">
        <w:lastRenderedPageBreak/>
        <w:t>Sotto altro profilo un peggioramento delle condizioni di famiglie e imprese rende necessario implementare ulteriori servizi e dare corso a investimenti che possano dar “sollievo” a parte della nostra comunità più duramente colpita (si pensi al progetto di ampliamento della Casa Famiglia o al progetto di recupero di locali per “sollievo abitativo”).</w:t>
      </w:r>
    </w:p>
    <w:p w14:paraId="45E6BB37" w14:textId="3B8AD9D6" w:rsidR="00251CF3" w:rsidRDefault="00251CF3" w:rsidP="00983A32">
      <w:pPr>
        <w:jc w:val="both"/>
      </w:pPr>
      <w:r w:rsidRPr="00E9702A">
        <w:t xml:space="preserve">Resta fermo, inoltre, l’impegno a regolarizzare vecchi espropri e usi impropri delle proprietà (es. strade Petroro e </w:t>
      </w:r>
      <w:proofErr w:type="spellStart"/>
      <w:r w:rsidRPr="00E9702A">
        <w:t>Lorgnano</w:t>
      </w:r>
      <w:proofErr w:type="spellEnd"/>
      <w:r w:rsidRPr="00E9702A">
        <w:t>, Cavalcavia a Petroro, Cimitero a Monticello, ecc…) nonché a completare il piano di regolarizzazione dei passi di accesso su strade provinciali.</w:t>
      </w:r>
    </w:p>
    <w:p w14:paraId="4EC68358" w14:textId="0DF92BE5" w:rsidR="00390865" w:rsidRDefault="00390865" w:rsidP="00983A32">
      <w:pPr>
        <w:jc w:val="both"/>
      </w:pPr>
      <w:r>
        <w:t xml:space="preserve">Si segnala al riguarda l’avvenuta regolarizzazione del </w:t>
      </w:r>
      <w:r w:rsidRPr="00E9702A">
        <w:t>Depuratore a Pantalla</w:t>
      </w:r>
      <w:r>
        <w:t>.</w:t>
      </w:r>
    </w:p>
    <w:p w14:paraId="18D2D3C9" w14:textId="6242D370" w:rsidR="00976D26" w:rsidRDefault="00976D26" w:rsidP="00976D26">
      <w:pPr>
        <w:jc w:val="both"/>
      </w:pPr>
      <w:r>
        <w:t>Si rammenta nel merito che l'opera è stata costruita direttamente dal comune di TODI nell'ambito del progetto deliberato dal comune nella seduta del 31 luglio 1980 n. 704, che prevedeva interventi con la costruzione delle opere a servizio degli impianti di depurazione nel territorio del comune di Todi località Pantalla. Con atto a rogito del Notaio Mariarosaria Russo in data 30.05.2025 l’ente a sanatoria dell’esproprio mai perfezionato, ha ceduto alle cessionarie Comune di Todi/Umbra Acque Spa (gestore delegato) il depuratore di Pantalla ai sensi della Deliberazione del CDA ETAB n. 20 del 14 marzo 2023 ai sensi e per gli effetti della legge 30 luglio 2010 n. 122.</w:t>
      </w:r>
    </w:p>
    <w:p w14:paraId="26EA6BD2" w14:textId="75CAF330" w:rsidR="00976D26" w:rsidRDefault="00976D26" w:rsidP="00976D26">
      <w:pPr>
        <w:jc w:val="both"/>
      </w:pPr>
      <w:r>
        <w:t>Attualmente sono in corso di regolarizzazione altri siti con Umbra Acque e Comune.</w:t>
      </w:r>
    </w:p>
    <w:p w14:paraId="0E6D09BE" w14:textId="699C8549" w:rsidR="00976D26" w:rsidRDefault="00976D26" w:rsidP="00983A32">
      <w:pPr>
        <w:jc w:val="both"/>
      </w:pPr>
      <w:r>
        <w:t>La Casa delle Associazioni è stata completata (lavori) e inaugurata in data 3.5.2025.</w:t>
      </w:r>
    </w:p>
    <w:p w14:paraId="3FA90446" w14:textId="21A6AFCB" w:rsidR="00251CF3" w:rsidRDefault="00251CF3" w:rsidP="00983A32">
      <w:pPr>
        <w:jc w:val="both"/>
      </w:pPr>
      <w:r>
        <w:t>Nei prossimi mesi si intende completare lo spostamento dell’archivio e</w:t>
      </w:r>
      <w:r w:rsidR="00976D26">
        <w:t>,</w:t>
      </w:r>
      <w:r>
        <w:t xml:space="preserve"> con l’apertura del Parco degli Olivi inaugurata a giugno del 2024</w:t>
      </w:r>
      <w:r w:rsidR="00976D26">
        <w:t>,</w:t>
      </w:r>
      <w:r>
        <w:t xml:space="preserve"> rafforzare la promozione del Tempio della Consolazione.</w:t>
      </w:r>
    </w:p>
    <w:p w14:paraId="5215BC5B" w14:textId="77777777" w:rsidR="00251CF3" w:rsidRDefault="00251CF3" w:rsidP="00983A32">
      <w:pPr>
        <w:jc w:val="both"/>
      </w:pPr>
      <w:r>
        <w:t>L’autorizzazione (seppur condizionata) per l’ampliamento di Palazzo Francisci apre nuovi scenari e prospettive per il gruppo famiglia (nel 2024 peraltro si dovrà approfondire il nuovo affidamento).</w:t>
      </w:r>
    </w:p>
    <w:p w14:paraId="26E7E17A" w14:textId="77777777" w:rsidR="00251CF3" w:rsidRDefault="00251CF3" w:rsidP="00983A32">
      <w:pPr>
        <w:jc w:val="both"/>
      </w:pPr>
      <w:r>
        <w:t>Gli scenari indicati del personale dipendente (v. sotto) andranno gestiti opportunamente in modo da evitare pregiudizi al conseguimento dei fini dell’ente.</w:t>
      </w:r>
    </w:p>
    <w:p w14:paraId="6E1EB9D2" w14:textId="77777777" w:rsidR="00AF131F" w:rsidRDefault="00AF131F" w:rsidP="00983A32">
      <w:pPr>
        <w:jc w:val="both"/>
      </w:pPr>
    </w:p>
    <w:p w14:paraId="6B6992A2" w14:textId="77777777" w:rsidR="00C82256" w:rsidRPr="00F34B6A" w:rsidRDefault="00C82256" w:rsidP="00C82256">
      <w:pPr>
        <w:jc w:val="center"/>
      </w:pPr>
    </w:p>
    <w:p w14:paraId="4C2B382D" w14:textId="22C64892" w:rsidR="00310D81" w:rsidRPr="00BA5E14" w:rsidRDefault="009972A6" w:rsidP="00F34B6A">
      <w:pPr>
        <w:jc w:val="center"/>
        <w:rPr>
          <w:b/>
          <w:color w:val="C00000"/>
          <w:highlight w:val="yellow"/>
        </w:rPr>
      </w:pPr>
      <w:r w:rsidRPr="00BA5E14">
        <w:rPr>
          <w:b/>
          <w:color w:val="C00000"/>
          <w:highlight w:val="yellow"/>
        </w:rPr>
        <w:t xml:space="preserve">B) </w:t>
      </w:r>
      <w:r w:rsidR="0083178A" w:rsidRPr="00BA5E14">
        <w:rPr>
          <w:b/>
          <w:color w:val="C00000"/>
          <w:highlight w:val="yellow"/>
        </w:rPr>
        <w:t xml:space="preserve">IL PATRIMONIO DI PREGIO: </w:t>
      </w:r>
    </w:p>
    <w:p w14:paraId="311702C5" w14:textId="5FF30066" w:rsidR="0083178A" w:rsidRPr="00BA5E14" w:rsidRDefault="0083178A" w:rsidP="00F34B6A">
      <w:pPr>
        <w:jc w:val="center"/>
        <w:rPr>
          <w:b/>
          <w:color w:val="C00000"/>
        </w:rPr>
      </w:pPr>
      <w:r w:rsidRPr="00BA5E14">
        <w:rPr>
          <w:b/>
          <w:color w:val="C00000"/>
          <w:highlight w:val="yellow"/>
        </w:rPr>
        <w:t>LA CONSOLA</w:t>
      </w:r>
      <w:r w:rsidR="00F41990" w:rsidRPr="00BA5E14">
        <w:rPr>
          <w:b/>
          <w:color w:val="C00000"/>
          <w:highlight w:val="yellow"/>
        </w:rPr>
        <w:t>ZIONE</w:t>
      </w:r>
      <w:r w:rsidR="00B43022" w:rsidRPr="00BA5E14">
        <w:rPr>
          <w:b/>
          <w:color w:val="C00000"/>
          <w:highlight w:val="yellow"/>
        </w:rPr>
        <w:t>,</w:t>
      </w:r>
      <w:r w:rsidR="00F41990" w:rsidRPr="00BA5E14">
        <w:rPr>
          <w:b/>
          <w:color w:val="C00000"/>
          <w:highlight w:val="yellow"/>
        </w:rPr>
        <w:t xml:space="preserve"> IL CASTELLO DI PETRORO</w:t>
      </w:r>
      <w:r w:rsidR="00B43022" w:rsidRPr="00BA5E14">
        <w:rPr>
          <w:b/>
          <w:color w:val="C00000"/>
          <w:highlight w:val="yellow"/>
        </w:rPr>
        <w:t xml:space="preserve"> E </w:t>
      </w:r>
      <w:r w:rsidR="000025E1">
        <w:rPr>
          <w:b/>
          <w:color w:val="C00000"/>
          <w:highlight w:val="yellow"/>
        </w:rPr>
        <w:t>GLI EDIFICI SCOLASTICI</w:t>
      </w:r>
    </w:p>
    <w:p w14:paraId="5AD21309" w14:textId="77777777" w:rsidR="00E171D0" w:rsidRPr="00F34B6A" w:rsidRDefault="00E171D0" w:rsidP="00F34B6A">
      <w:pPr>
        <w:jc w:val="right"/>
      </w:pPr>
    </w:p>
    <w:p w14:paraId="48312772" w14:textId="2215A4CF" w:rsidR="00C52F72" w:rsidRPr="00F34B6A" w:rsidRDefault="00C52F72" w:rsidP="00F34B6A">
      <w:pPr>
        <w:jc w:val="both"/>
      </w:pPr>
      <w:r w:rsidRPr="00F34B6A">
        <w:t>Nella gestione del patrimonio si segnalano l’approvazione di un piano di riconversioni patrimoniali</w:t>
      </w:r>
      <w:r w:rsidR="004D75A1">
        <w:t>, di cui abbiamo parlato in precedenza,</w:t>
      </w:r>
      <w:r w:rsidRPr="00F34B6A">
        <w:t xml:space="preserve"> e la richiesta al Comune di Todi di definire alcune situazioni derivanti da espropri molto datati.</w:t>
      </w:r>
    </w:p>
    <w:p w14:paraId="2DA9A865" w14:textId="447ED977" w:rsidR="00544375" w:rsidRDefault="00C52F72" w:rsidP="00CB0530">
      <w:pPr>
        <w:jc w:val="both"/>
        <w:rPr>
          <w:b/>
        </w:rPr>
      </w:pPr>
      <w:r w:rsidRPr="00F34B6A">
        <w:t xml:space="preserve">Tra </w:t>
      </w:r>
      <w:r w:rsidR="004B3965" w:rsidRPr="00F34B6A">
        <w:t>queste</w:t>
      </w:r>
      <w:r w:rsidRPr="00F34B6A">
        <w:t xml:space="preserve"> anche una permuta di cui si dirà in seguito.</w:t>
      </w:r>
      <w:r w:rsidR="00B52BC4">
        <w:t xml:space="preserve"> </w:t>
      </w:r>
      <w:r w:rsidRPr="00F34B6A">
        <w:t>Nel medesimo quadro, ultimata la demolizione del cavalcavia si sta gestendo la fase di rientro nel possesso dell</w:t>
      </w:r>
      <w:r w:rsidR="005F6775">
        <w:t>e</w:t>
      </w:r>
      <w:r w:rsidRPr="00F34B6A">
        <w:t xml:space="preserve"> aree e la definizione della viabilità di comune intese con la Provincia.</w:t>
      </w:r>
      <w:r w:rsidR="00B52BC4">
        <w:t xml:space="preserve"> </w:t>
      </w:r>
      <w:r w:rsidRPr="00F34B6A">
        <w:t xml:space="preserve">Resta da definire la proprietà e i confini con la SP 248 di Petroro – Bastardo per cui </w:t>
      </w:r>
      <w:r w:rsidR="001014F6" w:rsidRPr="00F34B6A">
        <w:t>è stato risollecitata la Regione per il tramite del servizio competente e del Difensore Civico.</w:t>
      </w:r>
    </w:p>
    <w:p w14:paraId="2F26CAD4" w14:textId="304E971B" w:rsidR="00CB0530" w:rsidRDefault="00CB0530" w:rsidP="005E33CD">
      <w:pPr>
        <w:jc w:val="both"/>
        <w:rPr>
          <w:b/>
        </w:rPr>
      </w:pPr>
    </w:p>
    <w:p w14:paraId="518744D2" w14:textId="660B6019" w:rsidR="005E33CD" w:rsidRPr="00F34B6A" w:rsidRDefault="005E33CD" w:rsidP="00983A32">
      <w:r>
        <w:rPr>
          <w:b/>
        </w:rPr>
        <w:t xml:space="preserve">1. </w:t>
      </w:r>
      <w:r w:rsidRPr="00F34B6A">
        <w:rPr>
          <w:b/>
        </w:rPr>
        <w:t xml:space="preserve"> </w:t>
      </w:r>
      <w:r>
        <w:rPr>
          <w:b/>
        </w:rPr>
        <w:t xml:space="preserve">IL TEMPIO DI SANTA MARIA DELLA CONSOLAZIONE </w:t>
      </w:r>
    </w:p>
    <w:p w14:paraId="5F41A363" w14:textId="77777777" w:rsidR="0083178A" w:rsidRPr="00F34B6A" w:rsidRDefault="0083178A" w:rsidP="00F34B6A">
      <w:pPr>
        <w:rPr>
          <w:b/>
        </w:rPr>
      </w:pPr>
    </w:p>
    <w:p w14:paraId="7425F603" w14:textId="77777777" w:rsidR="00507DBA" w:rsidRPr="00F34B6A" w:rsidRDefault="00507DBA" w:rsidP="00F34B6A">
      <w:r w:rsidRPr="00F34B6A">
        <w:rPr>
          <w:b/>
        </w:rPr>
        <w:t>ATTIVITA’ DI GESTIONE</w:t>
      </w:r>
    </w:p>
    <w:p w14:paraId="6F5BC441" w14:textId="77777777" w:rsidR="00507DBA" w:rsidRPr="00F34B6A" w:rsidRDefault="00507DBA" w:rsidP="00F34B6A">
      <w:pPr>
        <w:jc w:val="both"/>
      </w:pPr>
      <w:r w:rsidRPr="00F34B6A">
        <w:t>L’apertura al culto del Tempio è assicurata sulla base della convenzione con la Parrocchia di S. Giorgio sottoscritta nell’ottobre 2017 per la durata di anni tre dal 1.11.2017 al 31.10.2020</w:t>
      </w:r>
      <w:r w:rsidR="00B61CE8" w:rsidRPr="00F34B6A">
        <w:t xml:space="preserve">, prorogata </w:t>
      </w:r>
      <w:r w:rsidR="00AE5965" w:rsidRPr="00F34B6A">
        <w:t>nell’</w:t>
      </w:r>
      <w:r w:rsidR="00B61CE8" w:rsidRPr="00F34B6A">
        <w:t>ottobre 2020 per il periodo di ulteriori anni tre</w:t>
      </w:r>
      <w:r w:rsidRPr="00F34B6A">
        <w:t xml:space="preserve">. </w:t>
      </w:r>
      <w:r w:rsidR="00B12938" w:rsidRPr="00F34B6A">
        <w:t xml:space="preserve"> Alla scadenza è stata rinnovata per un ulteriore triennio fino al 31.10.2026.</w:t>
      </w:r>
    </w:p>
    <w:p w14:paraId="2E84D27F" w14:textId="7FFA80FD" w:rsidR="00507DBA" w:rsidRPr="00F34B6A" w:rsidRDefault="00507DBA" w:rsidP="00F34B6A">
      <w:pPr>
        <w:jc w:val="both"/>
      </w:pPr>
      <w:r w:rsidRPr="00F34B6A">
        <w:t>Detta convenzione prevede in sintesi:</w:t>
      </w:r>
    </w:p>
    <w:p w14:paraId="388C26BB" w14:textId="16211861" w:rsidR="008F06D1" w:rsidRPr="00F34B6A" w:rsidRDefault="00507DBA" w:rsidP="00F34B6A">
      <w:pPr>
        <w:jc w:val="both"/>
      </w:pPr>
      <w:r w:rsidRPr="00F34B6A">
        <w:t>•</w:t>
      </w:r>
      <w:r w:rsidRPr="00F34B6A">
        <w:tab/>
        <w:t>Una durata di tre anni con termine al 31 ottobre 202</w:t>
      </w:r>
      <w:r w:rsidR="003A499E">
        <w:t>6</w:t>
      </w:r>
      <w:r w:rsidRPr="00F34B6A">
        <w:t>;</w:t>
      </w:r>
    </w:p>
    <w:p w14:paraId="73B6B08B" w14:textId="47E4B4FE" w:rsidR="008F06D1" w:rsidRPr="00F34B6A" w:rsidRDefault="008F06D1" w:rsidP="00F34B6A">
      <w:pPr>
        <w:jc w:val="both"/>
      </w:pPr>
      <w:r w:rsidRPr="00F34B6A">
        <w:t>•</w:t>
      </w:r>
      <w:r w:rsidRPr="00F34B6A">
        <w:tab/>
        <w:t>un aumento del contributo accordato alla parrocchia per l’apertura sul triennio: Euro 2</w:t>
      </w:r>
      <w:r w:rsidR="00B12938" w:rsidRPr="00F34B6A">
        <w:t>3</w:t>
      </w:r>
      <w:r w:rsidRPr="00F34B6A">
        <w:t xml:space="preserve"> mila nel primo anno, Euro 2</w:t>
      </w:r>
      <w:r w:rsidR="00B12938" w:rsidRPr="00F34B6A">
        <w:t>4</w:t>
      </w:r>
      <w:r w:rsidRPr="00F34B6A">
        <w:t xml:space="preserve"> mila nel secondo anno ed Euro 2</w:t>
      </w:r>
      <w:r w:rsidR="00B12938" w:rsidRPr="00F34B6A">
        <w:t>5</w:t>
      </w:r>
      <w:r w:rsidRPr="00F34B6A">
        <w:t xml:space="preserve"> mila per terzo anno per un totale di Euro</w:t>
      </w:r>
      <w:r w:rsidR="00C46850" w:rsidRPr="00F34B6A">
        <w:t xml:space="preserve"> 72 mila (</w:t>
      </w:r>
      <w:r w:rsidRPr="00F34B6A">
        <w:t xml:space="preserve">contro una liberalità dell’ultimo triennio di </w:t>
      </w:r>
      <w:r w:rsidR="00C46850" w:rsidRPr="00F34B6A">
        <w:t xml:space="preserve">Euro 66 mila e ancor prima di </w:t>
      </w:r>
      <w:r w:rsidRPr="00F34B6A">
        <w:t>Euro 58</w:t>
      </w:r>
      <w:r w:rsidR="00C46850" w:rsidRPr="00F34B6A">
        <w:t xml:space="preserve"> mila</w:t>
      </w:r>
      <w:r w:rsidRPr="00F34B6A">
        <w:t>).</w:t>
      </w:r>
    </w:p>
    <w:p w14:paraId="0375795E" w14:textId="77777777" w:rsidR="00FE631D" w:rsidRPr="00F34B6A" w:rsidRDefault="00FE631D" w:rsidP="00F34B6A">
      <w:pPr>
        <w:rPr>
          <w:b/>
          <w:color w:val="FF0000"/>
        </w:rPr>
      </w:pPr>
    </w:p>
    <w:p w14:paraId="4CBDC7D7" w14:textId="77777777" w:rsidR="00E171D0" w:rsidRPr="00F34B6A" w:rsidRDefault="00FF0B41" w:rsidP="00F34B6A">
      <w:r w:rsidRPr="00F34B6A">
        <w:rPr>
          <w:b/>
        </w:rPr>
        <w:t>ATTIVITA</w:t>
      </w:r>
      <w:r w:rsidR="00E171D0" w:rsidRPr="00F34B6A">
        <w:rPr>
          <w:b/>
        </w:rPr>
        <w:t xml:space="preserve">’ DI </w:t>
      </w:r>
      <w:r w:rsidRPr="00F34B6A">
        <w:rPr>
          <w:b/>
        </w:rPr>
        <w:t>PROMOZIONE E</w:t>
      </w:r>
      <w:r w:rsidR="00E171D0" w:rsidRPr="00F34B6A">
        <w:rPr>
          <w:b/>
        </w:rPr>
        <w:t xml:space="preserve"> VALORIZZAZIONE DEL TEMPIO</w:t>
      </w:r>
    </w:p>
    <w:p w14:paraId="27A861E4" w14:textId="77777777" w:rsidR="00E171D0" w:rsidRPr="00F34B6A" w:rsidRDefault="00E171D0" w:rsidP="00F34B6A">
      <w:pPr>
        <w:jc w:val="both"/>
      </w:pPr>
      <w:r w:rsidRPr="00F34B6A">
        <w:lastRenderedPageBreak/>
        <w:t xml:space="preserve">Con il preciso intento di richiamare attenzione, </w:t>
      </w:r>
      <w:r w:rsidR="00FF0B41" w:rsidRPr="00F34B6A">
        <w:t>considerazione ed</w:t>
      </w:r>
      <w:r w:rsidRPr="00F34B6A">
        <w:t xml:space="preserve"> ammirazione nei confronti del Tempio e di promuoverne la conoscenza e </w:t>
      </w:r>
      <w:r w:rsidR="00FF0B41" w:rsidRPr="00F34B6A">
        <w:t>magari favorire qualche</w:t>
      </w:r>
      <w:r w:rsidRPr="00F34B6A">
        <w:t xml:space="preserve"> iniziativa di </w:t>
      </w:r>
      <w:r w:rsidR="00FF0B41" w:rsidRPr="00F34B6A">
        <w:t>tutela da</w:t>
      </w:r>
      <w:r w:rsidRPr="00F34B6A">
        <w:t xml:space="preserve"> parte </w:t>
      </w:r>
      <w:r w:rsidR="00FF0B41" w:rsidRPr="00F34B6A">
        <w:t>di aziende</w:t>
      </w:r>
      <w:r w:rsidRPr="00F34B6A">
        <w:t xml:space="preserve"> o di organismi internazionali, sono state promosse </w:t>
      </w:r>
      <w:r w:rsidR="00FF0B41" w:rsidRPr="00F34B6A">
        <w:t>numerose attività</w:t>
      </w:r>
      <w:r w:rsidRPr="00F34B6A">
        <w:t>, tra le qua</w:t>
      </w:r>
      <w:r w:rsidR="00BC27DF" w:rsidRPr="00F34B6A">
        <w:t xml:space="preserve">li si citano la tradizionale e centenaria </w:t>
      </w:r>
      <w:r w:rsidRPr="00F34B6A">
        <w:t xml:space="preserve">Festa della Consolazione (8 </w:t>
      </w:r>
      <w:r w:rsidR="00FF0B41" w:rsidRPr="00F34B6A">
        <w:t>Settembre</w:t>
      </w:r>
      <w:r w:rsidRPr="00F34B6A">
        <w:t xml:space="preserve">). </w:t>
      </w:r>
    </w:p>
    <w:p w14:paraId="01C0390E" w14:textId="5F6045D4" w:rsidR="001152C0" w:rsidRPr="001152C0" w:rsidRDefault="00B52BC4" w:rsidP="001152C0">
      <w:pPr>
        <w:jc w:val="both"/>
        <w:rPr>
          <w:i/>
          <w:iCs/>
        </w:rPr>
      </w:pPr>
      <w:r>
        <w:t>In data</w:t>
      </w:r>
      <w:r w:rsidR="004A371E" w:rsidRPr="00F34B6A">
        <w:t xml:space="preserve"> </w:t>
      </w:r>
      <w:r w:rsidR="00C46850" w:rsidRPr="001152C0">
        <w:rPr>
          <w:b/>
          <w:bCs/>
        </w:rPr>
        <w:t>25.10.2023</w:t>
      </w:r>
      <w:r w:rsidR="004A371E" w:rsidRPr="00F34B6A">
        <w:t xml:space="preserve"> è stat</w:t>
      </w:r>
      <w:r w:rsidR="00C46850" w:rsidRPr="00F34B6A">
        <w:t>o</w:t>
      </w:r>
      <w:r>
        <w:t xml:space="preserve"> </w:t>
      </w:r>
      <w:r w:rsidR="00C46850" w:rsidRPr="00F34B6A">
        <w:t xml:space="preserve">approvato </w:t>
      </w:r>
      <w:r w:rsidR="004A371E" w:rsidRPr="00F34B6A">
        <w:t>l’evento</w:t>
      </w:r>
      <w:r>
        <w:t xml:space="preserve"> </w:t>
      </w:r>
      <w:r w:rsidR="001152C0" w:rsidRPr="00F34B6A">
        <w:t>Biennale di Todi 2024</w:t>
      </w:r>
      <w:r w:rsidR="001152C0">
        <w:t xml:space="preserve"> di cui alla Deliberazione di Giunta Comunale n° 244 del </w:t>
      </w:r>
      <w:r w:rsidR="001152C0" w:rsidRPr="001152C0">
        <w:rPr>
          <w:b/>
          <w:bCs/>
        </w:rPr>
        <w:t>20/07/2023</w:t>
      </w:r>
      <w:r w:rsidR="001152C0">
        <w:t xml:space="preserve"> avente per Oggetto: </w:t>
      </w:r>
      <w:r w:rsidR="001152C0" w:rsidRPr="001152C0">
        <w:rPr>
          <w:i/>
          <w:iCs/>
        </w:rPr>
        <w:t>CONCESSIONE PATROCINIO ED USO LOGO CITTÀ DI TODI A TOWER GALLERY SRLS PER REALIZZAZIONE DELLA 2° EDIZIONE "BIENNALE DI TODI". FEBBRAIO 2024</w:t>
      </w:r>
      <w:r w:rsidR="001152C0" w:rsidRPr="001152C0">
        <w:t>con cui il Comune di Todi ha, tra l’altro, concesso</w:t>
      </w:r>
      <w:r w:rsidR="001152C0" w:rsidRPr="001152C0">
        <w:rPr>
          <w:i/>
          <w:iCs/>
        </w:rPr>
        <w:t xml:space="preserve"> il patrocinio a Tower Gallery s.r.l. di Diego Costantini per la 2° edizione</w:t>
      </w:r>
      <w:r w:rsidR="006E60BC">
        <w:rPr>
          <w:i/>
          <w:iCs/>
        </w:rPr>
        <w:t xml:space="preserve"> </w:t>
      </w:r>
      <w:r w:rsidR="001152C0" w:rsidRPr="001152C0">
        <w:rPr>
          <w:i/>
          <w:iCs/>
        </w:rPr>
        <w:t>della “Biennale di Todi” la cui realizzazione è prevista nel mese di febbraio 2024</w:t>
      </w:r>
      <w:r w:rsidR="001152C0">
        <w:rPr>
          <w:i/>
          <w:iCs/>
        </w:rPr>
        <w:t>.</w:t>
      </w:r>
    </w:p>
    <w:p w14:paraId="46597DAA" w14:textId="77777777" w:rsidR="00763983" w:rsidRPr="00F34B6A" w:rsidRDefault="00763983" w:rsidP="00F34B6A">
      <w:pPr>
        <w:jc w:val="both"/>
      </w:pPr>
      <w:r w:rsidRPr="00F34B6A">
        <w:t>Il progetto della Biennale di Todi nasce dall’idea del gallerista e antiquario Diego Costantini di portare l’arte negli spazi aperti della città di Todi, con un’azione che arricchisca i luoghi di significati unici e inattesi.</w:t>
      </w:r>
    </w:p>
    <w:p w14:paraId="7236C9B5" w14:textId="3BBFBC54" w:rsidR="00763983" w:rsidRDefault="00763983" w:rsidP="00F34B6A">
      <w:pPr>
        <w:jc w:val="both"/>
      </w:pPr>
      <w:r w:rsidRPr="00F34B6A">
        <w:t xml:space="preserve">Simbolo della città e capolavoro rinascimentale mondiale è il Tempio di Santa Maria della Consolazione, luogo prescelto per ospitare, nello spazio antistante, una grande installazione ambientale selezionata da una giuria di esponenti del mondo dell’arte che, partendo proprio del Tempio </w:t>
      </w:r>
      <w:r w:rsidR="00DA29CE">
        <w:t>ruota</w:t>
      </w:r>
      <w:r w:rsidRPr="00F34B6A">
        <w:t xml:space="preserve"> di volta in volta intorno al concetto di Consolazione nelle sue vaste </w:t>
      </w:r>
      <w:proofErr w:type="spellStart"/>
      <w:r w:rsidRPr="00F34B6A">
        <w:t>retazioni</w:t>
      </w:r>
      <w:proofErr w:type="spellEnd"/>
      <w:r w:rsidRPr="00F34B6A">
        <w:t xml:space="preserve"> e sfumature.</w:t>
      </w:r>
      <w:r w:rsidR="00C46850" w:rsidRPr="00F34B6A">
        <w:t xml:space="preserve"> </w:t>
      </w:r>
    </w:p>
    <w:p w14:paraId="3AE52BA0" w14:textId="540F46E8" w:rsidR="009062BD" w:rsidRDefault="009062BD" w:rsidP="00F34B6A">
      <w:pPr>
        <w:jc w:val="both"/>
      </w:pPr>
      <w:r>
        <w:t xml:space="preserve">In </w:t>
      </w:r>
      <w:r w:rsidR="00FB3729">
        <w:t>q</w:t>
      </w:r>
      <w:r>
        <w:t>uest</w:t>
      </w:r>
      <w:r w:rsidR="00FB3729">
        <w:t>a</w:t>
      </w:r>
      <w:r>
        <w:t xml:space="preserve"> ottica si pongono la partecipazione al Bando della Fondazione TIM con il </w:t>
      </w:r>
      <w:r w:rsidR="006E60BC">
        <w:t>“P</w:t>
      </w:r>
      <w:r>
        <w:t xml:space="preserve">arco degli </w:t>
      </w:r>
      <w:r w:rsidR="006E60BC">
        <w:t>U</w:t>
      </w:r>
      <w:r>
        <w:t>livi</w:t>
      </w:r>
      <w:r w:rsidR="006E60BC">
        <w:t>”</w:t>
      </w:r>
      <w:r>
        <w:t xml:space="preserve"> e interessanti iniziative multimediali, la partecipazione al bando del Ministero della Cultura con un progetto per fotolibro (fotografie di Federico Strinati) </w:t>
      </w:r>
      <w:r w:rsidR="00B40326">
        <w:t>che ha ottenuto il contributo di Euro 1.586,31 (cfr. Domanda n. PUB24-000933 Linea di contributo: 2024 - CONVEGNI E PUBBLICAZIONI/Modulistica pubblicazioni presso il Ministero della cultura (</w:t>
      </w:r>
      <w:proofErr w:type="spellStart"/>
      <w:r w:rsidR="00B40326">
        <w:t>MiC</w:t>
      </w:r>
      <w:proofErr w:type="spellEnd"/>
      <w:r w:rsidR="00B40326">
        <w:t>), Direzione Generale Educazione, ricerca e istituti culturali ex art.15 del DPCM 2 dicembre 2019 n. 169)</w:t>
      </w:r>
      <w:r>
        <w:t>.</w:t>
      </w:r>
    </w:p>
    <w:p w14:paraId="4572AFDF" w14:textId="4F916525" w:rsidR="00331F90" w:rsidRDefault="00331F90" w:rsidP="00F34B6A">
      <w:pPr>
        <w:jc w:val="both"/>
      </w:pPr>
      <w:r>
        <w:t>Per l’edizione 2024 della festa è stato approvato un piano editoriale con PIEMME che ha portato in particolare a promuovere la festa della Consolazione e la Biennale Todi Città del Violino.</w:t>
      </w:r>
    </w:p>
    <w:p w14:paraId="7B375459" w14:textId="64F4841D" w:rsidR="00331F90" w:rsidRDefault="00331F90" w:rsidP="00F34B6A">
      <w:pPr>
        <w:jc w:val="both"/>
      </w:pPr>
      <w:r>
        <w:t>In particolare è stato approvato il seguente piano:</w:t>
      </w:r>
    </w:p>
    <w:p w14:paraId="168A23C9" w14:textId="77777777" w:rsidR="00331F90" w:rsidRPr="00331F90" w:rsidRDefault="00331F90" w:rsidP="00331F90">
      <w:r w:rsidRPr="00331F90">
        <w:t xml:space="preserve">Geo Localizzazione CENTRO ITALIA (Lazio + Umbria + Marche + Abruzzo + Bassa Toscana) - 1.000.000 </w:t>
      </w:r>
      <w:proofErr w:type="spellStart"/>
      <w:r w:rsidRPr="00331F90">
        <w:t>impression</w:t>
      </w:r>
      <w:proofErr w:type="spellEnd"/>
      <w:r w:rsidRPr="00331F90">
        <w:t xml:space="preserve"> su Content Feed Banner compreso con il Native durata un mese ( il Native rimane però visibile per 12 mesi. )</w:t>
      </w:r>
    </w:p>
    <w:p w14:paraId="4C8B88D2" w14:textId="77777777" w:rsidR="00331F90" w:rsidRPr="00331F90" w:rsidRDefault="00331F90" w:rsidP="00331F90">
      <w:r w:rsidRPr="00331F90">
        <w:t>Nr. 2 campagne SOCIAL NETWORK ADVERPOST (Lancio di un post sponsorizzato)</w:t>
      </w:r>
    </w:p>
    <w:p w14:paraId="200CBFFA" w14:textId="77777777" w:rsidR="00331F90" w:rsidRPr="00331F90" w:rsidRDefault="00331F90" w:rsidP="00331F90">
      <w:r w:rsidRPr="00331F90">
        <w:t>Fanpage IL MESSAGGERO Nazionale - Geo Localizzazione Centro Italia - Profilazione Utenti (Sesso, Età, Profilo Sociodemografico, Interessi)</w:t>
      </w:r>
    </w:p>
    <w:p w14:paraId="242D8B93" w14:textId="77777777" w:rsidR="00331F90" w:rsidRPr="00331F90" w:rsidRDefault="00331F90" w:rsidP="00331F90">
      <w:r w:rsidRPr="00331F90">
        <w:t>N° 2 Pagine su Famiglia Cristiana</w:t>
      </w:r>
    </w:p>
    <w:p w14:paraId="02505143" w14:textId="77777777" w:rsidR="00331F90" w:rsidRPr="00331F90" w:rsidRDefault="00331F90" w:rsidP="00331F90">
      <w:r w:rsidRPr="00331F90">
        <w:t>Nr. 4 avvisi formato pagina (300 x 428 mm) su Il Messaggero Ed. Umbria</w:t>
      </w:r>
    </w:p>
    <w:p w14:paraId="5E4A160F" w14:textId="77777777" w:rsidR="00331F90" w:rsidRPr="00331F90" w:rsidRDefault="00331F90" w:rsidP="00331F90">
      <w:r w:rsidRPr="00331F90">
        <w:t>Nr. 2 avvisi formato mezza pagina (300 x 203 mm) su Il Messaggero Ed. Roma</w:t>
      </w:r>
    </w:p>
    <w:p w14:paraId="5A4959A0" w14:textId="3D66D1FE" w:rsidR="00331F90" w:rsidRDefault="00331F90" w:rsidP="00F34B6A">
      <w:pPr>
        <w:jc w:val="both"/>
      </w:pPr>
      <w:r>
        <w:t>Sono stati inoltre accordati su Leggo e il Corriere della Sera alcuni spazi per cui fu promosso il Requiem dell’Accademia Perusina.</w:t>
      </w:r>
    </w:p>
    <w:p w14:paraId="78922F3F" w14:textId="77777777" w:rsidR="009B182F" w:rsidRDefault="009B182F" w:rsidP="00F34B6A">
      <w:pPr>
        <w:jc w:val="both"/>
      </w:pPr>
    </w:p>
    <w:p w14:paraId="690E66A3" w14:textId="77777777" w:rsidR="009B182F" w:rsidRPr="00F34B6A" w:rsidRDefault="009B182F" w:rsidP="009B182F">
      <w:pPr>
        <w:pStyle w:val="Standard"/>
        <w:jc w:val="both"/>
        <w:rPr>
          <w:b/>
          <w:bCs/>
          <w:sz w:val="24"/>
          <w:szCs w:val="24"/>
        </w:rPr>
      </w:pPr>
      <w:r w:rsidRPr="00F34B6A">
        <w:rPr>
          <w:b/>
          <w:bCs/>
          <w:sz w:val="24"/>
          <w:szCs w:val="24"/>
        </w:rPr>
        <w:t>FESTA</w:t>
      </w:r>
      <w:r>
        <w:rPr>
          <w:b/>
          <w:bCs/>
          <w:sz w:val="24"/>
          <w:szCs w:val="24"/>
        </w:rPr>
        <w:t xml:space="preserve"> DI SANTA MARIA </w:t>
      </w:r>
      <w:r w:rsidRPr="00F34B6A">
        <w:rPr>
          <w:b/>
          <w:bCs/>
          <w:sz w:val="24"/>
          <w:szCs w:val="24"/>
        </w:rPr>
        <w:t xml:space="preserve"> DELLA CONSOLAZIONE ED EVENTI COLLEGATI</w:t>
      </w:r>
    </w:p>
    <w:p w14:paraId="6884696F" w14:textId="77777777" w:rsidR="009B182F" w:rsidRDefault="009B182F" w:rsidP="009B182F">
      <w:pPr>
        <w:jc w:val="both"/>
      </w:pPr>
      <w:r>
        <w:t>Come ogni anno si è tenuta la Festa della Consolazione 2024 e il Festival di Musica Sacra.</w:t>
      </w:r>
    </w:p>
    <w:p w14:paraId="3ACDA895" w14:textId="77777777" w:rsidR="009B182F" w:rsidRDefault="009B182F" w:rsidP="009B182F">
      <w:pPr>
        <w:jc w:val="both"/>
      </w:pPr>
      <w:r>
        <w:t>Questa antica rassegna, patrocinata dal Comune di Todi, dalla Regione Umbria, dalla CCIAA dell'Umbria, dal Pontificio Istituto di Musica Sacra e da tanti altri, rappresenta un momento di gioia e condivisione per la comunità tuderte e per i tanti ospiti che dopo il Todi Festival decidono di prolungare la propria presenza a Todi.</w:t>
      </w:r>
    </w:p>
    <w:p w14:paraId="7EC92D1F" w14:textId="77777777" w:rsidR="009B182F" w:rsidRDefault="009B182F" w:rsidP="009B182F">
      <w:pPr>
        <w:jc w:val="both"/>
      </w:pPr>
      <w:r>
        <w:t>La festa prenderà si è svolta dal 5 settembre con il programma religioso.</w:t>
      </w:r>
    </w:p>
    <w:p w14:paraId="06D50C08" w14:textId="77777777" w:rsidR="009B182F" w:rsidRDefault="009B182F" w:rsidP="009B182F">
      <w:pPr>
        <w:jc w:val="both"/>
      </w:pPr>
      <w:r>
        <w:t>Il 6 e il 7 settembre, le serate saranno hanno visto esibizioni di elevato livello culturale, dove artisti rinomati si esibiranno per regalare al pubblico esperienze musicali indimenticabili.</w:t>
      </w:r>
    </w:p>
    <w:p w14:paraId="363B357F" w14:textId="77777777" w:rsidR="009B182F" w:rsidRDefault="009B182F" w:rsidP="009B182F">
      <w:pPr>
        <w:jc w:val="both"/>
      </w:pPr>
      <w:r>
        <w:t>L’attesissimo concorso fotografico” Polvere di Stelle sulla Consolazione” (giunto alla dodicesima edizione) e quello di poesia (giunto alla decima edizione) hanno avuto importante risalto.</w:t>
      </w:r>
    </w:p>
    <w:p w14:paraId="18801185" w14:textId="77777777" w:rsidR="009B182F" w:rsidRDefault="009B182F" w:rsidP="009B182F">
      <w:pPr>
        <w:jc w:val="both"/>
      </w:pPr>
      <w:r>
        <w:t>I premi per l’anno 2024 sono stati realizzati dai ragazzi dell’IIS Ciuffelli Einaudi (1 CAT).</w:t>
      </w:r>
    </w:p>
    <w:p w14:paraId="042CE0A1" w14:textId="77777777" w:rsidR="009B182F" w:rsidRDefault="009B182F" w:rsidP="009B182F">
      <w:pPr>
        <w:jc w:val="both"/>
      </w:pPr>
      <w:r w:rsidRPr="009B281D">
        <w:lastRenderedPageBreak/>
        <w:t>Con questi eventi Etab continua a impegnarsi per promuovere la solidarietà, l'arte e la cultura nella comunità di Todi e si impegna a sostenere iniziative benefiche che contribuiscono al benessere di tutti i suoi cittadini.</w:t>
      </w:r>
    </w:p>
    <w:p w14:paraId="48B234A3" w14:textId="77777777" w:rsidR="009B182F" w:rsidRPr="009B281D" w:rsidRDefault="009B182F" w:rsidP="009B182F">
      <w:pPr>
        <w:jc w:val="both"/>
      </w:pPr>
      <w:r>
        <w:t>Durante l’edizione 2024 è stato esposto il modello architettonico realizzato dall’Ambasciatore S.E. Stefano Benazzo.</w:t>
      </w:r>
    </w:p>
    <w:p w14:paraId="779A3B3C" w14:textId="77777777" w:rsidR="009B182F" w:rsidRDefault="009B182F" w:rsidP="009B182F">
      <w:pPr>
        <w:jc w:val="both"/>
      </w:pPr>
      <w:r>
        <w:t>Con largo anticipo è stato approvato il programma per la festa dell’anno 2025.</w:t>
      </w:r>
    </w:p>
    <w:p w14:paraId="0AC66E7E" w14:textId="77777777" w:rsidR="009B182F" w:rsidRDefault="009B182F" w:rsidP="009B182F">
      <w:pPr>
        <w:jc w:val="both"/>
      </w:pPr>
    </w:p>
    <w:p w14:paraId="34327802" w14:textId="10FE0A1B" w:rsidR="009B182F" w:rsidRPr="009B182F" w:rsidRDefault="009B182F" w:rsidP="009B182F">
      <w:pPr>
        <w:jc w:val="both"/>
        <w:rPr>
          <w:b/>
          <w:bCs/>
        </w:rPr>
      </w:pPr>
      <w:r w:rsidRPr="009B182F">
        <w:rPr>
          <w:b/>
          <w:bCs/>
        </w:rPr>
        <w:t xml:space="preserve">Esposizione dei Reliquiari testimoni della nostra tradizione spirituale. </w:t>
      </w:r>
    </w:p>
    <w:p w14:paraId="5F4CA82C" w14:textId="44673198" w:rsidR="009B182F" w:rsidRDefault="009B182F" w:rsidP="009B182F">
      <w:pPr>
        <w:jc w:val="both"/>
      </w:pPr>
      <w:r>
        <w:t xml:space="preserve">Dalla scorsa celebrazione dei Santi sono stati spostati dagli uffici amministrativi ed esposti i </w:t>
      </w:r>
      <w:r>
        <w:t xml:space="preserve"> RELIQUIARI </w:t>
      </w:r>
      <w:r>
        <w:t>(</w:t>
      </w:r>
      <w:r>
        <w:t>a partire dalla Messa Solenne del giorno 1.11.2024 ore 10 e fino al giorno 2.11.2024</w:t>
      </w:r>
      <w:r>
        <w:t>) previa autorizzazione della Soprintendenza.</w:t>
      </w:r>
    </w:p>
    <w:p w14:paraId="0DC31A27" w14:textId="77777777" w:rsidR="009B182F" w:rsidRDefault="009B182F" w:rsidP="009B182F">
      <w:pPr>
        <w:jc w:val="both"/>
      </w:pPr>
    </w:p>
    <w:p w14:paraId="4650EDA2" w14:textId="09C657F9" w:rsidR="00953D9E" w:rsidRPr="00953D9E" w:rsidRDefault="00953D9E" w:rsidP="00F34B6A">
      <w:pPr>
        <w:jc w:val="both"/>
        <w:rPr>
          <w:b/>
          <w:bCs/>
        </w:rPr>
      </w:pPr>
      <w:r w:rsidRPr="00953D9E">
        <w:rPr>
          <w:b/>
          <w:bCs/>
        </w:rPr>
        <w:t xml:space="preserve">RESTAURO DELLA STATUA DI </w:t>
      </w:r>
      <w:r w:rsidR="004E33E6">
        <w:rPr>
          <w:b/>
          <w:bCs/>
        </w:rPr>
        <w:t>UN APOSTOLO</w:t>
      </w:r>
      <w:r w:rsidR="00B52BC4">
        <w:rPr>
          <w:b/>
          <w:bCs/>
        </w:rPr>
        <w:t xml:space="preserve"> </w:t>
      </w:r>
      <w:r w:rsidR="009E7280">
        <w:rPr>
          <w:b/>
          <w:bCs/>
        </w:rPr>
        <w:t>CROLLATA A SEGUITO DELLE</w:t>
      </w:r>
      <w:r w:rsidR="00A06521">
        <w:rPr>
          <w:b/>
          <w:bCs/>
        </w:rPr>
        <w:t xml:space="preserve"> CRISI SISMICHE DEL 2016</w:t>
      </w:r>
      <w:r w:rsidRPr="00953D9E">
        <w:rPr>
          <w:b/>
          <w:bCs/>
        </w:rPr>
        <w:t>.</w:t>
      </w:r>
    </w:p>
    <w:p w14:paraId="114A886C" w14:textId="101E74AD" w:rsidR="004E33E6" w:rsidRDefault="004E33E6" w:rsidP="004E33E6">
      <w:pPr>
        <w:jc w:val="both"/>
      </w:pPr>
      <w:r>
        <w:t>si è concluso in data 24 giugno 2025, il restauro di una delle dodici statue degli apostoli custodite all'interno del magnifico Tempio della Consolazione di Todi. Unica statua Danneggiata dal sisma del 2016, l'opera torna ora al suo antico splendore grazie all'intervento esperto della ditta Magistri SRL di Milano. La statua, attribuita alla Scuola di Ippolito Scalza e parte integrante del ricco patrimonio artistico del Tempio, ha subito gravi danni a seguito delle oscillazioni telluriche. La caduta, dovuta al cedimento del palo ligneo interno al nucleo murario marcio, ha causato la frantumazione delle parti sommitali (testa e braccia) e l'ulteriore schiacciamento da parte del blocco medio-inferiore. La natura eterogenea del manufatto ha purtroppo favorito la polverizzazione di parti consistenti e caratterizzanti dell'opera. Il restauro, con un quadro economico di circa 50 mila euro (comprensivo di progettazione e somme a disposizione), è stato reso possibile grazie alla preziosa collaborazione della Soprintendenza, in particolare della Dr.ssa Stefania Furelli, e al contributo del coordinatore dei restauri Eros Zanotti.</w:t>
      </w:r>
    </w:p>
    <w:p w14:paraId="61A6FA6E" w14:textId="59EEF191" w:rsidR="004E33E6" w:rsidRDefault="004E33E6" w:rsidP="004E33E6">
      <w:pPr>
        <w:jc w:val="both"/>
      </w:pPr>
      <w:r>
        <w:t>Questo restauro non solo ripristina la bellezza di un'opera d'arte fondamentale, ma rappresenta anche un importante intervento di conservazione e valorizzazione del patrimonio artistico del Tempio della Consolazione, uno dei simboli architettonici e culturali più significativi della città di Todi.</w:t>
      </w:r>
    </w:p>
    <w:p w14:paraId="5DE240D3" w14:textId="77777777" w:rsidR="004E33E6" w:rsidRDefault="004E33E6" w:rsidP="004E33E6">
      <w:pPr>
        <w:jc w:val="both"/>
      </w:pPr>
      <w:r>
        <w:t>Il riposizionamento del troncone del manufatto, avvenuto l'11 marzo 2025, ha segnato un passo fondamentale (seppur il più complesso) nel percorso di restauro, che ora giunge felicemente a compimento.</w:t>
      </w:r>
    </w:p>
    <w:p w14:paraId="16994D51" w14:textId="1805D442" w:rsidR="004E33E6" w:rsidRDefault="004E33E6" w:rsidP="004E33E6">
      <w:pPr>
        <w:jc w:val="both"/>
      </w:pPr>
      <w:r>
        <w:t>Il giorno 5 luglio 2025 alle ore 18,45 presso la Chiesa della Consolazione il restauro è stato presentato alla cittadinanza.</w:t>
      </w:r>
    </w:p>
    <w:p w14:paraId="38B13933" w14:textId="77777777" w:rsidR="004E33E6" w:rsidRPr="00F34B6A" w:rsidRDefault="004E33E6" w:rsidP="00F34B6A">
      <w:pPr>
        <w:jc w:val="both"/>
      </w:pPr>
    </w:p>
    <w:p w14:paraId="49A19769" w14:textId="77777777" w:rsidR="00DA0652" w:rsidRPr="00F34B6A" w:rsidRDefault="00DA0652" w:rsidP="00F34B6A">
      <w:pPr>
        <w:jc w:val="both"/>
        <w:rPr>
          <w:b/>
          <w:bCs/>
        </w:rPr>
      </w:pPr>
      <w:r w:rsidRPr="00F34B6A">
        <w:rPr>
          <w:b/>
          <w:bCs/>
        </w:rPr>
        <w:t>LE RICERCHE ACCADEMICHE</w:t>
      </w:r>
    </w:p>
    <w:p w14:paraId="0C73E84E" w14:textId="46198A7F" w:rsidR="00DA0652" w:rsidRPr="00176913" w:rsidRDefault="004E33E6" w:rsidP="00F34B6A">
      <w:pPr>
        <w:jc w:val="both"/>
      </w:pPr>
      <w:r>
        <w:t xml:space="preserve">Nel corso del periodo considerato oltre al progetto editoriale con </w:t>
      </w:r>
      <w:proofErr w:type="spellStart"/>
      <w:r>
        <w:t>Cevol</w:t>
      </w:r>
      <w:proofErr w:type="spellEnd"/>
      <w:r>
        <w:t>, i contatti con il mondo accademico si sono limitati a quanto necessario per il completamento dei lavori della Statua.</w:t>
      </w:r>
    </w:p>
    <w:p w14:paraId="02F1DD04" w14:textId="4123AD48" w:rsidR="00DA0652" w:rsidRDefault="004E33E6" w:rsidP="00B52BC4">
      <w:pPr>
        <w:jc w:val="both"/>
      </w:pPr>
      <w:r>
        <w:t xml:space="preserve">In </w:t>
      </w:r>
      <w:r w:rsidR="001F7EB1">
        <w:t>settembre</w:t>
      </w:r>
      <w:r>
        <w:t xml:space="preserve">/ottobre (Umbria Libri) è stata </w:t>
      </w:r>
      <w:r w:rsidR="00B52BC4">
        <w:t>presenta</w:t>
      </w:r>
      <w:r>
        <w:t>ta</w:t>
      </w:r>
      <w:r w:rsidR="00B52BC4">
        <w:t xml:space="preserve"> </w:t>
      </w:r>
      <w:r>
        <w:t>la</w:t>
      </w:r>
      <w:r w:rsidR="00DA0652" w:rsidRPr="00F34B6A">
        <w:t xml:space="preserve"> pubblicazione </w:t>
      </w:r>
      <w:r w:rsidR="00B52BC4">
        <w:t>relativ</w:t>
      </w:r>
      <w:r>
        <w:t>a</w:t>
      </w:r>
      <w:r w:rsidR="00B52BC4">
        <w:t xml:space="preserve"> allo studio della Dr.ssa Michela Iachettini</w:t>
      </w:r>
      <w:r w:rsidR="00DA0652" w:rsidRPr="00F34B6A">
        <w:t>.</w:t>
      </w:r>
    </w:p>
    <w:p w14:paraId="63F30ED5" w14:textId="77777777" w:rsidR="004E33E6" w:rsidRPr="004E33E6" w:rsidRDefault="004E33E6" w:rsidP="004E33E6">
      <w:pPr>
        <w:jc w:val="both"/>
      </w:pPr>
      <w:r w:rsidRPr="004E33E6">
        <w:t>La tesi sarà arricchita da uno studio mai fatto prima grazie alle nuove tecnologie; lo scorso 31 luglio infatti il prof. Tommaso Empler e la prof.ssa Adriana Caldarone, docenti di rappresentazione e rilievo del medesimo ateneo romano, hanno effettuato un rilievo con laser scanner e drone con termocamera dell’altare di Santa Maria della Consolazione, per ricostruirne il suo percorso storico.</w:t>
      </w:r>
    </w:p>
    <w:p w14:paraId="7E8CEBB3" w14:textId="77777777" w:rsidR="004E33E6" w:rsidRPr="004E33E6" w:rsidRDefault="004E33E6" w:rsidP="004E33E6">
      <w:pPr>
        <w:jc w:val="both"/>
      </w:pPr>
      <w:r w:rsidRPr="004E33E6">
        <w:t>Lo studio dell’altare maggiore del Rainaldi si inserisce nel quadro più ampio della ricerca per la tesi di laurea magistrale in architettura su chiese a pianta centrale, con particolare riferimento a Santa Maria della Consolazione di Todi.</w:t>
      </w:r>
    </w:p>
    <w:p w14:paraId="7F3B288F" w14:textId="77777777" w:rsidR="004E33E6" w:rsidRDefault="004E33E6" w:rsidP="004E33E6">
      <w:pPr>
        <w:jc w:val="both"/>
      </w:pPr>
      <w:r w:rsidRPr="004E33E6">
        <w:t>Il rilievo effettuato all’altare è un importante strumento a corredo della ricerca sul contesto storico in cui l’opera è stata concepita da Carlo Rainaldi, uno dei maggiori esponenti del barocco Romano, nel periodo della sua formazione accanto al padre Girolamo.</w:t>
      </w:r>
    </w:p>
    <w:p w14:paraId="0CA19DB6" w14:textId="44D57324" w:rsidR="004E33E6" w:rsidRDefault="004E33E6" w:rsidP="004E33E6">
      <w:pPr>
        <w:jc w:val="both"/>
      </w:pPr>
      <w:r>
        <w:lastRenderedPageBreak/>
        <w:t>La pubblicazione è stata presentata in settembre alla presenza di: autrice Dr.ssa Michela Iachettini, il Sindaco della città di Todi, Avv. Antonino Ruggiano, la prof.ssa Simona Benedetti, architetto e docente presso il dipartimento di STORIA, DISEGNO E RESTAURO DELL'ARCHITETTURA dell’Università “La Sapienza” di Roma e Prof. Tommaso Empler, Architetto, PhD, Professore Associato presso il medesimo ateneo della Sapienza Università di Roma.</w:t>
      </w:r>
    </w:p>
    <w:p w14:paraId="37EB35EA" w14:textId="77777777" w:rsidR="004E33E6" w:rsidRDefault="004E33E6" w:rsidP="004E33E6">
      <w:pPr>
        <w:jc w:val="both"/>
      </w:pPr>
      <w:r>
        <w:t>L’evento ha ottenuto il patrocinio dell’Ordine degli Architetti della Provincia di Perugia che ha accordato due crediti formativi per gli iscritti.</w:t>
      </w:r>
    </w:p>
    <w:p w14:paraId="3191F055" w14:textId="77777777" w:rsidR="004E33E6" w:rsidRDefault="004E33E6" w:rsidP="004E33E6">
      <w:pPr>
        <w:jc w:val="both"/>
      </w:pPr>
      <w:r>
        <w:t>Il Sindaco di Todi rispetto all’opera della dottoressa Iachettini ha scritto che: “</w:t>
      </w:r>
      <w:r w:rsidRPr="004E33E6">
        <w:rPr>
          <w:i/>
          <w:iCs/>
        </w:rPr>
        <w:t>Il lavoro … condotto nell’alveo delle attività dell’Università “La Sapienza” di Roma, indaga su un elemento particolarmente caro alla città di Todi, quello dell’altare maggiore del Tempio della Consolazione, uno dei monumenti simbolo del Rinascimento italiano, attribuita a Donato Bramante, del quale nel 2024 ricorrono i 510 anni dalla morte. Una ricorrenza che Etab, insieme al Comune, si è impegnato a sottolineare durante tutto l’arco dell’anno con una serie di iniziative scientifiche, culturali e divulgative, la prima delle quali ha già visto in gennaio il Tempio protagonista di una mostra presso la sede del Parlamento Europeo a Bruxelles</w:t>
      </w:r>
      <w:r>
        <w:t>”.</w:t>
      </w:r>
    </w:p>
    <w:p w14:paraId="13B887D8" w14:textId="77777777" w:rsidR="00DA0652" w:rsidRDefault="00DA0652" w:rsidP="00F34B6A">
      <w:pPr>
        <w:jc w:val="both"/>
      </w:pPr>
      <w:r w:rsidRPr="00F34B6A">
        <w:t>Resta fermo l’impegno da parte dell’Amministrazione di ETAB a promuovere e favorire le attività di Studio e Ricerca nella piena convinzione che anche gli studi accademici siano un canale prezioso per la valorizzazione del Tempio e la promozione territoriale di uno dei principali attrattori turistici della nostra Regione.</w:t>
      </w:r>
    </w:p>
    <w:p w14:paraId="372D55AE" w14:textId="0B22C3F5" w:rsidR="00426ACC" w:rsidRPr="00B86C65" w:rsidRDefault="00426ACC" w:rsidP="00426ACC">
      <w:pPr>
        <w:shd w:val="clear" w:color="auto" w:fill="FDFDFD"/>
        <w:suppressAutoHyphens w:val="0"/>
        <w:jc w:val="both"/>
      </w:pPr>
      <w:r>
        <w:t>Con deliberazione 47 in data 18.6.2025 si è stabilito, tra l’altro, d</w:t>
      </w:r>
      <w:r w:rsidRPr="00B86C65">
        <w:t xml:space="preserve">i nominare </w:t>
      </w:r>
      <w:proofErr w:type="spellStart"/>
      <w:r w:rsidRPr="00B86C65">
        <w:t>l’arch</w:t>
      </w:r>
      <w:proofErr w:type="spellEnd"/>
      <w:r w:rsidRPr="00B86C65">
        <w:t>. Antonio Aino quale responsabile di progetto ai sensi del D.lgs 36/2023 per quanto attiene l’intervento riferito all’altare barocco attribuito al Rainaldi</w:t>
      </w:r>
      <w:r>
        <w:t xml:space="preserve"> dando così avvio all’iter per il conseguente restauro</w:t>
      </w:r>
      <w:r w:rsidRPr="00B86C65">
        <w:t xml:space="preserve">. </w:t>
      </w:r>
    </w:p>
    <w:p w14:paraId="4CDCFA40" w14:textId="77777777" w:rsidR="00DC6E3A" w:rsidRDefault="00DC6E3A" w:rsidP="00F34B6A">
      <w:pPr>
        <w:rPr>
          <w:b/>
        </w:rPr>
      </w:pPr>
    </w:p>
    <w:p w14:paraId="36782AAA" w14:textId="6BBD0104" w:rsidR="00E171D0" w:rsidRPr="00F34B6A" w:rsidRDefault="00B120CD" w:rsidP="00F34B6A">
      <w:r w:rsidRPr="00F34B6A">
        <w:rPr>
          <w:b/>
        </w:rPr>
        <w:t xml:space="preserve">IL </w:t>
      </w:r>
      <w:r w:rsidR="007C4236" w:rsidRPr="00F34B6A">
        <w:rPr>
          <w:b/>
        </w:rPr>
        <w:t xml:space="preserve">PARCO DEGLI </w:t>
      </w:r>
      <w:r w:rsidR="004253EA">
        <w:rPr>
          <w:b/>
        </w:rPr>
        <w:t>U</w:t>
      </w:r>
      <w:r w:rsidR="007C4236" w:rsidRPr="00F34B6A">
        <w:rPr>
          <w:b/>
        </w:rPr>
        <w:t>LIVI DELLA CONSOLAZIONE.</w:t>
      </w:r>
    </w:p>
    <w:p w14:paraId="3B098C88" w14:textId="0A5BEEA8" w:rsidR="00611528" w:rsidRPr="00176913" w:rsidRDefault="00E171D0" w:rsidP="00F34B6A">
      <w:pPr>
        <w:pStyle w:val="Standard"/>
        <w:jc w:val="both"/>
        <w:rPr>
          <w:sz w:val="24"/>
          <w:szCs w:val="24"/>
        </w:rPr>
      </w:pPr>
      <w:r w:rsidRPr="00F34B6A">
        <w:rPr>
          <w:sz w:val="24"/>
          <w:szCs w:val="24"/>
        </w:rPr>
        <w:t xml:space="preserve">Al fine di migliorare l’accoglienza turistica, </w:t>
      </w:r>
      <w:r w:rsidR="00C46850" w:rsidRPr="00F34B6A">
        <w:rPr>
          <w:sz w:val="24"/>
          <w:szCs w:val="24"/>
        </w:rPr>
        <w:t xml:space="preserve">è stato realizzato il </w:t>
      </w:r>
      <w:r w:rsidR="007C4236" w:rsidRPr="00F34B6A">
        <w:rPr>
          <w:sz w:val="24"/>
          <w:szCs w:val="24"/>
        </w:rPr>
        <w:t>progetto denominato</w:t>
      </w:r>
      <w:r w:rsidR="00FF0B41" w:rsidRPr="00F34B6A">
        <w:rPr>
          <w:sz w:val="24"/>
          <w:szCs w:val="24"/>
        </w:rPr>
        <w:t xml:space="preserve"> “</w:t>
      </w:r>
      <w:r w:rsidRPr="00F34B6A">
        <w:rPr>
          <w:i/>
          <w:sz w:val="24"/>
          <w:szCs w:val="24"/>
        </w:rPr>
        <w:t xml:space="preserve">Parco degli </w:t>
      </w:r>
      <w:r w:rsidR="0043572C" w:rsidRPr="00F34B6A">
        <w:rPr>
          <w:i/>
          <w:sz w:val="24"/>
          <w:szCs w:val="24"/>
        </w:rPr>
        <w:t>O</w:t>
      </w:r>
      <w:r w:rsidRPr="00F34B6A">
        <w:rPr>
          <w:i/>
          <w:sz w:val="24"/>
          <w:szCs w:val="24"/>
        </w:rPr>
        <w:t>livi della Consolazione</w:t>
      </w:r>
      <w:r w:rsidRPr="00F34B6A">
        <w:rPr>
          <w:sz w:val="24"/>
          <w:szCs w:val="24"/>
        </w:rPr>
        <w:t>”</w:t>
      </w:r>
      <w:r w:rsidR="007C4236" w:rsidRPr="00F34B6A">
        <w:rPr>
          <w:sz w:val="24"/>
          <w:szCs w:val="24"/>
        </w:rPr>
        <w:t xml:space="preserve"> per partecipare ad un Bando del GAL Media Valle del Tevere</w:t>
      </w:r>
      <w:r w:rsidR="006F5025" w:rsidRPr="00F34B6A">
        <w:rPr>
          <w:color w:val="000000"/>
          <w:sz w:val="24"/>
          <w:szCs w:val="24"/>
        </w:rPr>
        <w:t xml:space="preserve"> (Programma di Sviluppo Rurale per l’Umbria 2014-2020; Piano di Azione Locale del GAL MEDIA VALLE DEL TEVERE 2014 – 2020; Misura 19 - SOTTOMISURA 19.2 – Azione 7 del PAL “</w:t>
      </w:r>
      <w:r w:rsidR="006F5025" w:rsidRPr="00F34B6A">
        <w:rPr>
          <w:i/>
          <w:color w:val="000000"/>
          <w:sz w:val="24"/>
          <w:szCs w:val="24"/>
        </w:rPr>
        <w:t>Sostegno ad investimenti di fruizione pubblica in infrastrutture ricreative, informazioni turistiche e infrastrutture turistiche su piccola scala”</w:t>
      </w:r>
      <w:r w:rsidR="006F5025" w:rsidRPr="00F34B6A">
        <w:rPr>
          <w:color w:val="000000"/>
          <w:sz w:val="24"/>
          <w:szCs w:val="24"/>
        </w:rPr>
        <w:t>).</w:t>
      </w:r>
      <w:r w:rsidR="00C46850" w:rsidRPr="00176913">
        <w:rPr>
          <w:sz w:val="24"/>
          <w:szCs w:val="24"/>
        </w:rPr>
        <w:t>Attualmente è in corso di approntamento una convenzione con AFOR Umbria nell’intento di poter attirare capitali e favorire investimenti nella ritrovata area urbana</w:t>
      </w:r>
      <w:r w:rsidR="00CA5536" w:rsidRPr="00176913">
        <w:rPr>
          <w:sz w:val="24"/>
          <w:szCs w:val="24"/>
        </w:rPr>
        <w:t>.</w:t>
      </w:r>
    </w:p>
    <w:p w14:paraId="78610FE6" w14:textId="295A12A9" w:rsidR="000547AA" w:rsidRPr="00176913" w:rsidRDefault="000547AA" w:rsidP="00F34B6A">
      <w:pPr>
        <w:pStyle w:val="Standard"/>
        <w:jc w:val="both"/>
        <w:rPr>
          <w:sz w:val="24"/>
          <w:szCs w:val="24"/>
        </w:rPr>
      </w:pPr>
      <w:r w:rsidRPr="00176913">
        <w:rPr>
          <w:sz w:val="24"/>
          <w:szCs w:val="24"/>
        </w:rPr>
        <w:t>L'investimento complessivo per questo progetto di riqualificazione paesaggistica e funzionale ammonta a 181.000 euro, di cui 154.000 euro finanziati attraverso fondi pubblici e 27.000 euro a carico dell'Ente tuderte di assistenza e beneficenza.</w:t>
      </w:r>
      <w:r w:rsidR="00176913" w:rsidRPr="00176913">
        <w:rPr>
          <w:sz w:val="24"/>
          <w:szCs w:val="24"/>
        </w:rPr>
        <w:t xml:space="preserve"> Proprio per la posizione strategica che permette una visione unica, da una prospettiva inedita sul tempio etc. etc. è stato realizzato durante il percorso il belvedere intitolato a Carlo Rainaldi.</w:t>
      </w:r>
    </w:p>
    <w:p w14:paraId="3EABEA3C" w14:textId="3E73D66C" w:rsidR="000547AA" w:rsidRPr="00176913" w:rsidRDefault="000547AA" w:rsidP="00F34B6A">
      <w:pPr>
        <w:pStyle w:val="Standard"/>
        <w:jc w:val="both"/>
        <w:rPr>
          <w:sz w:val="24"/>
          <w:szCs w:val="24"/>
        </w:rPr>
      </w:pPr>
      <w:r w:rsidRPr="00176913">
        <w:rPr>
          <w:sz w:val="24"/>
          <w:szCs w:val="24"/>
        </w:rPr>
        <w:t xml:space="preserve">L'area del futuro parco, che si estende su circa un ettaro, è situata in una posizione strategica tra il </w:t>
      </w:r>
      <w:r w:rsidR="00533201" w:rsidRPr="00176913">
        <w:rPr>
          <w:sz w:val="24"/>
          <w:szCs w:val="24"/>
        </w:rPr>
        <w:t>T</w:t>
      </w:r>
      <w:r w:rsidRPr="00176913">
        <w:rPr>
          <w:sz w:val="24"/>
          <w:szCs w:val="24"/>
        </w:rPr>
        <w:t xml:space="preserve">empio di Santa Maria della Consolazione e la scalinata Martiri di Nassirya, nei pressi dell'Istituto Einaudi e del parco della Rocca. </w:t>
      </w:r>
    </w:p>
    <w:p w14:paraId="6445C70D" w14:textId="77777777" w:rsidR="000547AA" w:rsidRPr="00F34B6A" w:rsidRDefault="000547AA" w:rsidP="00F34B6A">
      <w:pPr>
        <w:pStyle w:val="Standard"/>
        <w:jc w:val="both"/>
        <w:rPr>
          <w:sz w:val="24"/>
          <w:szCs w:val="24"/>
        </w:rPr>
      </w:pPr>
      <w:r w:rsidRPr="00176913">
        <w:rPr>
          <w:sz w:val="24"/>
          <w:szCs w:val="24"/>
        </w:rPr>
        <w:t xml:space="preserve">Il nome del parco deriva dalla forte </w:t>
      </w:r>
      <w:r w:rsidRPr="00F34B6A">
        <w:rPr>
          <w:sz w:val="24"/>
          <w:szCs w:val="24"/>
        </w:rPr>
        <w:t>presenza di olivi, che rappresentavano la prima azienda della Colonia Agricola nel 1863, da cui ebbe origine l'attuale istituto agrario.</w:t>
      </w:r>
    </w:p>
    <w:p w14:paraId="5DC02FF8" w14:textId="77777777" w:rsidR="000547AA" w:rsidRPr="00F34B6A" w:rsidRDefault="000547AA" w:rsidP="00F34B6A">
      <w:pPr>
        <w:pStyle w:val="Standard"/>
        <w:jc w:val="both"/>
        <w:rPr>
          <w:sz w:val="24"/>
          <w:szCs w:val="24"/>
        </w:rPr>
      </w:pPr>
      <w:r w:rsidRPr="00F34B6A">
        <w:rPr>
          <w:sz w:val="24"/>
          <w:szCs w:val="24"/>
        </w:rPr>
        <w:t>Con la bonifica dell’area, abbandonata per anni allo sviluppo della biodiversità, è stato possibile arrestare il fenomeno di erosione del terreno che ha portato alle attuali importanti pendenze; c’è quindi la consapevolezza che si tratta di un primo intervento che restituisce alla fruibilità un’area urbana sia ai cittadini che agli amanti del turismo all’aria aperta.</w:t>
      </w:r>
    </w:p>
    <w:p w14:paraId="30FD2180" w14:textId="77777777" w:rsidR="000547AA" w:rsidRPr="00F34B6A" w:rsidRDefault="000547AA" w:rsidP="00F34B6A">
      <w:pPr>
        <w:pStyle w:val="Standard"/>
        <w:jc w:val="both"/>
        <w:rPr>
          <w:sz w:val="24"/>
          <w:szCs w:val="24"/>
        </w:rPr>
      </w:pPr>
      <w:r w:rsidRPr="00F34B6A">
        <w:rPr>
          <w:sz w:val="24"/>
          <w:szCs w:val="24"/>
        </w:rPr>
        <w:t>L’amministrazione di ETAB sta valutando altresì la possibilità di ulteriori interventi sia per assicurare la sicurezza ulteriore dell’area (tra cui la videosorveglianza) sia per realizzare spazi idonei a installazioni artistiche temporanee.</w:t>
      </w:r>
    </w:p>
    <w:p w14:paraId="79FAEE42" w14:textId="4A8A39A5" w:rsidR="000547AA" w:rsidRPr="00F34B6A" w:rsidRDefault="000547AA" w:rsidP="00F34B6A">
      <w:pPr>
        <w:pStyle w:val="Standard"/>
        <w:jc w:val="both"/>
        <w:rPr>
          <w:sz w:val="24"/>
          <w:szCs w:val="24"/>
        </w:rPr>
      </w:pPr>
      <w:r w:rsidRPr="00F34B6A">
        <w:rPr>
          <w:sz w:val="24"/>
          <w:szCs w:val="24"/>
        </w:rPr>
        <w:t xml:space="preserve">Il parco sarà altresì a disposizione del gruppo famiglia Talia Bagli De Angelis </w:t>
      </w:r>
      <w:r w:rsidR="00533201" w:rsidRPr="00F34B6A">
        <w:rPr>
          <w:sz w:val="24"/>
          <w:szCs w:val="24"/>
        </w:rPr>
        <w:t>nonché</w:t>
      </w:r>
      <w:r w:rsidRPr="00F34B6A">
        <w:rPr>
          <w:sz w:val="24"/>
          <w:szCs w:val="24"/>
        </w:rPr>
        <w:t xml:space="preserve"> dei centri DCA di Todi (Palazzo Francisci e Nido delle Rondini) di cui l’E</w:t>
      </w:r>
      <w:r w:rsidR="00D712FA">
        <w:rPr>
          <w:sz w:val="24"/>
          <w:szCs w:val="24"/>
        </w:rPr>
        <w:t>TAB</w:t>
      </w:r>
      <w:r w:rsidRPr="00F34B6A">
        <w:rPr>
          <w:sz w:val="24"/>
          <w:szCs w:val="24"/>
        </w:rPr>
        <w:t xml:space="preserve"> è fondatore.</w:t>
      </w:r>
      <w:r w:rsidR="004E33E6">
        <w:rPr>
          <w:sz w:val="24"/>
          <w:szCs w:val="24"/>
        </w:rPr>
        <w:t xml:space="preserve"> Sono al vaglio studi per aumentare gli investimenti all’interno del Parco favorendone la fruizione.</w:t>
      </w:r>
      <w:r w:rsidR="00D712FA">
        <w:rPr>
          <w:sz w:val="24"/>
          <w:szCs w:val="24"/>
        </w:rPr>
        <w:t xml:space="preserve"> A tal proposito si ricorda </w:t>
      </w:r>
      <w:r w:rsidR="00D712FA">
        <w:rPr>
          <w:sz w:val="24"/>
          <w:szCs w:val="24"/>
        </w:rPr>
        <w:lastRenderedPageBreak/>
        <w:t>la pulizia effettuata recentemente ed i contatti con la DL e ditta appaltatrice che hanno realizzato i lavori di rigenerazione urbana di via Menecali al fine di contemplare un intervento sulla scarpata del lato sud del Parco degli Olivi (a ridosso della zona individuata per le pubbliche affissioni dal Comune di Todi) anche al fine di rendere coerente detta area con il già realizzato intervento comunale.</w:t>
      </w:r>
    </w:p>
    <w:p w14:paraId="4663AB83" w14:textId="77777777" w:rsidR="00B52BC4" w:rsidRPr="008F5850" w:rsidRDefault="00B52BC4" w:rsidP="00F34B6A">
      <w:pPr>
        <w:pStyle w:val="Standard"/>
        <w:jc w:val="both"/>
        <w:rPr>
          <w:i/>
          <w:iCs/>
          <w:sz w:val="24"/>
          <w:szCs w:val="24"/>
          <w:u w:val="single"/>
        </w:rPr>
      </w:pPr>
    </w:p>
    <w:p w14:paraId="78B790AF" w14:textId="3341C8C3" w:rsidR="001152C0" w:rsidRPr="008F5850" w:rsidRDefault="001152C0" w:rsidP="00F34B6A">
      <w:pPr>
        <w:pStyle w:val="Standard"/>
        <w:jc w:val="both"/>
        <w:rPr>
          <w:b/>
          <w:bCs/>
          <w:i/>
          <w:iCs/>
          <w:sz w:val="24"/>
          <w:szCs w:val="24"/>
        </w:rPr>
      </w:pPr>
      <w:r w:rsidRPr="008F5850">
        <w:rPr>
          <w:b/>
          <w:bCs/>
          <w:i/>
          <w:iCs/>
          <w:sz w:val="24"/>
          <w:szCs w:val="24"/>
        </w:rPr>
        <w:t>C</w:t>
      </w:r>
      <w:r w:rsidR="008F5850">
        <w:rPr>
          <w:b/>
          <w:bCs/>
          <w:i/>
          <w:iCs/>
          <w:sz w:val="24"/>
          <w:szCs w:val="24"/>
        </w:rPr>
        <w:t>onvenzione</w:t>
      </w:r>
      <w:r w:rsidR="0081454C">
        <w:rPr>
          <w:b/>
          <w:bCs/>
          <w:i/>
          <w:iCs/>
          <w:sz w:val="24"/>
          <w:szCs w:val="24"/>
        </w:rPr>
        <w:t xml:space="preserve"> </w:t>
      </w:r>
      <w:r w:rsidRPr="008F5850">
        <w:rPr>
          <w:b/>
          <w:bCs/>
          <w:i/>
          <w:iCs/>
          <w:sz w:val="24"/>
          <w:szCs w:val="24"/>
        </w:rPr>
        <w:t>AFOR</w:t>
      </w:r>
      <w:r w:rsidR="00B52BC4" w:rsidRPr="008F5850">
        <w:rPr>
          <w:b/>
          <w:bCs/>
          <w:i/>
          <w:iCs/>
          <w:sz w:val="24"/>
          <w:szCs w:val="24"/>
        </w:rPr>
        <w:t xml:space="preserve"> Umbria</w:t>
      </w:r>
    </w:p>
    <w:p w14:paraId="6AA3AD1C" w14:textId="65869946" w:rsidR="008243B7" w:rsidRPr="00D55E86" w:rsidRDefault="00176913" w:rsidP="00F34B6A">
      <w:pPr>
        <w:pStyle w:val="Standard"/>
        <w:jc w:val="both"/>
        <w:rPr>
          <w:sz w:val="24"/>
          <w:szCs w:val="24"/>
        </w:rPr>
      </w:pPr>
      <w:r>
        <w:rPr>
          <w:sz w:val="24"/>
          <w:szCs w:val="24"/>
        </w:rPr>
        <w:t xml:space="preserve">Si è appreso di un cambio di </w:t>
      </w:r>
      <w:r w:rsidR="00001BE6">
        <w:rPr>
          <w:sz w:val="24"/>
          <w:szCs w:val="24"/>
        </w:rPr>
        <w:t>personale di riferimento e agli inizi del 2025 saranno ripresi contatti per verificare possibili opportunità legati alla convenzione.</w:t>
      </w:r>
    </w:p>
    <w:p w14:paraId="190FC41E" w14:textId="77777777" w:rsidR="008E41EE" w:rsidRDefault="008E41EE" w:rsidP="00F34B6A">
      <w:pPr>
        <w:rPr>
          <w:b/>
        </w:rPr>
      </w:pPr>
    </w:p>
    <w:p w14:paraId="716E3476" w14:textId="1FB3EA14" w:rsidR="00E171D0" w:rsidRPr="00F34B6A" w:rsidRDefault="008E41EE" w:rsidP="00F34B6A">
      <w:r>
        <w:rPr>
          <w:b/>
        </w:rPr>
        <w:t xml:space="preserve">2. </w:t>
      </w:r>
      <w:r w:rsidR="00E171D0" w:rsidRPr="00F34B6A">
        <w:rPr>
          <w:b/>
        </w:rPr>
        <w:t xml:space="preserve"> CASTELLO DI PETRORO</w:t>
      </w:r>
    </w:p>
    <w:p w14:paraId="2BDF7ED7" w14:textId="77777777" w:rsidR="000425B2" w:rsidRPr="00F34B6A" w:rsidRDefault="000425B2" w:rsidP="00F34B6A">
      <w:pPr>
        <w:jc w:val="both"/>
      </w:pPr>
      <w:r w:rsidRPr="00F34B6A">
        <w:t>Il complesso è stato locato</w:t>
      </w:r>
      <w:r w:rsidR="00074EA3" w:rsidRPr="00F34B6A">
        <w:t xml:space="preserve"> alla Soc. Glam Spa che vi ha realizzato una </w:t>
      </w:r>
      <w:r w:rsidRPr="00F34B6A">
        <w:t>struttura ricettiva</w:t>
      </w:r>
      <w:r w:rsidR="00074EA3" w:rsidRPr="00F34B6A">
        <w:t>.</w:t>
      </w:r>
    </w:p>
    <w:p w14:paraId="3811CE34" w14:textId="77777777" w:rsidR="00074EA3" w:rsidRPr="00F34B6A" w:rsidRDefault="000425B2" w:rsidP="00F34B6A">
      <w:pPr>
        <w:jc w:val="both"/>
      </w:pPr>
      <w:r w:rsidRPr="00F34B6A">
        <w:t>Sia per il complesso che per il resto del patrimonio è stato approvato un capitolato delle manutenzioni che è stato sottoposto alla conduzione e si è in attesa di riscontro.</w:t>
      </w:r>
    </w:p>
    <w:p w14:paraId="1E208167" w14:textId="77777777" w:rsidR="00B43022" w:rsidRPr="00F34B6A" w:rsidRDefault="00B43022" w:rsidP="00F34B6A">
      <w:pPr>
        <w:jc w:val="both"/>
      </w:pPr>
    </w:p>
    <w:p w14:paraId="6010FE18" w14:textId="77777777" w:rsidR="00BB3FDB" w:rsidRPr="004E0F4E" w:rsidRDefault="00BB3FDB" w:rsidP="00F34B6A">
      <w:pPr>
        <w:jc w:val="both"/>
        <w:rPr>
          <w:b/>
          <w:bCs/>
        </w:rPr>
      </w:pPr>
      <w:r w:rsidRPr="004E0F4E">
        <w:rPr>
          <w:b/>
          <w:bCs/>
        </w:rPr>
        <w:t>I RISCHI DI GESTIONE</w:t>
      </w:r>
    </w:p>
    <w:p w14:paraId="06F0C8F9" w14:textId="1DA6FD66" w:rsidR="003C5A76" w:rsidRPr="004E0F4E" w:rsidRDefault="0036161B" w:rsidP="00F34B6A">
      <w:pPr>
        <w:jc w:val="both"/>
      </w:pPr>
      <w:r>
        <w:t>I rischi di gestione sono coperti con le seguenti polizze:</w:t>
      </w:r>
    </w:p>
    <w:p w14:paraId="5E5A9B4C" w14:textId="77777777" w:rsidR="004E0F4E" w:rsidRPr="004E0F4E" w:rsidRDefault="004E0F4E" w:rsidP="00F34B6A">
      <w:pPr>
        <w:jc w:val="both"/>
      </w:pPr>
    </w:p>
    <w:p w14:paraId="55049E35" w14:textId="77777777" w:rsidR="004E0F4E" w:rsidRPr="004E0F4E" w:rsidRDefault="004E0F4E" w:rsidP="00F34B6A">
      <w:pPr>
        <w:jc w:val="both"/>
      </w:pPr>
      <w:r w:rsidRPr="004E0F4E">
        <w:t>Polizza Incendio, eventi sismici e rischi connessi</w:t>
      </w:r>
    </w:p>
    <w:p w14:paraId="2D362ACD" w14:textId="77777777" w:rsidR="00416552" w:rsidRPr="004E0F4E" w:rsidRDefault="00416552" w:rsidP="00F34B6A">
      <w:pPr>
        <w:jc w:val="both"/>
      </w:pPr>
    </w:p>
    <w:tbl>
      <w:tblPr>
        <w:tblW w:w="0" w:type="auto"/>
        <w:tblLayout w:type="fixed"/>
        <w:tblCellMar>
          <w:left w:w="113" w:type="dxa"/>
        </w:tblCellMar>
        <w:tblLook w:val="0000" w:firstRow="0" w:lastRow="0" w:firstColumn="0" w:lastColumn="0" w:noHBand="0" w:noVBand="0"/>
      </w:tblPr>
      <w:tblGrid>
        <w:gridCol w:w="3534"/>
        <w:gridCol w:w="6354"/>
      </w:tblGrid>
      <w:tr w:rsidR="004E0F4E" w:rsidRPr="004E0F4E" w14:paraId="59E56AFB" w14:textId="77777777" w:rsidTr="008E3C53">
        <w:trPr>
          <w:trHeight w:val="1417"/>
        </w:trPr>
        <w:tc>
          <w:tcPr>
            <w:tcW w:w="3534" w:type="dxa"/>
            <w:tcBorders>
              <w:top w:val="single" w:sz="4" w:space="0" w:color="000000"/>
              <w:left w:val="single" w:sz="4" w:space="0" w:color="000000"/>
              <w:bottom w:val="single" w:sz="4" w:space="0" w:color="000000"/>
              <w:right w:val="single" w:sz="4" w:space="0" w:color="000000"/>
            </w:tcBorders>
            <w:vAlign w:val="center"/>
          </w:tcPr>
          <w:p w14:paraId="1214C242" w14:textId="77777777" w:rsidR="004E0F4E" w:rsidRPr="004E0F4E" w:rsidRDefault="004E0F4E" w:rsidP="008E3C53">
            <w:pPr>
              <w:jc w:val="center"/>
              <w:rPr>
                <w:rFonts w:ascii="Arial" w:hAnsi="Arial" w:cs="Arial"/>
                <w:b/>
                <w:sz w:val="18"/>
                <w:szCs w:val="18"/>
                <w:lang w:eastAsia="it-IT"/>
              </w:rPr>
            </w:pPr>
          </w:p>
          <w:p w14:paraId="416D11E7" w14:textId="77777777" w:rsidR="004E0F4E" w:rsidRPr="004E0F4E" w:rsidRDefault="004E0F4E" w:rsidP="008E3C53">
            <w:pPr>
              <w:rPr>
                <w:rFonts w:ascii="Arial" w:hAnsi="Arial" w:cs="Arial"/>
                <w:b/>
                <w:sz w:val="18"/>
                <w:szCs w:val="18"/>
                <w:lang w:eastAsia="it-IT"/>
              </w:rPr>
            </w:pPr>
            <w:r w:rsidRPr="004E0F4E">
              <w:rPr>
                <w:rFonts w:ascii="Arial" w:hAnsi="Arial" w:cs="Arial"/>
                <w:b/>
                <w:sz w:val="18"/>
                <w:szCs w:val="18"/>
                <w:lang w:eastAsia="it-IT"/>
              </w:rPr>
              <w:t>SOMME ASSICURATE</w:t>
            </w:r>
          </w:p>
          <w:p w14:paraId="1054A00A" w14:textId="77777777" w:rsidR="004E0F4E" w:rsidRPr="004E0F4E" w:rsidRDefault="004E0F4E" w:rsidP="008E3C53">
            <w:pPr>
              <w:rPr>
                <w:rFonts w:ascii="Arial" w:hAnsi="Arial" w:cs="Arial"/>
                <w:b/>
                <w:sz w:val="18"/>
                <w:szCs w:val="18"/>
                <w:lang w:eastAsia="it-IT"/>
              </w:rPr>
            </w:pPr>
          </w:p>
        </w:tc>
        <w:tc>
          <w:tcPr>
            <w:tcW w:w="6354" w:type="dxa"/>
            <w:tcBorders>
              <w:top w:val="single" w:sz="4" w:space="0" w:color="000000"/>
              <w:left w:val="single" w:sz="4" w:space="0" w:color="000000"/>
              <w:bottom w:val="single" w:sz="4" w:space="0" w:color="000000"/>
              <w:right w:val="single" w:sz="4" w:space="0" w:color="000000"/>
            </w:tcBorders>
          </w:tcPr>
          <w:p w14:paraId="198C604C" w14:textId="77777777" w:rsidR="004E0F4E" w:rsidRPr="004E0F4E" w:rsidRDefault="004E0F4E" w:rsidP="008E3C53">
            <w:pPr>
              <w:rPr>
                <w:rFonts w:ascii="Arial" w:hAnsi="Arial" w:cs="Arial"/>
                <w:sz w:val="18"/>
                <w:szCs w:val="18"/>
                <w:lang w:eastAsia="it-IT"/>
              </w:rPr>
            </w:pPr>
          </w:p>
          <w:tbl>
            <w:tblPr>
              <w:tblW w:w="0" w:type="auto"/>
              <w:tblLayout w:type="fixed"/>
              <w:tblCellMar>
                <w:top w:w="10" w:type="dxa"/>
                <w:left w:w="79" w:type="dxa"/>
                <w:bottom w:w="33" w:type="dxa"/>
                <w:right w:w="184" w:type="dxa"/>
              </w:tblCellMar>
              <w:tblLook w:val="0000" w:firstRow="0" w:lastRow="0" w:firstColumn="0" w:lastColumn="0" w:noHBand="0" w:noVBand="0"/>
            </w:tblPr>
            <w:tblGrid>
              <w:gridCol w:w="4114"/>
              <w:gridCol w:w="2015"/>
            </w:tblGrid>
            <w:tr w:rsidR="004E0F4E" w:rsidRPr="004E0F4E" w14:paraId="0B63DED6"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571415"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Fabbricati</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AA469D" w14:textId="77777777" w:rsidR="004E0F4E" w:rsidRPr="004E0F4E" w:rsidRDefault="004E0F4E" w:rsidP="008E3C53">
                  <w:pPr>
                    <w:spacing w:line="259" w:lineRule="auto"/>
                  </w:pPr>
                  <w:r w:rsidRPr="004E0F4E">
                    <w:rPr>
                      <w:rFonts w:ascii="Arial" w:hAnsi="Arial" w:cs="Arial"/>
                      <w:sz w:val="18"/>
                      <w:szCs w:val="18"/>
                      <w:lang w:eastAsia="it-IT"/>
                    </w:rPr>
                    <w:t xml:space="preserve">€ </w:t>
                  </w:r>
                  <w:r w:rsidRPr="004E0F4E">
                    <w:rPr>
                      <w:rFonts w:ascii="Arial" w:hAnsi="Arial" w:cs="Arial"/>
                      <w:sz w:val="20"/>
                      <w:szCs w:val="20"/>
                      <w:lang w:eastAsia="it-IT"/>
                    </w:rPr>
                    <w:t>1.329.825,00</w:t>
                  </w:r>
                </w:p>
              </w:tc>
            </w:tr>
            <w:tr w:rsidR="004E0F4E" w:rsidRPr="004E0F4E" w14:paraId="49DE012A"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687D81"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Fabbricati Interesse Storico</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A37575" w14:textId="77777777" w:rsidR="004E0F4E" w:rsidRPr="004E0F4E" w:rsidRDefault="004E0F4E" w:rsidP="008E3C53">
                  <w:pPr>
                    <w:spacing w:line="259" w:lineRule="auto"/>
                  </w:pPr>
                  <w:r w:rsidRPr="004E0F4E">
                    <w:rPr>
                      <w:rFonts w:ascii="Arial" w:hAnsi="Arial" w:cs="Arial"/>
                      <w:sz w:val="18"/>
                      <w:szCs w:val="18"/>
                      <w:lang w:eastAsia="it-IT"/>
                    </w:rPr>
                    <w:t xml:space="preserve">€ </w:t>
                  </w:r>
                  <w:r w:rsidRPr="004E0F4E">
                    <w:rPr>
                      <w:rFonts w:ascii="Arial" w:hAnsi="Arial" w:cs="Arial"/>
                      <w:sz w:val="20"/>
                      <w:szCs w:val="20"/>
                      <w:lang w:eastAsia="it-IT"/>
                    </w:rPr>
                    <w:t>10.438.455,00</w:t>
                  </w:r>
                </w:p>
              </w:tc>
            </w:tr>
            <w:tr w:rsidR="004E0F4E" w:rsidRPr="004E0F4E" w14:paraId="319286E9"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DF853E"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Fabbricato interesse storico a P.R.A</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078552" w14:textId="77777777" w:rsidR="004E0F4E" w:rsidRPr="004E0F4E" w:rsidRDefault="004E0F4E" w:rsidP="008E3C53">
                  <w:pPr>
                    <w:spacing w:line="259" w:lineRule="auto"/>
                  </w:pPr>
                  <w:r w:rsidRPr="004E0F4E">
                    <w:rPr>
                      <w:rFonts w:ascii="Arial" w:hAnsi="Arial" w:cs="Arial"/>
                      <w:sz w:val="18"/>
                      <w:szCs w:val="18"/>
                      <w:lang w:eastAsia="it-IT"/>
                    </w:rPr>
                    <w:t>€ 2.000.000,00</w:t>
                  </w:r>
                </w:p>
              </w:tc>
            </w:tr>
            <w:tr w:rsidR="004E0F4E" w:rsidRPr="004E0F4E" w14:paraId="78DD261B" w14:textId="77777777" w:rsidTr="008E3C53">
              <w:trPr>
                <w:trHeight w:val="564"/>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4E76AE"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Patrimonio Mobiliare/Contenuto</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2BC97A" w14:textId="77777777" w:rsidR="004E0F4E" w:rsidRPr="004E0F4E" w:rsidRDefault="004E0F4E" w:rsidP="008E3C53">
                  <w:pPr>
                    <w:spacing w:line="259" w:lineRule="auto"/>
                  </w:pPr>
                  <w:r w:rsidRPr="004E0F4E">
                    <w:rPr>
                      <w:rFonts w:ascii="Arial" w:hAnsi="Arial" w:cs="Arial"/>
                      <w:sz w:val="18"/>
                      <w:szCs w:val="18"/>
                      <w:lang w:eastAsia="it-IT"/>
                    </w:rPr>
                    <w:t>€ 400.000,00</w:t>
                  </w:r>
                </w:p>
              </w:tc>
            </w:tr>
            <w:tr w:rsidR="004E0F4E" w:rsidRPr="004E0F4E" w14:paraId="7DB5A48F" w14:textId="77777777" w:rsidTr="008E3C53">
              <w:trPr>
                <w:trHeight w:val="20"/>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0BE360" w14:textId="77777777" w:rsidR="004E0F4E" w:rsidRPr="004E0F4E" w:rsidRDefault="004E0F4E" w:rsidP="008E3C53">
                  <w:pPr>
                    <w:spacing w:line="259" w:lineRule="auto"/>
                    <w:ind w:left="39" w:firstLine="7"/>
                    <w:jc w:val="center"/>
                    <w:rPr>
                      <w:rFonts w:ascii="Arial" w:hAnsi="Arial" w:cs="Arial"/>
                      <w:sz w:val="18"/>
                      <w:szCs w:val="18"/>
                      <w:lang w:eastAsia="it-IT"/>
                    </w:rPr>
                  </w:pPr>
                  <w:r w:rsidRPr="004E0F4E">
                    <w:rPr>
                      <w:rFonts w:ascii="Arial" w:hAnsi="Arial" w:cs="Arial"/>
                      <w:sz w:val="18"/>
                      <w:szCs w:val="18"/>
                      <w:lang w:eastAsia="it-IT"/>
                    </w:rPr>
                    <w:t>Patrimonio mobiliare/Contenuto a PRA</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1EC698" w14:textId="77777777" w:rsidR="004E0F4E" w:rsidRPr="004E0F4E" w:rsidRDefault="004E0F4E" w:rsidP="008E3C53">
                  <w:pPr>
                    <w:spacing w:line="259" w:lineRule="auto"/>
                    <w:ind w:right="7"/>
                  </w:pPr>
                  <w:r w:rsidRPr="004E0F4E">
                    <w:rPr>
                      <w:rFonts w:ascii="Arial" w:hAnsi="Arial" w:cs="Arial"/>
                      <w:sz w:val="18"/>
                      <w:szCs w:val="18"/>
                      <w:lang w:eastAsia="it-IT"/>
                    </w:rPr>
                    <w:t>€ 100.000,00</w:t>
                  </w:r>
                </w:p>
              </w:tc>
            </w:tr>
            <w:tr w:rsidR="004E0F4E" w:rsidRPr="004E0F4E" w14:paraId="4EF75CBD" w14:textId="77777777" w:rsidTr="008E3C53">
              <w:trPr>
                <w:trHeight w:val="20"/>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76FF28" w14:textId="77777777" w:rsidR="004E0F4E" w:rsidRPr="004E0F4E" w:rsidRDefault="004E0F4E" w:rsidP="008E3C53">
                  <w:pPr>
                    <w:spacing w:line="259" w:lineRule="auto"/>
                    <w:ind w:left="39" w:firstLine="7"/>
                    <w:jc w:val="center"/>
                    <w:rPr>
                      <w:rFonts w:ascii="Arial" w:hAnsi="Arial" w:cs="Arial"/>
                      <w:sz w:val="18"/>
                      <w:szCs w:val="18"/>
                      <w:lang w:eastAsia="it-IT"/>
                    </w:rPr>
                  </w:pPr>
                  <w:r w:rsidRPr="004E0F4E">
                    <w:rPr>
                      <w:rFonts w:ascii="Arial" w:hAnsi="Arial" w:cs="Arial"/>
                      <w:sz w:val="18"/>
                      <w:szCs w:val="18"/>
                      <w:lang w:eastAsia="it-IT"/>
                    </w:rPr>
                    <w:t>Ricorso Terzi</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76917" w14:textId="77777777" w:rsidR="004E0F4E" w:rsidRPr="004E0F4E" w:rsidRDefault="004E0F4E" w:rsidP="008E3C53">
                  <w:pPr>
                    <w:spacing w:line="259" w:lineRule="auto"/>
                    <w:ind w:right="7"/>
                  </w:pPr>
                  <w:r w:rsidRPr="004E0F4E">
                    <w:rPr>
                      <w:rFonts w:ascii="Arial" w:hAnsi="Arial" w:cs="Arial"/>
                      <w:sz w:val="18"/>
                      <w:szCs w:val="18"/>
                      <w:lang w:eastAsia="it-IT"/>
                    </w:rPr>
                    <w:t>€ 1.500.000,00</w:t>
                  </w:r>
                </w:p>
              </w:tc>
            </w:tr>
          </w:tbl>
          <w:p w14:paraId="02ADA025" w14:textId="77777777" w:rsidR="004E0F4E" w:rsidRPr="004E0F4E" w:rsidRDefault="004E0F4E" w:rsidP="008E3C53">
            <w:pPr>
              <w:rPr>
                <w:rFonts w:ascii="Arial" w:hAnsi="Arial" w:cs="Arial"/>
                <w:sz w:val="18"/>
                <w:szCs w:val="18"/>
                <w:lang w:eastAsia="it-IT"/>
              </w:rPr>
            </w:pPr>
          </w:p>
        </w:tc>
      </w:tr>
    </w:tbl>
    <w:p w14:paraId="5145FA39" w14:textId="77777777" w:rsidR="004E0F4E" w:rsidRPr="004E0F4E" w:rsidRDefault="004E0F4E" w:rsidP="00F34B6A">
      <w:pPr>
        <w:jc w:val="both"/>
      </w:pPr>
    </w:p>
    <w:p w14:paraId="049D41CA" w14:textId="77777777" w:rsidR="004E0F4E" w:rsidRPr="004E0F4E" w:rsidRDefault="004E0F4E" w:rsidP="00F34B6A">
      <w:pPr>
        <w:jc w:val="both"/>
      </w:pPr>
      <w:r w:rsidRPr="004E0F4E">
        <w:t>Polizza RCT</w:t>
      </w:r>
    </w:p>
    <w:p w14:paraId="1FF19722" w14:textId="77777777" w:rsidR="004E0F4E" w:rsidRDefault="004E0F4E" w:rsidP="00F34B6A">
      <w:pPr>
        <w:jc w:val="both"/>
        <w:rPr>
          <w:b/>
        </w:rPr>
      </w:pPr>
      <w:r w:rsidRPr="004E0F4E">
        <w:rPr>
          <w:b/>
        </w:rPr>
        <w:t>Retribuzioni € 130.000,00</w:t>
      </w:r>
    </w:p>
    <w:p w14:paraId="123FC866" w14:textId="77777777" w:rsidR="004E0F4E" w:rsidRDefault="004E0F4E" w:rsidP="00F34B6A">
      <w:pPr>
        <w:jc w:val="both"/>
        <w:rPr>
          <w:b/>
        </w:rPr>
      </w:pPr>
    </w:p>
    <w:p w14:paraId="33F7AAC0" w14:textId="77777777" w:rsidR="004E0F4E" w:rsidRDefault="004E0F4E" w:rsidP="004E0F4E">
      <w:pPr>
        <w:ind w:right="-142"/>
        <w:jc w:val="both"/>
        <w:rPr>
          <w:rFonts w:ascii="Arial" w:hAnsi="Arial" w:cs="Arial"/>
        </w:rPr>
      </w:pPr>
      <w:r w:rsidRPr="00CA2FFD">
        <w:rPr>
          <w:rFonts w:ascii="Arial" w:hAnsi="Arial" w:cs="Arial"/>
        </w:rPr>
        <w:t xml:space="preserve">Importo del contratto: </w:t>
      </w:r>
    </w:p>
    <w:tbl>
      <w:tblPr>
        <w:tblW w:w="8480" w:type="dxa"/>
        <w:tblInd w:w="55" w:type="dxa"/>
        <w:tblCellMar>
          <w:left w:w="70" w:type="dxa"/>
          <w:right w:w="70" w:type="dxa"/>
        </w:tblCellMar>
        <w:tblLook w:val="0000" w:firstRow="0" w:lastRow="0" w:firstColumn="0" w:lastColumn="0" w:noHBand="0" w:noVBand="0"/>
      </w:tblPr>
      <w:tblGrid>
        <w:gridCol w:w="3200"/>
        <w:gridCol w:w="2320"/>
        <w:gridCol w:w="1480"/>
        <w:gridCol w:w="1480"/>
      </w:tblGrid>
      <w:tr w:rsidR="004E0F4E" w:rsidRPr="00A754F5" w14:paraId="2C0AD826" w14:textId="77777777" w:rsidTr="008E3C53">
        <w:trPr>
          <w:trHeight w:val="510"/>
        </w:trPr>
        <w:tc>
          <w:tcPr>
            <w:tcW w:w="3200" w:type="dxa"/>
            <w:tcBorders>
              <w:top w:val="single" w:sz="4" w:space="0" w:color="auto"/>
              <w:left w:val="single" w:sz="4" w:space="0" w:color="auto"/>
              <w:bottom w:val="single" w:sz="4" w:space="0" w:color="auto"/>
              <w:right w:val="single" w:sz="4" w:space="0" w:color="auto"/>
            </w:tcBorders>
          </w:tcPr>
          <w:p w14:paraId="3F5E5C58"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Descrizione Lotto</w:t>
            </w:r>
          </w:p>
        </w:tc>
        <w:tc>
          <w:tcPr>
            <w:tcW w:w="2320" w:type="dxa"/>
            <w:tcBorders>
              <w:top w:val="single" w:sz="4" w:space="0" w:color="auto"/>
              <w:left w:val="nil"/>
              <w:bottom w:val="single" w:sz="4" w:space="0" w:color="auto"/>
              <w:right w:val="single" w:sz="4" w:space="0" w:color="auto"/>
            </w:tcBorders>
          </w:tcPr>
          <w:p w14:paraId="22097895"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CIG</w:t>
            </w:r>
          </w:p>
        </w:tc>
        <w:tc>
          <w:tcPr>
            <w:tcW w:w="1480" w:type="dxa"/>
            <w:tcBorders>
              <w:top w:val="single" w:sz="4" w:space="0" w:color="auto"/>
              <w:left w:val="nil"/>
              <w:bottom w:val="single" w:sz="4" w:space="0" w:color="auto"/>
              <w:right w:val="single" w:sz="4" w:space="0" w:color="auto"/>
            </w:tcBorders>
          </w:tcPr>
          <w:p w14:paraId="6063B316"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 xml:space="preserve">Importo annuo </w:t>
            </w:r>
          </w:p>
        </w:tc>
        <w:tc>
          <w:tcPr>
            <w:tcW w:w="1480" w:type="dxa"/>
            <w:tcBorders>
              <w:top w:val="single" w:sz="4" w:space="0" w:color="auto"/>
              <w:left w:val="nil"/>
              <w:bottom w:val="single" w:sz="4" w:space="0" w:color="auto"/>
              <w:right w:val="single" w:sz="4" w:space="0" w:color="auto"/>
            </w:tcBorders>
          </w:tcPr>
          <w:p w14:paraId="6BDA2D5A"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 xml:space="preserve">Importo per il biennio </w:t>
            </w:r>
          </w:p>
        </w:tc>
      </w:tr>
      <w:tr w:rsidR="004E0F4E" w:rsidRPr="00A754F5" w14:paraId="5245FD49" w14:textId="77777777" w:rsidTr="008E3C53">
        <w:trPr>
          <w:trHeight w:val="276"/>
        </w:trPr>
        <w:tc>
          <w:tcPr>
            <w:tcW w:w="3200" w:type="dxa"/>
            <w:vMerge w:val="restart"/>
            <w:tcBorders>
              <w:top w:val="nil"/>
              <w:left w:val="single" w:sz="4" w:space="0" w:color="auto"/>
              <w:bottom w:val="single" w:sz="4" w:space="0" w:color="auto"/>
              <w:right w:val="single" w:sz="4" w:space="0" w:color="auto"/>
            </w:tcBorders>
          </w:tcPr>
          <w:p w14:paraId="3712E66C"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1. INCENDIO</w:t>
            </w:r>
          </w:p>
        </w:tc>
        <w:tc>
          <w:tcPr>
            <w:tcW w:w="2320" w:type="dxa"/>
            <w:vMerge w:val="restart"/>
            <w:tcBorders>
              <w:top w:val="nil"/>
              <w:left w:val="single" w:sz="4" w:space="0" w:color="auto"/>
              <w:bottom w:val="single" w:sz="4" w:space="0" w:color="auto"/>
              <w:right w:val="single" w:sz="4" w:space="0" w:color="auto"/>
            </w:tcBorders>
          </w:tcPr>
          <w:p w14:paraId="6B1E950C" w14:textId="77777777" w:rsidR="004E0F4E" w:rsidRPr="002768C5" w:rsidRDefault="004E0F4E" w:rsidP="008E3C53">
            <w:pPr>
              <w:suppressAutoHyphens w:val="0"/>
              <w:rPr>
                <w:rFonts w:ascii="Arial" w:hAnsi="Arial" w:cs="Arial"/>
                <w:lang w:eastAsia="it-IT"/>
              </w:rPr>
            </w:pPr>
            <w:r w:rsidRPr="00A754F5">
              <w:rPr>
                <w:rFonts w:ascii="Arial" w:hAnsi="Arial" w:cs="Arial"/>
                <w:lang w:eastAsia="it-IT"/>
              </w:rPr>
              <w:t> </w:t>
            </w:r>
            <w:r w:rsidRPr="00CF5404">
              <w:rPr>
                <w:b/>
              </w:rPr>
              <w:t>Z903D9DB1D</w:t>
            </w:r>
          </w:p>
          <w:p w14:paraId="0F48E912" w14:textId="77777777" w:rsidR="004E0F4E" w:rsidRPr="002768C5" w:rsidRDefault="004E0F4E" w:rsidP="008E3C53">
            <w:pPr>
              <w:suppressAutoHyphens w:val="0"/>
              <w:rPr>
                <w:rFonts w:ascii="Arial" w:hAnsi="Arial" w:cs="Arial"/>
                <w:lang w:eastAsia="it-IT"/>
              </w:rPr>
            </w:pPr>
          </w:p>
        </w:tc>
        <w:tc>
          <w:tcPr>
            <w:tcW w:w="1480" w:type="dxa"/>
            <w:vMerge w:val="restart"/>
            <w:tcBorders>
              <w:top w:val="nil"/>
              <w:left w:val="single" w:sz="4" w:space="0" w:color="auto"/>
              <w:bottom w:val="single" w:sz="4" w:space="0" w:color="auto"/>
              <w:right w:val="single" w:sz="4" w:space="0" w:color="auto"/>
            </w:tcBorders>
          </w:tcPr>
          <w:p w14:paraId="7B2206D1"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€ 15.400,00</w:t>
            </w:r>
          </w:p>
        </w:tc>
        <w:tc>
          <w:tcPr>
            <w:tcW w:w="1480" w:type="dxa"/>
            <w:vMerge w:val="restart"/>
            <w:tcBorders>
              <w:top w:val="nil"/>
              <w:left w:val="single" w:sz="4" w:space="0" w:color="auto"/>
              <w:bottom w:val="single" w:sz="4" w:space="0" w:color="auto"/>
              <w:right w:val="single" w:sz="4" w:space="0" w:color="auto"/>
            </w:tcBorders>
          </w:tcPr>
          <w:p w14:paraId="636C715E"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€ 30.800,00</w:t>
            </w:r>
          </w:p>
        </w:tc>
      </w:tr>
      <w:tr w:rsidR="004E0F4E" w:rsidRPr="00A754F5" w14:paraId="408002DA" w14:textId="77777777" w:rsidTr="008E3C53">
        <w:trPr>
          <w:trHeight w:val="276"/>
        </w:trPr>
        <w:tc>
          <w:tcPr>
            <w:tcW w:w="3200" w:type="dxa"/>
            <w:vMerge/>
            <w:tcBorders>
              <w:top w:val="nil"/>
              <w:left w:val="single" w:sz="4" w:space="0" w:color="auto"/>
              <w:bottom w:val="single" w:sz="4" w:space="0" w:color="auto"/>
              <w:right w:val="single" w:sz="4" w:space="0" w:color="auto"/>
            </w:tcBorders>
            <w:vAlign w:val="center"/>
          </w:tcPr>
          <w:p w14:paraId="6212C710" w14:textId="77777777" w:rsidR="004E0F4E" w:rsidRPr="00A754F5" w:rsidRDefault="004E0F4E" w:rsidP="008E3C53">
            <w:pPr>
              <w:suppressAutoHyphens w:val="0"/>
              <w:rPr>
                <w:rFonts w:ascii="Arial" w:hAnsi="Arial" w:cs="Arial"/>
                <w:lang w:eastAsia="it-IT"/>
              </w:rPr>
            </w:pPr>
          </w:p>
        </w:tc>
        <w:tc>
          <w:tcPr>
            <w:tcW w:w="2320" w:type="dxa"/>
            <w:vMerge/>
            <w:tcBorders>
              <w:top w:val="nil"/>
              <w:left w:val="single" w:sz="4" w:space="0" w:color="auto"/>
              <w:bottom w:val="single" w:sz="4" w:space="0" w:color="auto"/>
              <w:right w:val="single" w:sz="4" w:space="0" w:color="auto"/>
            </w:tcBorders>
            <w:vAlign w:val="center"/>
          </w:tcPr>
          <w:p w14:paraId="056BA016"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0CE9155B"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64E501B9" w14:textId="77777777" w:rsidR="004E0F4E" w:rsidRPr="00A754F5" w:rsidRDefault="004E0F4E" w:rsidP="008E3C53">
            <w:pPr>
              <w:suppressAutoHyphens w:val="0"/>
              <w:rPr>
                <w:rFonts w:ascii="Arial" w:hAnsi="Arial" w:cs="Arial"/>
                <w:lang w:eastAsia="it-IT"/>
              </w:rPr>
            </w:pPr>
          </w:p>
        </w:tc>
      </w:tr>
      <w:tr w:rsidR="004E0F4E" w:rsidRPr="00A754F5" w14:paraId="388199A2" w14:textId="77777777" w:rsidTr="008E3C53">
        <w:trPr>
          <w:trHeight w:val="276"/>
        </w:trPr>
        <w:tc>
          <w:tcPr>
            <w:tcW w:w="3200" w:type="dxa"/>
            <w:vMerge w:val="restart"/>
            <w:tcBorders>
              <w:top w:val="nil"/>
              <w:left w:val="single" w:sz="4" w:space="0" w:color="auto"/>
              <w:bottom w:val="single" w:sz="4" w:space="0" w:color="auto"/>
              <w:right w:val="single" w:sz="4" w:space="0" w:color="auto"/>
            </w:tcBorders>
          </w:tcPr>
          <w:p w14:paraId="09FA4D93" w14:textId="77777777" w:rsidR="004E0F4E" w:rsidRPr="00A754F5" w:rsidRDefault="004E0F4E" w:rsidP="008E3C53">
            <w:pPr>
              <w:suppressAutoHyphens w:val="0"/>
              <w:rPr>
                <w:rFonts w:ascii="Arial" w:hAnsi="Arial" w:cs="Arial"/>
                <w:color w:val="000000"/>
                <w:lang w:eastAsia="it-IT"/>
              </w:rPr>
            </w:pPr>
            <w:r w:rsidRPr="00A754F5">
              <w:rPr>
                <w:rFonts w:ascii="Arial" w:hAnsi="Arial" w:cs="Arial"/>
                <w:color w:val="000000"/>
                <w:lang w:eastAsia="it-IT"/>
              </w:rPr>
              <w:t>2. RCT/O</w:t>
            </w:r>
          </w:p>
        </w:tc>
        <w:tc>
          <w:tcPr>
            <w:tcW w:w="2320" w:type="dxa"/>
            <w:vMerge w:val="restart"/>
            <w:tcBorders>
              <w:top w:val="nil"/>
              <w:left w:val="single" w:sz="4" w:space="0" w:color="auto"/>
              <w:bottom w:val="single" w:sz="4" w:space="0" w:color="auto"/>
              <w:right w:val="single" w:sz="4" w:space="0" w:color="auto"/>
            </w:tcBorders>
          </w:tcPr>
          <w:p w14:paraId="627EB4DA"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w:t>
            </w:r>
            <w:r w:rsidRPr="00CF5404">
              <w:rPr>
                <w:b/>
              </w:rPr>
              <w:t>ZE13D9DB60</w:t>
            </w:r>
          </w:p>
        </w:tc>
        <w:tc>
          <w:tcPr>
            <w:tcW w:w="1480" w:type="dxa"/>
            <w:vMerge w:val="restart"/>
            <w:tcBorders>
              <w:top w:val="nil"/>
              <w:left w:val="single" w:sz="4" w:space="0" w:color="auto"/>
              <w:bottom w:val="single" w:sz="4" w:space="0" w:color="auto"/>
              <w:right w:val="single" w:sz="4" w:space="0" w:color="auto"/>
            </w:tcBorders>
          </w:tcPr>
          <w:p w14:paraId="31ECEEBB"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€ 4.500,00</w:t>
            </w:r>
          </w:p>
        </w:tc>
        <w:tc>
          <w:tcPr>
            <w:tcW w:w="1480" w:type="dxa"/>
            <w:vMerge w:val="restart"/>
            <w:tcBorders>
              <w:top w:val="nil"/>
              <w:left w:val="single" w:sz="4" w:space="0" w:color="auto"/>
              <w:bottom w:val="single" w:sz="4" w:space="0" w:color="auto"/>
              <w:right w:val="single" w:sz="4" w:space="0" w:color="auto"/>
            </w:tcBorders>
          </w:tcPr>
          <w:p w14:paraId="698F461C"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€ 9.000,00</w:t>
            </w:r>
          </w:p>
        </w:tc>
      </w:tr>
      <w:tr w:rsidR="004E0F4E" w:rsidRPr="00A754F5" w14:paraId="4C70684D" w14:textId="77777777" w:rsidTr="008E3C53">
        <w:trPr>
          <w:trHeight w:val="276"/>
        </w:trPr>
        <w:tc>
          <w:tcPr>
            <w:tcW w:w="3200" w:type="dxa"/>
            <w:vMerge/>
            <w:tcBorders>
              <w:top w:val="nil"/>
              <w:left w:val="single" w:sz="4" w:space="0" w:color="auto"/>
              <w:bottom w:val="single" w:sz="4" w:space="0" w:color="auto"/>
              <w:right w:val="single" w:sz="4" w:space="0" w:color="auto"/>
            </w:tcBorders>
            <w:vAlign w:val="center"/>
          </w:tcPr>
          <w:p w14:paraId="5EEFA02F" w14:textId="77777777" w:rsidR="004E0F4E" w:rsidRPr="00A754F5" w:rsidRDefault="004E0F4E" w:rsidP="008E3C53">
            <w:pPr>
              <w:suppressAutoHyphens w:val="0"/>
              <w:rPr>
                <w:rFonts w:ascii="Arial" w:hAnsi="Arial" w:cs="Arial"/>
                <w:color w:val="000000"/>
                <w:lang w:eastAsia="it-IT"/>
              </w:rPr>
            </w:pPr>
          </w:p>
        </w:tc>
        <w:tc>
          <w:tcPr>
            <w:tcW w:w="2320" w:type="dxa"/>
            <w:vMerge/>
            <w:tcBorders>
              <w:top w:val="nil"/>
              <w:left w:val="single" w:sz="4" w:space="0" w:color="auto"/>
              <w:bottom w:val="single" w:sz="4" w:space="0" w:color="auto"/>
              <w:right w:val="single" w:sz="4" w:space="0" w:color="auto"/>
            </w:tcBorders>
            <w:vAlign w:val="center"/>
          </w:tcPr>
          <w:p w14:paraId="29E11E17"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3C4C2B3A"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512325DD" w14:textId="77777777" w:rsidR="004E0F4E" w:rsidRPr="00A754F5" w:rsidRDefault="004E0F4E" w:rsidP="008E3C53">
            <w:pPr>
              <w:suppressAutoHyphens w:val="0"/>
              <w:rPr>
                <w:rFonts w:ascii="Arial" w:hAnsi="Arial" w:cs="Arial"/>
                <w:lang w:eastAsia="it-IT"/>
              </w:rPr>
            </w:pPr>
          </w:p>
        </w:tc>
      </w:tr>
      <w:tr w:rsidR="004E0F4E" w:rsidRPr="00A754F5" w14:paraId="25FBE7A9" w14:textId="77777777" w:rsidTr="008E3C53">
        <w:trPr>
          <w:trHeight w:val="255"/>
        </w:trPr>
        <w:tc>
          <w:tcPr>
            <w:tcW w:w="3200" w:type="dxa"/>
            <w:tcBorders>
              <w:top w:val="nil"/>
              <w:left w:val="single" w:sz="4" w:space="0" w:color="auto"/>
              <w:bottom w:val="single" w:sz="4" w:space="0" w:color="auto"/>
              <w:right w:val="single" w:sz="4" w:space="0" w:color="auto"/>
            </w:tcBorders>
          </w:tcPr>
          <w:p w14:paraId="0F5E23B9" w14:textId="77777777" w:rsidR="004E0F4E" w:rsidRPr="00A754F5" w:rsidRDefault="004E0F4E" w:rsidP="008E3C53">
            <w:pPr>
              <w:suppressAutoHyphens w:val="0"/>
              <w:ind w:firstLineChars="200" w:firstLine="482"/>
              <w:rPr>
                <w:rFonts w:ascii="Arial" w:hAnsi="Arial" w:cs="Arial"/>
                <w:b/>
                <w:bCs/>
                <w:color w:val="000000"/>
                <w:lang w:eastAsia="it-IT"/>
              </w:rPr>
            </w:pPr>
            <w:r w:rsidRPr="00A754F5">
              <w:rPr>
                <w:rFonts w:ascii="Arial" w:hAnsi="Arial" w:cs="Arial"/>
                <w:b/>
                <w:bCs/>
                <w:color w:val="000000"/>
                <w:lang w:eastAsia="it-IT"/>
              </w:rPr>
              <w:t>TOTALE</w:t>
            </w:r>
          </w:p>
        </w:tc>
        <w:tc>
          <w:tcPr>
            <w:tcW w:w="2320" w:type="dxa"/>
            <w:tcBorders>
              <w:top w:val="nil"/>
              <w:left w:val="nil"/>
              <w:bottom w:val="single" w:sz="4" w:space="0" w:color="auto"/>
              <w:right w:val="single" w:sz="4" w:space="0" w:color="auto"/>
            </w:tcBorders>
          </w:tcPr>
          <w:p w14:paraId="298D2A34"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w:t>
            </w:r>
          </w:p>
        </w:tc>
        <w:tc>
          <w:tcPr>
            <w:tcW w:w="1480" w:type="dxa"/>
            <w:tcBorders>
              <w:top w:val="nil"/>
              <w:left w:val="nil"/>
              <w:bottom w:val="single" w:sz="4" w:space="0" w:color="auto"/>
              <w:right w:val="single" w:sz="4" w:space="0" w:color="auto"/>
            </w:tcBorders>
          </w:tcPr>
          <w:p w14:paraId="2798D6FF"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€ 19.900,00</w:t>
            </w:r>
          </w:p>
        </w:tc>
        <w:tc>
          <w:tcPr>
            <w:tcW w:w="1480" w:type="dxa"/>
            <w:tcBorders>
              <w:top w:val="nil"/>
              <w:left w:val="nil"/>
              <w:bottom w:val="single" w:sz="4" w:space="0" w:color="auto"/>
              <w:right w:val="single" w:sz="4" w:space="0" w:color="auto"/>
            </w:tcBorders>
          </w:tcPr>
          <w:p w14:paraId="2D7CC0C4"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€ 39.800,00</w:t>
            </w:r>
          </w:p>
        </w:tc>
      </w:tr>
    </w:tbl>
    <w:p w14:paraId="4BF30AAC" w14:textId="77777777" w:rsidR="004E0F4E" w:rsidRPr="004E0F4E" w:rsidRDefault="004E0F4E" w:rsidP="00F34B6A">
      <w:pPr>
        <w:jc w:val="both"/>
        <w:rPr>
          <w:b/>
        </w:rPr>
      </w:pPr>
    </w:p>
    <w:p w14:paraId="45ED3EE0" w14:textId="77777777" w:rsidR="0022294F" w:rsidRPr="0022294F" w:rsidRDefault="0022294F" w:rsidP="00F34B6A">
      <w:pPr>
        <w:jc w:val="both"/>
        <w:rPr>
          <w:bCs/>
        </w:rPr>
      </w:pPr>
      <w:r w:rsidRPr="0022294F">
        <w:rPr>
          <w:bCs/>
        </w:rPr>
        <w:t xml:space="preserve">I lotti </w:t>
      </w:r>
      <w:r>
        <w:rPr>
          <w:bCs/>
        </w:rPr>
        <w:t xml:space="preserve">suddetti </w:t>
      </w:r>
      <w:r w:rsidRPr="0022294F">
        <w:rPr>
          <w:bCs/>
        </w:rPr>
        <w:t>sono stati aggiudicati alle compagnie locali Reale Mutua (lotto 2) e Vittoria Assicurazioni (lotto 1).</w:t>
      </w:r>
    </w:p>
    <w:p w14:paraId="492F196D" w14:textId="77777777" w:rsidR="00BB3FDB" w:rsidRDefault="00BB3FDB" w:rsidP="00F34B6A">
      <w:pPr>
        <w:jc w:val="both"/>
        <w:rPr>
          <w:color w:val="FF0000"/>
        </w:rPr>
      </w:pPr>
    </w:p>
    <w:p w14:paraId="28F1C9F9" w14:textId="77777777" w:rsidR="00FD7F36" w:rsidRPr="0036161B" w:rsidRDefault="00FD7F36" w:rsidP="00983A32">
      <w:pPr>
        <w:jc w:val="center"/>
        <w:rPr>
          <w:b/>
          <w:bCs/>
        </w:rPr>
      </w:pPr>
      <w:r w:rsidRPr="0036161B">
        <w:rPr>
          <w:b/>
          <w:bCs/>
        </w:rPr>
        <w:t>PARTE III</w:t>
      </w:r>
      <w:r w:rsidRPr="0036161B">
        <w:t xml:space="preserve"> </w:t>
      </w:r>
      <w:r w:rsidRPr="0036161B">
        <w:rPr>
          <w:b/>
          <w:bCs/>
        </w:rPr>
        <w:t>BENI MOBILI</w:t>
      </w:r>
    </w:p>
    <w:p w14:paraId="5EDE0BA1" w14:textId="77777777" w:rsidR="00FD7F36" w:rsidRPr="0036161B" w:rsidRDefault="00FD7F36" w:rsidP="00983A32"/>
    <w:p w14:paraId="3DDA1D25" w14:textId="180E6552" w:rsidR="00FD7F36" w:rsidRPr="0036161B" w:rsidRDefault="00FD7F36" w:rsidP="00A5468C">
      <w:pPr>
        <w:rPr>
          <w:b/>
          <w:bCs/>
        </w:rPr>
      </w:pPr>
      <w:r w:rsidRPr="0036161B">
        <w:rPr>
          <w:b/>
          <w:bCs/>
        </w:rPr>
        <w:t>Restauro violini storici inseriti nel progetto “TODI CITTA’ DEL VIOLINO”</w:t>
      </w:r>
    </w:p>
    <w:p w14:paraId="739CFB3D" w14:textId="12BCFAE6" w:rsidR="00FD7F36" w:rsidRDefault="00FD7F36" w:rsidP="00983A32">
      <w:pPr>
        <w:jc w:val="both"/>
      </w:pPr>
      <w:r>
        <w:t>A tal proposito si rinvia all’apposito dossier</w:t>
      </w:r>
      <w:r w:rsidR="002607D6">
        <w:t xml:space="preserve"> allegato alla relazione dello scorso anno 2023/2024 </w:t>
      </w:r>
      <w:r>
        <w:t>.</w:t>
      </w:r>
    </w:p>
    <w:p w14:paraId="685F5B74" w14:textId="77777777" w:rsidR="00FD7F36" w:rsidRDefault="00FD7F36" w:rsidP="00983A32"/>
    <w:p w14:paraId="218A6409" w14:textId="458CADFD" w:rsidR="00A5468C" w:rsidRPr="0036161B" w:rsidRDefault="00A5468C" w:rsidP="00983A32">
      <w:pPr>
        <w:rPr>
          <w:b/>
          <w:bCs/>
        </w:rPr>
      </w:pPr>
      <w:r w:rsidRPr="0036161B">
        <w:rPr>
          <w:b/>
          <w:bCs/>
        </w:rPr>
        <w:t>Acquisto autovettura</w:t>
      </w:r>
    </w:p>
    <w:p w14:paraId="6EEBA1BA" w14:textId="7B6CBBC0" w:rsidR="00FD7F36" w:rsidRDefault="0036161B" w:rsidP="00983A32">
      <w:r>
        <w:t xml:space="preserve">In data 19.12.2024 si è stabilito di rinnovare il parco macchine aziendale con cessione del mezzo attualmente in uso e contestuale acquisto del nuovo mezzo aziendale a seguito di indagine di </w:t>
      </w:r>
      <w:r>
        <w:lastRenderedPageBreak/>
        <w:t xml:space="preserve">mercato. </w:t>
      </w:r>
      <w:r w:rsidR="002607D6">
        <w:t>E’ stata quindi acquisita una panda 4x4 agli inizi di gennaio 2025 e ceduta in vendita la vecchia auto aziendale.</w:t>
      </w:r>
    </w:p>
    <w:p w14:paraId="027253AF" w14:textId="77777777" w:rsidR="00BC0F35" w:rsidRDefault="00BC0F35" w:rsidP="00983A32"/>
    <w:p w14:paraId="000EE108" w14:textId="650EA91F" w:rsidR="00BC0F35" w:rsidRPr="00BC0F35" w:rsidRDefault="00BC0F35" w:rsidP="00BC0F35">
      <w:pPr>
        <w:jc w:val="center"/>
        <w:rPr>
          <w:b/>
          <w:bCs/>
        </w:rPr>
      </w:pPr>
      <w:r w:rsidRPr="00BC0F35">
        <w:rPr>
          <w:b/>
          <w:bCs/>
        </w:rPr>
        <w:t>Restauri beni mobili presso il Tempio della Consolazione e Archivio Storico (ex proprietà Opera Pia della Consolazione).</w:t>
      </w:r>
    </w:p>
    <w:p w14:paraId="4982C0FA" w14:textId="77777777" w:rsidR="00BC0F35" w:rsidRDefault="00BC0F35" w:rsidP="00983A32"/>
    <w:p w14:paraId="12FDA916" w14:textId="77777777" w:rsidR="00BC0F35" w:rsidRPr="00BC0F35" w:rsidRDefault="00BC0F35" w:rsidP="00BC0F35">
      <w:pPr>
        <w:rPr>
          <w:b/>
          <w:bCs/>
        </w:rPr>
      </w:pPr>
      <w:r w:rsidRPr="00BC0F35">
        <w:rPr>
          <w:b/>
          <w:bCs/>
        </w:rPr>
        <w:t>Restauro del Cabreo dell'Opera Pia della Consolazione.</w:t>
      </w:r>
    </w:p>
    <w:p w14:paraId="7622EEE0" w14:textId="40AF6CEB" w:rsidR="00BC0F35" w:rsidRDefault="00BC0F35" w:rsidP="00BC0F35">
      <w:pPr>
        <w:jc w:val="both"/>
      </w:pPr>
      <w:r>
        <w:t>Il Restauro realizzato già lo scorso 20 giugno è stato portato a termine dalla Dottoressa Maria Chiara Brancaleoni (ditta Lo Studiolo) che ha condotto un lavoro di grande professionalità e dedizione dopo l’autorizzazione e le prescrizioni della Soprintendenza.</w:t>
      </w:r>
    </w:p>
    <w:p w14:paraId="7D893A9E" w14:textId="77777777" w:rsidR="00BC0F35" w:rsidRDefault="00BC0F35" w:rsidP="00BC0F35">
      <w:pPr>
        <w:jc w:val="both"/>
      </w:pPr>
      <w:r>
        <w:t>Grazie a questo meticoloso restauro, diverse mappe catastali di inestimabile valore storico sono state restituite alla fruizione di cittadini e studiosi, offrendo uno spaccato unico sulla storia del territorio tuderte e delle sue frazioni.</w:t>
      </w:r>
    </w:p>
    <w:p w14:paraId="00571AFB" w14:textId="7803DCB7" w:rsidR="00BC0F35" w:rsidRDefault="00BC0F35" w:rsidP="00BC0F35">
      <w:pPr>
        <w:jc w:val="both"/>
      </w:pPr>
      <w:r>
        <w:t>La Dottoressa Brancaleoni ha evidenziato la notevole complessità del lavoro, dato l'avanzato stato di deterioramento del Cabreo. Il restauro di questo Cabreo riveste un'importanza fondamentale non solo per la conservazione della storia del territorio tuderte e dei suoi antichi toponimi – una fonte inesauribile di informazioni – ma anche e soprattutto per la sua digitalizzazione. Quest'ultima, curata dal Maestro fotografo Mario Lucio D'Arrigo e realizzata secondo le stringenti linee guida ministeriali, consentirà la consultazione delle mappe senza la necessità di manipolare l'originale, che sarà preservato in un'apposita confezione di cartone creata dalla stessa restauratrice.</w:t>
      </w:r>
    </w:p>
    <w:p w14:paraId="7639D818" w14:textId="602E145D" w:rsidR="00BC0F35" w:rsidRDefault="00BC0F35" w:rsidP="00BC0F35">
      <w:r>
        <w:t>Il lavoro sarà presentato alla cittadinanza il giorno sabato 13 settembre 2025 nell’ambito del programma dei festeggiamenti civili e religiosi della festa della Consolazione.</w:t>
      </w:r>
    </w:p>
    <w:p w14:paraId="0057AD79" w14:textId="77777777" w:rsidR="00BC0F35" w:rsidRDefault="00BC0F35" w:rsidP="00BC0F35"/>
    <w:p w14:paraId="22DF4D4E" w14:textId="61789E92" w:rsidR="00437E61" w:rsidRPr="00437E61" w:rsidRDefault="00437E61" w:rsidP="00437E61">
      <w:pPr>
        <w:rPr>
          <w:b/>
          <w:bCs/>
        </w:rPr>
      </w:pPr>
      <w:r w:rsidRPr="00437E61">
        <w:rPr>
          <w:b/>
          <w:bCs/>
        </w:rPr>
        <w:t>Restauro della panchette lignee intagliate e dorate del XVII secolo, note come "panchette degli sposi", custodite nel Tempio della Consolazione a Todi.</w:t>
      </w:r>
    </w:p>
    <w:p w14:paraId="76D00906" w14:textId="1842658C" w:rsidR="00437E61" w:rsidRDefault="00437E61" w:rsidP="00B769BB">
      <w:pPr>
        <w:jc w:val="both"/>
      </w:pPr>
      <w:r>
        <w:t>Questo intervento, fondamentale per la salvaguardia di un bene culturale di inestimabile valore, è stato reso possibile grazie all'impegno costante di ETAB e al cruciale supporto di un co-finanziamento privato. Il restauro, un'attività complessa e particolarmente onerosa, è stato condotto con la massima cura da due restauratrici altamente specializzate: Rossella Brunetti, che si è occupata della parte lignea, e Barbara Santoro di Roma, responsabile del rivestimento tessile. Questa collaborazione ha permesso di affrontare le diverse specificità delle opere, garantendo un recupero ottimale sia delle parti in legno intagliato e dorato, sia del delicato tessuto damascato. Si sottolinea l'importanza di una continua attività di manutenzione e restauro per il nostro patrimonio culturale. Il restauro delle panchette degli sposi rappresenta un esempio tangibile di come la sinergia tra enti e privati possa fare la differenza nella conservazione delle opere d'arte per le generazioni future come accaduto per il citato esempio dell’art Bonus e Todi Città del Violino.</w:t>
      </w:r>
      <w:r w:rsidR="00B769BB">
        <w:t xml:space="preserve"> </w:t>
      </w:r>
      <w:r>
        <w:t>Questo restauro insieme ai restauri della Statua (in corso), dell’affresco Miracoloso (concluso e finanziato dall’Associazione ex dipendenti e amici della Banca Popolare di Todi), del Cabreo della Consolazione sono pezzi di un percorso virtuoso avviato dall’Amministrazione di ETAB in favore non solo del territorio ma dei tanti che decidono di sposarsi a Todi.</w:t>
      </w:r>
      <w:r w:rsidR="00B769BB">
        <w:t xml:space="preserve"> </w:t>
      </w:r>
      <w:r>
        <w:t xml:space="preserve">Il restauro consente agli sposi già di utilizzarli e sarà presentato il prossimo settembre in occasione delle celebrazioni per la centenaria desta di Santa Maria della Consolazione a Todi. </w:t>
      </w:r>
    </w:p>
    <w:p w14:paraId="4F2D52A8" w14:textId="77777777" w:rsidR="0056156A" w:rsidRDefault="0056156A" w:rsidP="00437E61"/>
    <w:p w14:paraId="0D6D6BC0" w14:textId="77777777" w:rsidR="0056156A" w:rsidRPr="0056156A" w:rsidRDefault="0056156A" w:rsidP="0056156A">
      <w:pPr>
        <w:rPr>
          <w:b/>
          <w:bCs/>
        </w:rPr>
      </w:pPr>
      <w:r w:rsidRPr="0056156A">
        <w:rPr>
          <w:b/>
          <w:bCs/>
        </w:rPr>
        <w:t>Restauro dell'Affresco Miracoloso</w:t>
      </w:r>
    </w:p>
    <w:p w14:paraId="4C6893AF" w14:textId="4988E8E4" w:rsidR="0056156A" w:rsidRDefault="0056156A" w:rsidP="0056156A">
      <w:pPr>
        <w:jc w:val="both"/>
      </w:pPr>
      <w:r>
        <w:t>Nel settembre 2024 è stato completato i</w:t>
      </w:r>
      <w:r>
        <w:t>l restauro dell'affresco miracoloso raffigurante le Nozze Mistiche di Santa Caterina d'Alessandria, simbolo del nostro territorio. L'opera è stata resa possibile grazie all'impegno congiunto dell'ETAB La Consolazione e dell'Associazione "Ex Dipendenti e Amici della Banca Popolare di Todi", che ha contribuito a raccogliere i fondi necessari per il restauro.</w:t>
      </w:r>
    </w:p>
    <w:p w14:paraId="27E7E1F8" w14:textId="1360AA77" w:rsidR="0056156A" w:rsidRDefault="0056156A" w:rsidP="0056156A">
      <w:pPr>
        <w:jc w:val="both"/>
      </w:pPr>
      <w:r>
        <w:t xml:space="preserve">L'intervento, eseguito dalla restauratrice incaricata, Dott.ssa Jacopella Rughini, sotto la supervisione della Soprintendenza competente, è stato seguito con cura dai dipendenti di ETAB. L'affresco è stato solennemente benedetto da S.E.R. Mons. Gualtiero Sigismondi durante la festività di Santa Maria </w:t>
      </w:r>
      <w:r>
        <w:lastRenderedPageBreak/>
        <w:t>della Consolazione, al termine della messa solenne celebrata nel Tempio omonimo, alla presenza delle autorità civili, militari e religiose.</w:t>
      </w:r>
    </w:p>
    <w:p w14:paraId="5EE67ECA" w14:textId="77777777" w:rsidR="0056156A" w:rsidRPr="00F34B6A" w:rsidRDefault="0056156A" w:rsidP="00F34B6A">
      <w:pPr>
        <w:pBdr>
          <w:bottom w:val="single" w:sz="6" w:space="1" w:color="auto"/>
        </w:pBdr>
        <w:rPr>
          <w:color w:val="FF0000"/>
        </w:rPr>
      </w:pPr>
    </w:p>
    <w:p w14:paraId="2DA27D08" w14:textId="77777777" w:rsidR="00D6157A" w:rsidRPr="00F34B6A" w:rsidRDefault="00D6157A" w:rsidP="00F34B6A">
      <w:pPr>
        <w:jc w:val="both"/>
      </w:pPr>
    </w:p>
    <w:p w14:paraId="4DA36629" w14:textId="77777777" w:rsidR="00C573DC" w:rsidRPr="00F34B6A" w:rsidRDefault="00C573DC" w:rsidP="00F34B6A"/>
    <w:p w14:paraId="10930CF6" w14:textId="77777777" w:rsidR="00E171D0" w:rsidRPr="008808D6" w:rsidRDefault="005B3BA8" w:rsidP="00F34B6A">
      <w:pPr>
        <w:jc w:val="center"/>
        <w:rPr>
          <w:color w:val="C00000"/>
          <w:highlight w:val="yellow"/>
        </w:rPr>
      </w:pPr>
      <w:r w:rsidRPr="008808D6">
        <w:rPr>
          <w:b/>
          <w:bCs/>
          <w:color w:val="C00000"/>
          <w:highlight w:val="yellow"/>
        </w:rPr>
        <w:t xml:space="preserve">PARTE III </w:t>
      </w:r>
      <w:r w:rsidR="00E171D0" w:rsidRPr="008808D6">
        <w:rPr>
          <w:b/>
          <w:bCs/>
          <w:color w:val="C00000"/>
          <w:highlight w:val="yellow"/>
        </w:rPr>
        <w:t>RAPPORTI CON LE ISTITUZIONI E CON GLI ENTI</w:t>
      </w:r>
    </w:p>
    <w:p w14:paraId="7464F994" w14:textId="77777777" w:rsidR="00E171D0" w:rsidRPr="00F34B6A" w:rsidRDefault="00E171D0" w:rsidP="00F34B6A"/>
    <w:p w14:paraId="60C79627" w14:textId="41C65326" w:rsidR="00E171D0" w:rsidRDefault="00E171D0" w:rsidP="00F34B6A">
      <w:pPr>
        <w:rPr>
          <w:b/>
          <w:bCs/>
        </w:rPr>
      </w:pPr>
      <w:r w:rsidRPr="00F34B6A">
        <w:rPr>
          <w:b/>
          <w:bCs/>
        </w:rPr>
        <w:t xml:space="preserve">COMUNE DI </w:t>
      </w:r>
      <w:r w:rsidR="00504988">
        <w:rPr>
          <w:b/>
          <w:bCs/>
        </w:rPr>
        <w:t>TODI</w:t>
      </w:r>
    </w:p>
    <w:p w14:paraId="400B0754" w14:textId="77777777" w:rsidR="00504988" w:rsidRDefault="00504988" w:rsidP="00983A32">
      <w:pPr>
        <w:tabs>
          <w:tab w:val="left" w:pos="0"/>
        </w:tabs>
        <w:jc w:val="both"/>
      </w:pPr>
      <w:r>
        <w:t>Dall’insediamento dell’Amministrazione comunale si registra una rinnovata e sinergica collaborazione in particolare con gli uffici di stretta collaborazione con il Sindaco, il suo staff e il servizio comunicazione (uno degli esempi è la condivisione dei progetti parco degli ulivi, l’inserimento dello stesso nella candidatura di Todi Capitale dell’arte contemporanea e da ultimo la collaborazione all’iniziativa della University of Twente (Paesi Bassi), in collaborazione con l'Università degli Studi di Perugia per cui Todi è stata individuata quale caso di studio per una tesi di laurea sulla accessibilità nei centri storici medievali caratteristici dell'Italia centrale, iniziativa alla quale l'Amministrazione comunale ha assicurato da subito il suo supporto così da poter disporre di una analisi scientifica dei punti di criticità ma anche di potenziale forza sui quali intervenire per migliorare la mobilità nel centro storico.</w:t>
      </w:r>
    </w:p>
    <w:p w14:paraId="2FEB5BED" w14:textId="6198DAB4" w:rsidR="00504988" w:rsidRDefault="00504988" w:rsidP="00F34B6A">
      <w:pPr>
        <w:rPr>
          <w:b/>
          <w:bCs/>
        </w:rPr>
      </w:pPr>
    </w:p>
    <w:p w14:paraId="38307B8D" w14:textId="20773577" w:rsidR="00504988" w:rsidRDefault="00504988" w:rsidP="00B769BB">
      <w:pPr>
        <w:jc w:val="center"/>
        <w:rPr>
          <w:b/>
          <w:bCs/>
        </w:rPr>
      </w:pPr>
      <w:r>
        <w:rPr>
          <w:b/>
          <w:bCs/>
        </w:rPr>
        <w:t>ENTI DI SECONDO LIVELLO</w:t>
      </w:r>
    </w:p>
    <w:p w14:paraId="68B423BB" w14:textId="77777777" w:rsidR="002A3460" w:rsidRDefault="002A3460" w:rsidP="00F34B6A">
      <w:pPr>
        <w:rPr>
          <w:b/>
          <w:bCs/>
        </w:rPr>
      </w:pPr>
    </w:p>
    <w:p w14:paraId="5A6E3E92" w14:textId="797AF6EE" w:rsidR="00902FEE" w:rsidRPr="0036161B" w:rsidRDefault="00902FEE" w:rsidP="00F34B6A">
      <w:pPr>
        <w:rPr>
          <w:u w:val="single"/>
        </w:rPr>
      </w:pPr>
      <w:r w:rsidRPr="0036161B">
        <w:rPr>
          <w:u w:val="single"/>
        </w:rPr>
        <w:t>ASPS VERALLI CORTESI</w:t>
      </w:r>
    </w:p>
    <w:p w14:paraId="23724725" w14:textId="4749A29A" w:rsidR="00611528" w:rsidRDefault="002607D6" w:rsidP="00F34B6A">
      <w:pPr>
        <w:tabs>
          <w:tab w:val="left" w:pos="0"/>
        </w:tabs>
        <w:jc w:val="both"/>
      </w:pPr>
      <w:r>
        <w:t>Nel periodo considerato sono stati numerosi gli incontri ed i confronti nel tema.</w:t>
      </w:r>
    </w:p>
    <w:p w14:paraId="02A49B1B" w14:textId="1E959464" w:rsidR="002607D6" w:rsidRPr="0036161B" w:rsidRDefault="002607D6" w:rsidP="00F34B6A">
      <w:pPr>
        <w:tabs>
          <w:tab w:val="left" w:pos="0"/>
        </w:tabs>
        <w:jc w:val="both"/>
      </w:pPr>
      <w:r>
        <w:t>Attualmente si attenderà l’incontro con i rispettivi collegi per validare le posizioni già assunte dai precedenti Cda supportati da autorevoli pareri.</w:t>
      </w:r>
    </w:p>
    <w:p w14:paraId="6EF412FB" w14:textId="77777777" w:rsidR="00E34778" w:rsidRPr="00114EA5" w:rsidRDefault="00E34778" w:rsidP="00E34778">
      <w:pPr>
        <w:tabs>
          <w:tab w:val="left" w:pos="0"/>
        </w:tabs>
        <w:jc w:val="both"/>
        <w:rPr>
          <w:color w:val="C00000"/>
        </w:rPr>
      </w:pPr>
    </w:p>
    <w:p w14:paraId="67B54BFE" w14:textId="77777777" w:rsidR="00E171D0" w:rsidRPr="00574AA3" w:rsidRDefault="00E171D0" w:rsidP="00F34B6A">
      <w:pPr>
        <w:rPr>
          <w:u w:val="single"/>
        </w:rPr>
      </w:pPr>
      <w:bookmarkStart w:id="3" w:name="_Hlk38439226"/>
      <w:r w:rsidRPr="00574AA3">
        <w:rPr>
          <w:u w:val="single"/>
        </w:rPr>
        <w:t>SOVRINTENDENZE E MINISTERO PER I BENI CULTURALI.</w:t>
      </w:r>
    </w:p>
    <w:p w14:paraId="741A6B62" w14:textId="77777777" w:rsidR="000122DB" w:rsidRDefault="00E171D0" w:rsidP="0036161B">
      <w:pPr>
        <w:jc w:val="both"/>
      </w:pPr>
      <w:r w:rsidRPr="00F34B6A">
        <w:t xml:space="preserve">Relativamente alla tutela, </w:t>
      </w:r>
      <w:r w:rsidR="00FF0B41" w:rsidRPr="00F34B6A">
        <w:t>conservazione e</w:t>
      </w:r>
      <w:r w:rsidR="00056891">
        <w:t xml:space="preserve"> </w:t>
      </w:r>
      <w:r w:rsidR="00FF0B41" w:rsidRPr="00F34B6A">
        <w:t>promozione del proprio</w:t>
      </w:r>
      <w:r w:rsidRPr="00F34B6A">
        <w:t xml:space="preserve"> patrimonio artistico, l’Ente ha intrapreso ogni azione </w:t>
      </w:r>
      <w:r w:rsidR="00FF0B41" w:rsidRPr="00F34B6A">
        <w:t>in piena</w:t>
      </w:r>
      <w:r w:rsidRPr="00F34B6A">
        <w:t xml:space="preserve"> sintonia e stretta collaborazione con gli organi periferici del </w:t>
      </w:r>
      <w:r w:rsidR="0024311E">
        <w:t>M</w:t>
      </w:r>
      <w:r w:rsidRPr="00F34B6A">
        <w:t>inistero e con i rispettivi funzionari addetti con i quali, sin dall’insediamento, sono stati assunti proficui rapporti di collaborazione e di fiducia.</w:t>
      </w:r>
    </w:p>
    <w:p w14:paraId="0EEB86D8" w14:textId="77777777" w:rsidR="000122DB" w:rsidRDefault="000122DB" w:rsidP="00F34B6A"/>
    <w:p w14:paraId="2DA51991" w14:textId="34968EA8" w:rsidR="00097CF4" w:rsidRPr="0036161B" w:rsidRDefault="00097CF4" w:rsidP="00F34B6A">
      <w:pPr>
        <w:rPr>
          <w:u w:val="single"/>
        </w:rPr>
      </w:pPr>
      <w:r w:rsidRPr="0036161B">
        <w:rPr>
          <w:u w:val="single"/>
        </w:rPr>
        <w:t xml:space="preserve">SCUOLE </w:t>
      </w:r>
    </w:p>
    <w:p w14:paraId="31D2A505" w14:textId="77777777" w:rsidR="00097CF4" w:rsidRPr="00F34B6A" w:rsidRDefault="00097CF4" w:rsidP="00F34B6A">
      <w:pPr>
        <w:jc w:val="both"/>
      </w:pPr>
      <w:r w:rsidRPr="00F34B6A">
        <w:t>L’Amministrazione di ETAB sin dal suo insediamento a fine giugno 2023 ha voluto dare una particolare e più marcata attenzione verso le scuole del territorio.</w:t>
      </w:r>
    </w:p>
    <w:p w14:paraId="79118662" w14:textId="77777777" w:rsidR="00097CF4" w:rsidRPr="00F34B6A" w:rsidRDefault="00097CF4" w:rsidP="00F34B6A">
      <w:pPr>
        <w:jc w:val="both"/>
      </w:pPr>
      <w:r w:rsidRPr="00F34B6A">
        <w:t>Si ritiene in particolare che la valorizzazione delle nostre scuole di qualità sia cruciale per invertire il processo di inverno demografico e di calo della popolazione specie nelle fasce più giovani che sta minando le basi della nostra comunità e della nostra economia locale.</w:t>
      </w:r>
    </w:p>
    <w:p w14:paraId="305D4813" w14:textId="0C50AC47" w:rsidR="00097CF4" w:rsidRPr="00F34B6A" w:rsidRDefault="00097CF4" w:rsidP="00F34B6A">
      <w:pPr>
        <w:jc w:val="both"/>
      </w:pPr>
      <w:r w:rsidRPr="00F34B6A">
        <w:t>Il piano varato dall’Amministrazione di ETAB va nell</w:t>
      </w:r>
      <w:r w:rsidR="00964518">
        <w:t>’</w:t>
      </w:r>
      <w:r w:rsidRPr="00F34B6A">
        <w:t>intento di promuovere l'istruzione e il benessere degli studenti e delle loro famiglie. In quest'ottica, sono state importanti i confronti con dirigenti scolastici al fine di rivedere e potenziare gli interventi a favore degli studenti.</w:t>
      </w:r>
    </w:p>
    <w:p w14:paraId="05A2DF17" w14:textId="77777777" w:rsidR="00097CF4" w:rsidRPr="00F34B6A" w:rsidRDefault="00097CF4" w:rsidP="00F34B6A">
      <w:pPr>
        <w:jc w:val="both"/>
      </w:pPr>
      <w:r w:rsidRPr="00F34B6A">
        <w:t xml:space="preserve">Dalle iniziative tradizionali delle </w:t>
      </w:r>
      <w:r w:rsidR="00347342" w:rsidRPr="00F34B6A">
        <w:t>sussidi</w:t>
      </w:r>
      <w:r w:rsidRPr="00F34B6A">
        <w:t xml:space="preserve"> di studio per i convittori dell'Agraria</w:t>
      </w:r>
      <w:r w:rsidR="00CC152B">
        <w:t xml:space="preserve"> (adeguate nel corso dell’ultimo bando stante le difficoltà ed esigenze rilevate e, tra l’altro, confermate con il notevole numero di istanza pervenute)</w:t>
      </w:r>
      <w:r w:rsidRPr="00F34B6A">
        <w:t xml:space="preserve"> sono stati condivisi nuovi progetti speciali per l'Istituto Professionale (contapersone al Tempio della Consolazione realizzato dai ragazzi dell’Ipsia e per i prossimi anni decorazioni natalizie); importanti sotto l’ottica prospettica sono le collaborazioni sinergiche per sostenere lo studio e la pratica della musica sacra presso il Tempio della Consolazione con la scuola secondaria di primo grado.</w:t>
      </w:r>
    </w:p>
    <w:p w14:paraId="54553532" w14:textId="77777777" w:rsidR="00097CF4" w:rsidRPr="00F34B6A" w:rsidRDefault="00097CF4" w:rsidP="00F34B6A">
      <w:pPr>
        <w:jc w:val="both"/>
      </w:pPr>
      <w:r w:rsidRPr="00F34B6A">
        <w:t>In questa ottica si muove lo spostamento dell'archivio, che sarà reso possibile grazie alla collaborazione dell'Amministrazione Comunale, in particolare dell'Assessore Dr.ssa Alessia Marta.</w:t>
      </w:r>
    </w:p>
    <w:p w14:paraId="63E68FB6" w14:textId="4485E6AA" w:rsidR="00097CF4" w:rsidRPr="00F34B6A" w:rsidRDefault="00E43280" w:rsidP="00F34B6A">
      <w:pPr>
        <w:jc w:val="both"/>
      </w:pPr>
      <w:r w:rsidRPr="00E43280">
        <w:rPr>
          <w:caps/>
        </w:rPr>
        <w:lastRenderedPageBreak/>
        <w:t>è</w:t>
      </w:r>
      <w:r w:rsidR="00097CF4" w:rsidRPr="00E43280">
        <w:rPr>
          <w:caps/>
        </w:rPr>
        <w:t xml:space="preserve"> </w:t>
      </w:r>
      <w:r w:rsidR="00097CF4" w:rsidRPr="00F34B6A">
        <w:t xml:space="preserve">stato anche approvato un piano per estendere l'apertura del Tempio durante il periodo da metà giugno 2024 fino al 8 settembre 2024. </w:t>
      </w:r>
    </w:p>
    <w:p w14:paraId="1F241D13" w14:textId="30DDA948" w:rsidR="00097CF4" w:rsidRPr="00F34B6A" w:rsidRDefault="00097CF4" w:rsidP="00F34B6A">
      <w:pPr>
        <w:jc w:val="both"/>
      </w:pPr>
      <w:r w:rsidRPr="00F34B6A">
        <w:t xml:space="preserve">A tal fine è stato approvato, dopo un periodo di larga </w:t>
      </w:r>
      <w:r w:rsidR="008A201E">
        <w:t>con</w:t>
      </w:r>
      <w:r w:rsidRPr="00F34B6A">
        <w:t>divisione, un bando di borsa lavoro</w:t>
      </w:r>
      <w:r w:rsidR="008A201E">
        <w:t xml:space="preserve"> </w:t>
      </w:r>
      <w:r w:rsidRPr="00F34B6A">
        <w:t xml:space="preserve">per la selezione </w:t>
      </w:r>
      <w:r w:rsidR="0022294F">
        <w:t xml:space="preserve">di </w:t>
      </w:r>
      <w:r w:rsidRPr="00F34B6A">
        <w:t>studenti</w:t>
      </w:r>
      <w:r w:rsidR="0022294F">
        <w:t xml:space="preserve"> che potranno contribuire all’apertura del Tempio della Consolazione</w:t>
      </w:r>
      <w:r w:rsidRPr="00F34B6A">
        <w:t xml:space="preserve">. </w:t>
      </w:r>
    </w:p>
    <w:p w14:paraId="477C2137" w14:textId="1B70248F" w:rsidR="008D2296" w:rsidRPr="00F34B6A" w:rsidRDefault="008D2296" w:rsidP="00F34B6A">
      <w:pPr>
        <w:jc w:val="both"/>
      </w:pPr>
      <w:r w:rsidRPr="00F34B6A">
        <w:t>Questo approccio mira a soddisfare sia le esigenze dei giovani in cerca di esperienze professionali che quelle dei turisti desiderosi di poter fruire del magnifico Tempio tuderte senza dover attendere gli orari delle riaperture pomeridiane.</w:t>
      </w:r>
    </w:p>
    <w:p w14:paraId="0013277B" w14:textId="77777777" w:rsidR="008D2296" w:rsidRPr="00F34B6A" w:rsidRDefault="008D2296" w:rsidP="00F34B6A">
      <w:pPr>
        <w:jc w:val="both"/>
      </w:pPr>
      <w:r w:rsidRPr="00F34B6A">
        <w:t xml:space="preserve">Il programma di borse lavoro di ETAB ha subito un'importante trasformazione, integrando una componente di servizio turistico. </w:t>
      </w:r>
    </w:p>
    <w:p w14:paraId="2CF2A179" w14:textId="47BB928E" w:rsidR="00846F95" w:rsidRDefault="008D2296" w:rsidP="00F34B6A">
      <w:pPr>
        <w:jc w:val="both"/>
      </w:pPr>
      <w:r w:rsidRPr="00F34B6A">
        <w:t xml:space="preserve">Quest’iniziativa non solo crea opportunità di lavoro retribuito per giovani talenti, ma contribuisce anche a migliorare l'esperienza dei visitatori in alta stagione. </w:t>
      </w:r>
    </w:p>
    <w:p w14:paraId="4D204ACE" w14:textId="614E6E36" w:rsidR="00846F95" w:rsidRDefault="00846F95" w:rsidP="00846F95">
      <w:pPr>
        <w:jc w:val="both"/>
      </w:pPr>
      <w:r>
        <w:t>Grazie a questo progetto è possibile l’estensione dell’orario di apertura del Tempio della Consolazione, che, a partire da metà giugno e fino alla festa della Consolazione, sarà visitabile ininterrottamente dalle 9:00 alle 19:00 (con un orario transitorio dalle 9:30 alle 19:00 fino al 30 giugno 2025). Questo  traguardo, che segna un ulteriore passo verso l’aumento della fruibilità e dell’accoglienza turistica del Tempio, è stato reso possibile grazie all’impegno di quattro studentesse delle scuole superiori di Todi, beneficiarie di borse lavoro estive.</w:t>
      </w:r>
    </w:p>
    <w:p w14:paraId="6AE2AEC1" w14:textId="77777777" w:rsidR="00846F95" w:rsidRDefault="00846F95" w:rsidP="00846F95">
      <w:pPr>
        <w:jc w:val="both"/>
      </w:pPr>
    </w:p>
    <w:p w14:paraId="15B08274" w14:textId="15570DDD" w:rsidR="00846F95" w:rsidRDefault="00846F95" w:rsidP="00846F95">
      <w:pPr>
        <w:jc w:val="both"/>
      </w:pPr>
      <w:r>
        <w:t>Il progetto, che il Consiglio di Amministrazione dell’ETAB intende stabilizzare nel tempo, rappresenta una perfetta sintesi tra la tradizionale missione dell’Ente di offrire opportunità ai giovani e la volontà di garantire un servizio di qualità ai turisti durante l’alta stagione. Tale iniziativa si allinea pienamente ai principi fondanti delle antiche Opere Pie che hanno dato origine all’ETAB, coniugando assistenza e promozione del territorio.</w:t>
      </w:r>
    </w:p>
    <w:p w14:paraId="332CFF92" w14:textId="7FEE478C" w:rsidR="00190D81" w:rsidRDefault="00190D81" w:rsidP="00846F95">
      <w:pPr>
        <w:jc w:val="both"/>
      </w:pPr>
      <w:r>
        <w:t>Con i ragazzi del CAT inoltre si sta consolidando la prassi di progettare e realizzare i premi assegnati ai vari concorsi di ETAB (foto e poesie), veri e propri pezzi unici con grande soddisfazione di famiglie, docenti e dell’amministrazione di ETAB.</w:t>
      </w:r>
    </w:p>
    <w:p w14:paraId="56CB49E7" w14:textId="580B4603" w:rsidR="00190D81" w:rsidRDefault="00190D81" w:rsidP="00846F95">
      <w:pPr>
        <w:jc w:val="both"/>
      </w:pPr>
      <w:r>
        <w:t>Per il prossimo anno scolastico vi è l’intenzione di promuovere il rilievo interno della Chiesa della Consolazione a cura dei ragazzi del CAT con riconoscimento di contributo da utilizzare per le finalità didattiche.</w:t>
      </w:r>
    </w:p>
    <w:p w14:paraId="2680E0F2" w14:textId="77777777" w:rsidR="00DC791E" w:rsidRPr="00DC791E" w:rsidRDefault="00DC791E" w:rsidP="00F34B6A">
      <w:pPr>
        <w:pStyle w:val="Standard"/>
        <w:jc w:val="both"/>
        <w:rPr>
          <w:sz w:val="24"/>
          <w:szCs w:val="24"/>
          <w:u w:val="single"/>
        </w:rPr>
      </w:pPr>
    </w:p>
    <w:p w14:paraId="6DBD3C85" w14:textId="77777777" w:rsidR="00E171D0" w:rsidRPr="00713E2E" w:rsidRDefault="00E171D0" w:rsidP="00F34B6A">
      <w:pPr>
        <w:rPr>
          <w:u w:val="single"/>
        </w:rPr>
      </w:pPr>
      <w:r w:rsidRPr="00713E2E">
        <w:rPr>
          <w:u w:val="single"/>
        </w:rPr>
        <w:t>ISIS “CIUFFELLI - EINAUDI”</w:t>
      </w:r>
    </w:p>
    <w:p w14:paraId="0FC7AE62" w14:textId="77777777" w:rsidR="00347342" w:rsidRPr="00F34B6A" w:rsidRDefault="00E171D0" w:rsidP="00F34B6A">
      <w:pPr>
        <w:jc w:val="both"/>
      </w:pPr>
      <w:r w:rsidRPr="00F34B6A">
        <w:t xml:space="preserve">Nel percorso storico dell’Istituto Tecnico agrario di </w:t>
      </w:r>
      <w:r w:rsidR="00FF0B41" w:rsidRPr="00F34B6A">
        <w:t xml:space="preserve">Todi, </w:t>
      </w:r>
      <w:proofErr w:type="spellStart"/>
      <w:r w:rsidR="00FF0B41" w:rsidRPr="00F34B6A">
        <w:t>l’Etab</w:t>
      </w:r>
      <w:proofErr w:type="spellEnd"/>
      <w:r w:rsidR="00FF0B41" w:rsidRPr="00F34B6A">
        <w:t xml:space="preserve"> è</w:t>
      </w:r>
      <w:r w:rsidRPr="00F34B6A">
        <w:t xml:space="preserve"> una presenza vitale e costante che   </w:t>
      </w:r>
      <w:r w:rsidR="00FF0B41" w:rsidRPr="00F34B6A">
        <w:t>partecipa direttamente alla</w:t>
      </w:r>
      <w:r w:rsidRPr="00F34B6A">
        <w:t xml:space="preserve"> fondazione dell’Istituto e </w:t>
      </w:r>
      <w:r w:rsidR="00FF0B41" w:rsidRPr="00F34B6A">
        <w:t>poi, senza</w:t>
      </w:r>
      <w:r w:rsidRPr="00F34B6A">
        <w:t xml:space="preserve"> soluzione di </w:t>
      </w:r>
      <w:r w:rsidR="00FF0B41" w:rsidRPr="00F34B6A">
        <w:t>continuità, ne</w:t>
      </w:r>
      <w:r w:rsidRPr="00F34B6A">
        <w:t xml:space="preserve"> accompagna </w:t>
      </w:r>
      <w:r w:rsidR="00FF0B41" w:rsidRPr="00F34B6A">
        <w:t>l’evoluzione da</w:t>
      </w:r>
      <w:r w:rsidRPr="00F34B6A">
        <w:t xml:space="preserve"> oltre150 anni.  Il legame consolidato nel tempo tra l’Ente e l’Istituto rappresenta un “unicum” storico irripetibile: nel </w:t>
      </w:r>
      <w:r w:rsidR="00FF0B41" w:rsidRPr="00F34B6A">
        <w:t>1864 una</w:t>
      </w:r>
      <w:r w:rsidRPr="00F34B6A">
        <w:t xml:space="preserve"> Congregazione di liberi </w:t>
      </w:r>
      <w:r w:rsidR="00FF0B41" w:rsidRPr="00F34B6A">
        <w:t>cittadini,</w:t>
      </w:r>
      <w:r w:rsidRPr="00F34B6A">
        <w:t xml:space="preserve"> su richiesta del Comune, dà vita ad una struttura didattico – educativa orientata alla cura e alla valorizzazione del proprio territorio.</w:t>
      </w:r>
    </w:p>
    <w:p w14:paraId="7A79A703" w14:textId="3FBA9C28" w:rsidR="00347342" w:rsidRPr="00F34B6A" w:rsidRDefault="00347342" w:rsidP="00F34B6A">
      <w:pPr>
        <w:jc w:val="both"/>
      </w:pPr>
      <w:r w:rsidRPr="00F34B6A">
        <w:t>Nel corso del secondo semestre 202</w:t>
      </w:r>
      <w:r w:rsidR="0036161B">
        <w:t>4</w:t>
      </w:r>
      <w:r w:rsidRPr="00F34B6A">
        <w:t xml:space="preserve"> sono stato assegnate 5 borse di studio al merito scolastico e altri contributi con erogazioni liberali per sostenere la mobilità per complessivi </w:t>
      </w:r>
      <w:r w:rsidR="0036161B">
        <w:t>6</w:t>
      </w:r>
      <w:r w:rsidRPr="00F34B6A">
        <w:t>.000 euro (di cui circa Euro 3 mila per particolari esigenze segnalate dalla direzione della scuola).</w:t>
      </w:r>
    </w:p>
    <w:p w14:paraId="28090DE2" w14:textId="5D4A6980" w:rsidR="00347342" w:rsidRPr="00F34B6A" w:rsidRDefault="00347342" w:rsidP="00F34B6A">
      <w:pPr>
        <w:jc w:val="both"/>
      </w:pPr>
      <w:r w:rsidRPr="00F34B6A">
        <w:t xml:space="preserve">Il Consiglio dell’ente, preso atto delle aumentate e diffuse difficoltà economiche, ha </w:t>
      </w:r>
      <w:r w:rsidR="0036161B">
        <w:t>confermato</w:t>
      </w:r>
      <w:r w:rsidRPr="00F34B6A">
        <w:t xml:space="preserve"> la somma da destinare al sostegno delle spese sostenute per i trasferimenti con mezzi pubblici</w:t>
      </w:r>
      <w:r w:rsidR="0036161B">
        <w:t xml:space="preserve"> (già raddoppiata rispetto ai fondi degli anni passati)</w:t>
      </w:r>
      <w:r w:rsidRPr="00F34B6A">
        <w:t>.</w:t>
      </w:r>
    </w:p>
    <w:p w14:paraId="3B131EB5" w14:textId="4F4479FC" w:rsidR="008F0792" w:rsidRPr="00F34B6A" w:rsidRDefault="0036161B" w:rsidP="00F34B6A">
      <w:pPr>
        <w:jc w:val="both"/>
      </w:pPr>
      <w:r>
        <w:t>Nel gennaio 2025 partiranno i progetti</w:t>
      </w:r>
      <w:r w:rsidR="000425B2" w:rsidRPr="00F34B6A">
        <w:t xml:space="preserve"> inaugurato il laboratorio di arte bianca </w:t>
      </w:r>
      <w:r w:rsidR="00AB3F10">
        <w:t>“</w:t>
      </w:r>
      <w:r w:rsidR="000425B2" w:rsidRPr="00F34B6A">
        <w:t>Carlo Sardoli</w:t>
      </w:r>
      <w:r w:rsidR="00AB3F10">
        <w:t>”</w:t>
      </w:r>
      <w:r w:rsidR="008F0792" w:rsidRPr="00F34B6A">
        <w:t>, un nuovo spazio che comprende un mulino con macine a pietra, impastatrici, forni con vaporiere e tutto il necessario per realizzare l’intero ciclo molitorio e di panificazione.</w:t>
      </w:r>
    </w:p>
    <w:p w14:paraId="72618F22" w14:textId="77777777" w:rsidR="00784368" w:rsidRDefault="008F0792" w:rsidP="00F34B6A">
      <w:pPr>
        <w:jc w:val="both"/>
      </w:pPr>
      <w:r w:rsidRPr="00F34B6A">
        <w:t>Siamo convinti che tutti i firmatari della convenzione vorranno aderire all’ulteriore invito di ETAB di questo nuovo spazio. Tra i firmatari ricordiamo il Comune di Todi che con il settore dei Servizi Sociali è vocato a realizzare attività nell'ambito di questa realizzazione attività di primaria importanza per le persone più esposte in questo momento di diffuse difficoltà non solo economiche.</w:t>
      </w:r>
    </w:p>
    <w:p w14:paraId="23BD09AF" w14:textId="77777777" w:rsidR="00CC152B" w:rsidRDefault="00CC152B" w:rsidP="00F34B6A">
      <w:pPr>
        <w:jc w:val="both"/>
      </w:pPr>
      <w:r>
        <w:lastRenderedPageBreak/>
        <w:t>Di comune intesa con la Direzione dell’IIS Ciuffelli, l’Amministrazione di ETAB monitorerà le nuove opportunità del PSR Umbria al fine di reperire finanziamenti per ulteriori interventi di valorizzazione per immobili di cui è in fase di studio la fase progettuale.</w:t>
      </w:r>
    </w:p>
    <w:p w14:paraId="7A7B441B" w14:textId="6579CE45" w:rsidR="001C64B7" w:rsidRDefault="002607D6" w:rsidP="001C64B7">
      <w:pPr>
        <w:jc w:val="both"/>
      </w:pPr>
      <w:r>
        <w:t>Alla fine dell’anno scolastico sono stati finanziati alcuni progetti tra cui la dotazione tecnologica del semenzaio.</w:t>
      </w:r>
      <w:r w:rsidR="00B769BB">
        <w:t xml:space="preserve"> </w:t>
      </w:r>
      <w:r w:rsidR="001C64B7">
        <w:t xml:space="preserve">In occasione della ricorrenza del 160° Anniversario dell'Istituto Tecnico Agrario "Ciuffelli" di Todi l’ente ha partecipato attivamente alle celebrazioni nella sala del Consiglio e all’Ist. Ciuffelli (presentazione della nuova serra idroponica quale simbolo di innovazione e sostenibilità). </w:t>
      </w:r>
    </w:p>
    <w:p w14:paraId="26293BA5" w14:textId="77777777" w:rsidR="004E0F4E" w:rsidRDefault="004E0F4E" w:rsidP="00F34B6A">
      <w:pPr>
        <w:jc w:val="both"/>
        <w:rPr>
          <w:b/>
          <w:bCs/>
        </w:rPr>
      </w:pPr>
    </w:p>
    <w:p w14:paraId="16E1DDD8" w14:textId="7B2D972C" w:rsidR="00E171D0" w:rsidRPr="006E0884" w:rsidRDefault="000870E5" w:rsidP="00F34B6A">
      <w:pPr>
        <w:jc w:val="both"/>
        <w:rPr>
          <w:u w:val="single"/>
        </w:rPr>
      </w:pPr>
      <w:r w:rsidRPr="006E0884">
        <w:rPr>
          <w:u w:val="single"/>
        </w:rPr>
        <w:t>TODI SOTTERRANEA</w:t>
      </w:r>
    </w:p>
    <w:p w14:paraId="46F477CF" w14:textId="2C070842" w:rsidR="00CC152B" w:rsidRPr="00F34B6A" w:rsidRDefault="00A050D6" w:rsidP="00F34B6A">
      <w:pPr>
        <w:jc w:val="both"/>
      </w:pPr>
      <w:r>
        <w:t>L’Associazione è destinataria di piccoli contributi o acquisto di alcune copie.</w:t>
      </w:r>
    </w:p>
    <w:p w14:paraId="2BA5158B" w14:textId="77777777" w:rsidR="00E171D0" w:rsidRPr="00F34B6A" w:rsidRDefault="00E171D0" w:rsidP="00F34B6A"/>
    <w:p w14:paraId="77384B10" w14:textId="77777777" w:rsidR="00E171D0" w:rsidRPr="004D73A5" w:rsidRDefault="00E171D0" w:rsidP="00F34B6A">
      <w:pPr>
        <w:rPr>
          <w:u w:val="single"/>
        </w:rPr>
      </w:pPr>
      <w:r w:rsidRPr="004D73A5">
        <w:rPr>
          <w:u w:val="single"/>
        </w:rPr>
        <w:t xml:space="preserve">COMITATO LOCALE </w:t>
      </w:r>
      <w:r w:rsidR="00D11802" w:rsidRPr="004D73A5">
        <w:rPr>
          <w:u w:val="single"/>
        </w:rPr>
        <w:t>“</w:t>
      </w:r>
      <w:r w:rsidRPr="004D73A5">
        <w:rPr>
          <w:u w:val="single"/>
        </w:rPr>
        <w:t>CROCE ROSSA ITALIANA</w:t>
      </w:r>
      <w:r w:rsidR="00D11802" w:rsidRPr="004D73A5">
        <w:rPr>
          <w:u w:val="single"/>
        </w:rPr>
        <w:t>”.</w:t>
      </w:r>
    </w:p>
    <w:p w14:paraId="45A48F49" w14:textId="42441CAD" w:rsidR="00CA5536" w:rsidRPr="00F34B6A" w:rsidRDefault="002607D6" w:rsidP="00F34B6A">
      <w:pPr>
        <w:jc w:val="both"/>
      </w:pPr>
      <w:r>
        <w:t xml:space="preserve">Alla fine del 2024 è scaduta la convenzione con </w:t>
      </w:r>
      <w:r w:rsidR="00CA5536" w:rsidRPr="00F34B6A">
        <w:t>il Comitato locale di Todi</w:t>
      </w:r>
      <w:r>
        <w:t xml:space="preserve"> che non ha partecipato al bando anno 2024 non risultando conveniente rispetto al loro onere di applicare il CCNL della CRI</w:t>
      </w:r>
      <w:r w:rsidR="00CA5536" w:rsidRPr="00F34B6A">
        <w:t>.</w:t>
      </w:r>
    </w:p>
    <w:p w14:paraId="5519C1B4" w14:textId="77777777" w:rsidR="00E171D0" w:rsidRPr="00F34B6A" w:rsidRDefault="00E171D0" w:rsidP="00F34B6A"/>
    <w:p w14:paraId="3209477E" w14:textId="77777777" w:rsidR="00E171D0" w:rsidRPr="004D73A5" w:rsidRDefault="00E171D0" w:rsidP="00F34B6A">
      <w:pPr>
        <w:jc w:val="both"/>
        <w:rPr>
          <w:u w:val="single"/>
        </w:rPr>
      </w:pPr>
      <w:r w:rsidRPr="004D73A5">
        <w:rPr>
          <w:u w:val="single"/>
        </w:rPr>
        <w:t>SUONI DAL LEGNO</w:t>
      </w:r>
    </w:p>
    <w:p w14:paraId="29088BB6" w14:textId="34A2C098" w:rsidR="00102789" w:rsidRPr="009B281D" w:rsidRDefault="00E171D0" w:rsidP="00F34B6A">
      <w:pPr>
        <w:jc w:val="both"/>
      </w:pPr>
      <w:r w:rsidRPr="009B281D">
        <w:t xml:space="preserve">Con l'Associazione Suoni dal Legno </w:t>
      </w:r>
      <w:r w:rsidR="008A2C7E" w:rsidRPr="009B281D">
        <w:t xml:space="preserve">e relativa struttura societaria </w:t>
      </w:r>
      <w:r w:rsidRPr="009B281D">
        <w:t>sono state realizzate molte collaborazioni di successo</w:t>
      </w:r>
      <w:r w:rsidR="00102789" w:rsidRPr="009B281D">
        <w:t>.</w:t>
      </w:r>
      <w:r w:rsidR="0012189F">
        <w:t xml:space="preserve"> </w:t>
      </w:r>
      <w:r w:rsidR="00102789" w:rsidRPr="009B281D">
        <w:t>N</w:t>
      </w:r>
      <w:r w:rsidRPr="009B281D">
        <w:t xml:space="preserve">el </w:t>
      </w:r>
      <w:r w:rsidR="00CB69C1" w:rsidRPr="009B281D">
        <w:t>202</w:t>
      </w:r>
      <w:r w:rsidR="00A050D6">
        <w:t>4</w:t>
      </w:r>
      <w:r w:rsidR="00102789" w:rsidRPr="009B281D">
        <w:t xml:space="preserve"> la collaborazione è stata riferita alla </w:t>
      </w:r>
      <w:r w:rsidR="00A050D6">
        <w:t xml:space="preserve">nona </w:t>
      </w:r>
      <w:r w:rsidR="00102789" w:rsidRPr="009B281D">
        <w:t>edizione del Festival di Musica Sacra</w:t>
      </w:r>
      <w:r w:rsidR="008A2C7E" w:rsidRPr="009B281D">
        <w:t xml:space="preserve"> con la </w:t>
      </w:r>
      <w:r w:rsidR="001F0049" w:rsidRPr="009B281D">
        <w:t>collaborazione</w:t>
      </w:r>
      <w:r w:rsidR="008A2C7E" w:rsidRPr="009B281D">
        <w:t xml:space="preserve"> del Maestro Mons. Vincenzo De Gregorio, Preside del PIMS e consulente della Santa Sede e della CEI per la Musica Sacra</w:t>
      </w:r>
      <w:r w:rsidR="005C0246" w:rsidRPr="009B281D">
        <w:t xml:space="preserve"> e la neo collaborazione con il team di Maurizio Mastrini e il green international festival</w:t>
      </w:r>
      <w:r w:rsidRPr="009B281D">
        <w:t xml:space="preserve">. </w:t>
      </w:r>
    </w:p>
    <w:p w14:paraId="47E47DEA" w14:textId="77777777" w:rsidR="00E171D0" w:rsidRDefault="00E171D0" w:rsidP="00F34B6A">
      <w:pPr>
        <w:jc w:val="both"/>
      </w:pPr>
    </w:p>
    <w:p w14:paraId="33FBA611" w14:textId="77777777" w:rsidR="00784084" w:rsidRPr="006E0884" w:rsidRDefault="00784084" w:rsidP="00F34B6A">
      <w:pPr>
        <w:rPr>
          <w:u w:val="single"/>
        </w:rPr>
      </w:pPr>
      <w:r w:rsidRPr="006E0884">
        <w:rPr>
          <w:u w:val="single"/>
        </w:rPr>
        <w:t>PROTEZIONE CIVILE</w:t>
      </w:r>
    </w:p>
    <w:p w14:paraId="581EA7F3" w14:textId="4EFEDEAD" w:rsidR="00C230F4" w:rsidRPr="00F34B6A" w:rsidRDefault="00784084" w:rsidP="00F34B6A">
      <w:pPr>
        <w:jc w:val="both"/>
      </w:pPr>
      <w:r w:rsidRPr="00F34B6A">
        <w:t>Da diversi anni l’Associazione La Rosa dell’Umbria ONLUS collabora con l’Ente per l’espletamento delle varie attività istituzionali in piena sicurezza, tra cui il programma per la festa dell’8 settembre ogni anno presso il Tempio della Consolazione.</w:t>
      </w:r>
      <w:r w:rsidR="00A050D6">
        <w:t xml:space="preserve"> Dal gennaio 2025 la collaborazione è stata estesa al Gruppo Famiglia</w:t>
      </w:r>
      <w:r w:rsidR="002607D6">
        <w:t xml:space="preserve"> Talia Bagli De Angelis</w:t>
      </w:r>
      <w:r w:rsidR="00A050D6">
        <w:t>.</w:t>
      </w:r>
    </w:p>
    <w:p w14:paraId="546378C5" w14:textId="77777777" w:rsidR="00C41852" w:rsidRPr="00F34B6A" w:rsidRDefault="00C41852" w:rsidP="00F34B6A">
      <w:pPr>
        <w:jc w:val="both"/>
      </w:pPr>
    </w:p>
    <w:p w14:paraId="50036200" w14:textId="4E54FCBD" w:rsidR="00E171D0" w:rsidRPr="008808D6" w:rsidRDefault="004D1114" w:rsidP="00F34B6A">
      <w:pPr>
        <w:ind w:left="720"/>
        <w:rPr>
          <w:b/>
          <w:bCs/>
          <w:color w:val="C00000"/>
        </w:rPr>
      </w:pPr>
      <w:r w:rsidRPr="008808D6">
        <w:rPr>
          <w:b/>
          <w:bCs/>
          <w:color w:val="C00000"/>
          <w:highlight w:val="yellow"/>
        </w:rPr>
        <w:t xml:space="preserve">PARTE IV - </w:t>
      </w:r>
      <w:r w:rsidR="00E171D0" w:rsidRPr="008808D6">
        <w:rPr>
          <w:b/>
          <w:bCs/>
          <w:color w:val="C00000"/>
          <w:highlight w:val="yellow"/>
        </w:rPr>
        <w:t xml:space="preserve">SITUAZIONE ECONOMICO/FINANZIARIA </w:t>
      </w:r>
      <w:r w:rsidR="00166D67" w:rsidRPr="008808D6">
        <w:rPr>
          <w:b/>
          <w:bCs/>
          <w:color w:val="C00000"/>
        </w:rPr>
        <w:t xml:space="preserve">E </w:t>
      </w:r>
      <w:r w:rsidR="00166D67" w:rsidRPr="008808D6">
        <w:rPr>
          <w:b/>
          <w:bCs/>
          <w:color w:val="C00000"/>
          <w:highlight w:val="yellow"/>
        </w:rPr>
        <w:t>DEL PERSONALE</w:t>
      </w:r>
      <w:r w:rsidR="00DA0860" w:rsidRPr="008808D6">
        <w:rPr>
          <w:b/>
          <w:bCs/>
          <w:color w:val="C00000"/>
          <w:highlight w:val="yellow"/>
        </w:rPr>
        <w:t xml:space="preserve"> DIPENDENTE </w:t>
      </w:r>
    </w:p>
    <w:p w14:paraId="2CD38885" w14:textId="77777777" w:rsidR="00374C8D" w:rsidRPr="008808D6" w:rsidRDefault="00374C8D" w:rsidP="00F34B6A">
      <w:pPr>
        <w:ind w:left="720"/>
        <w:rPr>
          <w:b/>
          <w:bCs/>
          <w:color w:val="C00000"/>
        </w:rPr>
      </w:pPr>
    </w:p>
    <w:p w14:paraId="4A292D15" w14:textId="07EA1457" w:rsidR="002A50CF" w:rsidRPr="00060D98" w:rsidRDefault="00060D98" w:rsidP="00F34B6A">
      <w:pPr>
        <w:rPr>
          <w:b/>
          <w:bCs/>
          <w:i/>
          <w:iCs/>
        </w:rPr>
      </w:pPr>
      <w:r w:rsidRPr="00060D98">
        <w:rPr>
          <w:b/>
          <w:bCs/>
          <w:i/>
          <w:iCs/>
        </w:rPr>
        <w:t xml:space="preserve">Approccio alla legalità </w:t>
      </w:r>
    </w:p>
    <w:p w14:paraId="28B36582" w14:textId="5F03B15A" w:rsidR="002A50CF" w:rsidRPr="00F34B6A" w:rsidRDefault="002A50CF" w:rsidP="00F34B6A">
      <w:r w:rsidRPr="00F34B6A">
        <w:t>Preme evidenziare prima di passare ai dati economici che nella prima seduta, stante l’occasione offerta dal nuov</w:t>
      </w:r>
      <w:r w:rsidR="003A474B">
        <w:t>o</w:t>
      </w:r>
      <w:r w:rsidRPr="00F34B6A">
        <w:t xml:space="preserve"> codice dei contratti, con deliberazione 52 in data 28.06.2023 sono state estese alcune regole che riguardano in contratti pubblici anche ai contratti c.d. “attivi”; in particolare sono state approvate linee guida per la stipula di contratti attivi nel senso di prevedere nelle procedure di gara i seguenti requisiti (per persone fisiche non si applicano i punti 1 e 4):</w:t>
      </w:r>
    </w:p>
    <w:p w14:paraId="0549EEC4" w14:textId="77777777" w:rsidR="002A50CF" w:rsidRPr="00F34B6A" w:rsidRDefault="002A50CF" w:rsidP="00F34B6A">
      <w:pPr>
        <w:rPr>
          <w:i/>
          <w:iCs/>
        </w:rPr>
      </w:pPr>
      <w:r w:rsidRPr="00F34B6A">
        <w:t>1)</w:t>
      </w:r>
      <w:r w:rsidRPr="00F34B6A">
        <w:rPr>
          <w:i/>
          <w:iCs/>
        </w:rPr>
        <w:tab/>
        <w:t>Regolarità contributiva attestata dal DURC;</w:t>
      </w:r>
    </w:p>
    <w:p w14:paraId="00599412" w14:textId="77777777" w:rsidR="002A50CF" w:rsidRPr="00F34B6A" w:rsidRDefault="002A50CF" w:rsidP="00F34B6A">
      <w:pPr>
        <w:rPr>
          <w:i/>
          <w:iCs/>
        </w:rPr>
      </w:pPr>
      <w:r w:rsidRPr="00F34B6A">
        <w:rPr>
          <w:i/>
          <w:iCs/>
        </w:rPr>
        <w:t>2)</w:t>
      </w:r>
      <w:r w:rsidRPr="00F34B6A">
        <w:rPr>
          <w:i/>
          <w:iCs/>
        </w:rPr>
        <w:tab/>
        <w:t>Regolarità tributaria attestata dall’agenzia delle entrate;</w:t>
      </w:r>
    </w:p>
    <w:p w14:paraId="0792393B" w14:textId="77777777" w:rsidR="002A50CF" w:rsidRPr="00F34B6A" w:rsidRDefault="002A50CF" w:rsidP="00F34B6A">
      <w:pPr>
        <w:rPr>
          <w:i/>
          <w:iCs/>
        </w:rPr>
      </w:pPr>
      <w:r w:rsidRPr="00F34B6A">
        <w:rPr>
          <w:i/>
          <w:iCs/>
        </w:rPr>
        <w:t>3)</w:t>
      </w:r>
      <w:r w:rsidRPr="00F34B6A">
        <w:rPr>
          <w:i/>
          <w:iCs/>
        </w:rPr>
        <w:tab/>
        <w:t>Assenza carichi pendenti attestati dalla Procura competente;</w:t>
      </w:r>
    </w:p>
    <w:p w14:paraId="0FAA32E0" w14:textId="77777777" w:rsidR="002A50CF" w:rsidRPr="00F34B6A" w:rsidRDefault="002A50CF" w:rsidP="00F34B6A">
      <w:pPr>
        <w:rPr>
          <w:i/>
          <w:iCs/>
        </w:rPr>
      </w:pPr>
      <w:r w:rsidRPr="00F34B6A">
        <w:rPr>
          <w:i/>
          <w:iCs/>
        </w:rPr>
        <w:t>4)</w:t>
      </w:r>
      <w:r w:rsidRPr="00F34B6A">
        <w:rPr>
          <w:i/>
          <w:iCs/>
        </w:rPr>
        <w:tab/>
        <w:t>Assenza di misure concorsuali attestati dalla CCIAA (verifiche PA);</w:t>
      </w:r>
    </w:p>
    <w:p w14:paraId="0F6E8433" w14:textId="77777777" w:rsidR="002A50CF" w:rsidRDefault="002A50CF" w:rsidP="00F34B6A">
      <w:pPr>
        <w:rPr>
          <w:i/>
          <w:iCs/>
        </w:rPr>
      </w:pPr>
      <w:r w:rsidRPr="00F34B6A">
        <w:rPr>
          <w:i/>
          <w:iCs/>
        </w:rPr>
        <w:t>5)</w:t>
      </w:r>
      <w:r w:rsidRPr="00F34B6A">
        <w:rPr>
          <w:i/>
          <w:iCs/>
        </w:rPr>
        <w:tab/>
        <w:t>Assenza di posizioni debitorie nei confronti dell’ente La Consolazione ETAB.</w:t>
      </w:r>
    </w:p>
    <w:p w14:paraId="31BF2992" w14:textId="3FE13C46" w:rsidR="00B769BB" w:rsidRPr="00B769BB" w:rsidRDefault="00B769BB" w:rsidP="00F34B6A">
      <w:r w:rsidRPr="00B769BB">
        <w:t>Sempre nella medesima ottica sono in corso di aggiornamento e/o adozione ex novo di diversi regolamenti ritenuti coerenti con principi di buona amministrazione.</w:t>
      </w:r>
    </w:p>
    <w:p w14:paraId="1DD2520A" w14:textId="77777777" w:rsidR="002A50CF" w:rsidRPr="00F34B6A" w:rsidRDefault="002A50CF" w:rsidP="00F34B6A">
      <w:pPr>
        <w:ind w:left="720"/>
        <w:rPr>
          <w:b/>
          <w:bCs/>
        </w:rPr>
      </w:pPr>
    </w:p>
    <w:p w14:paraId="28A1F9A0" w14:textId="0D191CCD" w:rsidR="00E171D0" w:rsidRPr="00F34B6A" w:rsidRDefault="00E171D0" w:rsidP="00F34B6A">
      <w:pPr>
        <w:rPr>
          <w:b/>
          <w:bCs/>
        </w:rPr>
      </w:pPr>
      <w:r w:rsidRPr="00F34B6A">
        <w:rPr>
          <w:b/>
          <w:bCs/>
        </w:rPr>
        <w:t>SITUAZIONE ECONOMICO/FINANZIARIA</w:t>
      </w:r>
      <w:r w:rsidR="00B40BD5" w:rsidRPr="00F34B6A">
        <w:rPr>
          <w:b/>
          <w:bCs/>
        </w:rPr>
        <w:t xml:space="preserve"> (Consuntivo </w:t>
      </w:r>
      <w:r w:rsidR="003A28A8">
        <w:rPr>
          <w:b/>
          <w:bCs/>
        </w:rPr>
        <w:t>202</w:t>
      </w:r>
      <w:r w:rsidR="002607D6">
        <w:rPr>
          <w:b/>
          <w:bCs/>
        </w:rPr>
        <w:t>4</w:t>
      </w:r>
      <w:r w:rsidR="00B40BD5" w:rsidRPr="00F34B6A">
        <w:rPr>
          <w:b/>
          <w:bCs/>
        </w:rPr>
        <w:t>).</w:t>
      </w:r>
    </w:p>
    <w:p w14:paraId="1C48BAD6" w14:textId="77777777" w:rsidR="002607D6" w:rsidRDefault="002607D6" w:rsidP="002607D6">
      <w:pPr>
        <w:jc w:val="both"/>
      </w:pPr>
      <w:r w:rsidRPr="00461D39">
        <w:t>Alla chiusura dell’esercizio 20</w:t>
      </w:r>
      <w:r>
        <w:t>24</w:t>
      </w:r>
      <w:r w:rsidRPr="00461D39">
        <w:t xml:space="preserve"> è stato rilevato un </w:t>
      </w:r>
      <w:r w:rsidRPr="00461D39">
        <w:rPr>
          <w:b/>
        </w:rPr>
        <w:t xml:space="preserve">avanzo di amministrazione pari ad Euro </w:t>
      </w:r>
      <w:r>
        <w:rPr>
          <w:b/>
        </w:rPr>
        <w:t>187</w:t>
      </w:r>
      <w:r w:rsidRPr="00502D82">
        <w:rPr>
          <w:b/>
        </w:rPr>
        <w:t>.</w:t>
      </w:r>
      <w:r>
        <w:rPr>
          <w:b/>
        </w:rPr>
        <w:t>061</w:t>
      </w:r>
      <w:r w:rsidRPr="00502D82">
        <w:rPr>
          <w:b/>
        </w:rPr>
        <w:t>,</w:t>
      </w:r>
      <w:r>
        <w:rPr>
          <w:b/>
        </w:rPr>
        <w:t xml:space="preserve">30 </w:t>
      </w:r>
      <w:r w:rsidRPr="00461D39">
        <w:t>(</w:t>
      </w:r>
      <w:r>
        <w:t xml:space="preserve">risultati amministrazione esercizi precedenti: Euro 219.263,86 nel 2023 Euro </w:t>
      </w:r>
      <w:r w:rsidRPr="00502D82">
        <w:rPr>
          <w:bCs/>
        </w:rPr>
        <w:t>139.048,42  nel 2022</w:t>
      </w:r>
      <w:r>
        <w:rPr>
          <w:b/>
        </w:rPr>
        <w:t xml:space="preserve">, </w:t>
      </w:r>
      <w:r>
        <w:t>Euro</w:t>
      </w:r>
      <w:r w:rsidRPr="001A3C45">
        <w:rPr>
          <w:bCs/>
        </w:rPr>
        <w:t xml:space="preserve"> 110.679,59 nel 2021</w:t>
      </w:r>
      <w:r>
        <w:rPr>
          <w:bCs/>
        </w:rPr>
        <w:t>,</w:t>
      </w:r>
      <w:r>
        <w:rPr>
          <w:b/>
        </w:rPr>
        <w:t xml:space="preserve"> </w:t>
      </w:r>
      <w:r>
        <w:t xml:space="preserve">Euro </w:t>
      </w:r>
      <w:r w:rsidRPr="00B92253">
        <w:rPr>
          <w:bCs/>
        </w:rPr>
        <w:t>146.201,61  nel 2020</w:t>
      </w:r>
      <w:r>
        <w:rPr>
          <w:b/>
        </w:rPr>
        <w:t xml:space="preserve">, </w:t>
      </w:r>
      <w:r>
        <w:t xml:space="preserve">Euro </w:t>
      </w:r>
      <w:r w:rsidRPr="00DF7563">
        <w:rPr>
          <w:bCs/>
        </w:rPr>
        <w:t>101.345,92  nel 2019</w:t>
      </w:r>
      <w:r>
        <w:rPr>
          <w:b/>
        </w:rPr>
        <w:t xml:space="preserve">, </w:t>
      </w:r>
      <w:r w:rsidRPr="007E3C14">
        <w:rPr>
          <w:bCs/>
        </w:rPr>
        <w:t>Euro 81.294,17 nel 2018,</w:t>
      </w:r>
      <w:r w:rsidRPr="00461D39">
        <w:rPr>
          <w:b/>
        </w:rPr>
        <w:t xml:space="preserve"> </w:t>
      </w:r>
      <w:r w:rsidRPr="00461D39">
        <w:t>Euro 48.621,86 nel 2017,</w:t>
      </w:r>
      <w:r w:rsidRPr="00461D39">
        <w:rPr>
          <w:b/>
        </w:rPr>
        <w:t xml:space="preserve"> </w:t>
      </w:r>
      <w:r w:rsidRPr="00461D39">
        <w:t>82.133,96 nel 2016, Euro 140.097,73 nel 2015 ed Euro</w:t>
      </w:r>
      <w:r w:rsidRPr="00461D39">
        <w:rPr>
          <w:b/>
        </w:rPr>
        <w:t xml:space="preserve"> </w:t>
      </w:r>
      <w:r w:rsidRPr="00461D39">
        <w:lastRenderedPageBreak/>
        <w:t>53.766,80 nel 2014)</w:t>
      </w:r>
      <w:r>
        <w:t xml:space="preserve"> con un decremento rispetto al risultato di amministrazione dell’esercizio precedente di Euro 32.302,56</w:t>
      </w:r>
      <w:r w:rsidRPr="00461D39">
        <w:t>.</w:t>
      </w:r>
      <w:r>
        <w:t xml:space="preserve"> </w:t>
      </w:r>
      <w:r w:rsidRPr="00461D39">
        <w:t>La descritta situazione è la risultante di pi</w:t>
      </w:r>
      <w:r>
        <w:t>ù</w:t>
      </w:r>
      <w:r w:rsidRPr="00461D39">
        <w:t xml:space="preserve"> cause </w:t>
      </w:r>
      <w:r>
        <w:t>come si dirà appresso</w:t>
      </w:r>
      <w:r w:rsidRPr="00461D39">
        <w:t>.</w:t>
      </w:r>
    </w:p>
    <w:p w14:paraId="2D345259" w14:textId="77777777" w:rsidR="002607D6" w:rsidRDefault="002607D6" w:rsidP="002607D6">
      <w:pPr>
        <w:jc w:val="both"/>
      </w:pPr>
    </w:p>
    <w:tbl>
      <w:tblPr>
        <w:tblW w:w="8482" w:type="dxa"/>
        <w:tblInd w:w="93" w:type="dxa"/>
        <w:tblCellMar>
          <w:left w:w="70" w:type="dxa"/>
          <w:right w:w="70" w:type="dxa"/>
        </w:tblCellMar>
        <w:tblLook w:val="04A0" w:firstRow="1" w:lastRow="0" w:firstColumn="1" w:lastColumn="0" w:noHBand="0" w:noVBand="1"/>
      </w:tblPr>
      <w:tblGrid>
        <w:gridCol w:w="960"/>
        <w:gridCol w:w="950"/>
        <w:gridCol w:w="950"/>
        <w:gridCol w:w="860"/>
        <w:gridCol w:w="1000"/>
        <w:gridCol w:w="1022"/>
        <w:gridCol w:w="1255"/>
        <w:gridCol w:w="1485"/>
      </w:tblGrid>
      <w:tr w:rsidR="002607D6" w:rsidRPr="00FE1088" w14:paraId="706E85C8" w14:textId="77777777" w:rsidTr="00F0564D">
        <w:trPr>
          <w:trHeight w:val="270"/>
        </w:trPr>
        <w:tc>
          <w:tcPr>
            <w:tcW w:w="960" w:type="dxa"/>
            <w:tcBorders>
              <w:top w:val="nil"/>
              <w:left w:val="double" w:sz="6" w:space="0" w:color="000000"/>
              <w:bottom w:val="nil"/>
              <w:right w:val="nil"/>
            </w:tcBorders>
            <w:noWrap/>
            <w:vAlign w:val="bottom"/>
            <w:hideMark/>
          </w:tcPr>
          <w:p w14:paraId="4B47F96C" w14:textId="77777777" w:rsidR="002607D6" w:rsidRPr="00FE1088" w:rsidRDefault="002607D6" w:rsidP="00F0564D">
            <w:pPr>
              <w:rPr>
                <w:color w:val="000000"/>
                <w:sz w:val="14"/>
                <w:szCs w:val="14"/>
              </w:rPr>
            </w:pPr>
            <w:r w:rsidRPr="00FE1088">
              <w:rPr>
                <w:color w:val="000000"/>
                <w:sz w:val="14"/>
                <w:szCs w:val="14"/>
              </w:rPr>
              <w:t> </w:t>
            </w:r>
          </w:p>
        </w:tc>
        <w:tc>
          <w:tcPr>
            <w:tcW w:w="1900" w:type="dxa"/>
            <w:gridSpan w:val="2"/>
            <w:tcBorders>
              <w:top w:val="nil"/>
              <w:left w:val="nil"/>
              <w:bottom w:val="nil"/>
              <w:right w:val="nil"/>
            </w:tcBorders>
            <w:noWrap/>
            <w:vAlign w:val="bottom"/>
            <w:hideMark/>
          </w:tcPr>
          <w:p w14:paraId="23387CF4" w14:textId="77777777" w:rsidR="002607D6" w:rsidRPr="00FE1088" w:rsidRDefault="002607D6" w:rsidP="00F0564D">
            <w:pPr>
              <w:rPr>
                <w:color w:val="000000"/>
                <w:sz w:val="14"/>
                <w:szCs w:val="14"/>
              </w:rPr>
            </w:pPr>
            <w:r w:rsidRPr="00FE1088">
              <w:rPr>
                <w:color w:val="000000"/>
                <w:sz w:val="14"/>
                <w:szCs w:val="14"/>
              </w:rPr>
              <w:t>SOPRAVVENIENZE</w:t>
            </w:r>
          </w:p>
        </w:tc>
        <w:tc>
          <w:tcPr>
            <w:tcW w:w="860" w:type="dxa"/>
            <w:tcBorders>
              <w:top w:val="nil"/>
              <w:left w:val="nil"/>
              <w:bottom w:val="nil"/>
              <w:right w:val="nil"/>
            </w:tcBorders>
            <w:noWrap/>
            <w:vAlign w:val="bottom"/>
            <w:hideMark/>
          </w:tcPr>
          <w:p w14:paraId="491E5284" w14:textId="77777777" w:rsidR="002607D6" w:rsidRPr="00FE1088" w:rsidRDefault="002607D6" w:rsidP="00F0564D">
            <w:pPr>
              <w:rPr>
                <w:color w:val="000000"/>
                <w:sz w:val="14"/>
                <w:szCs w:val="14"/>
              </w:rPr>
            </w:pPr>
          </w:p>
        </w:tc>
        <w:tc>
          <w:tcPr>
            <w:tcW w:w="1000" w:type="dxa"/>
            <w:tcBorders>
              <w:top w:val="nil"/>
              <w:left w:val="nil"/>
              <w:bottom w:val="nil"/>
              <w:right w:val="nil"/>
            </w:tcBorders>
            <w:noWrap/>
            <w:vAlign w:val="bottom"/>
            <w:hideMark/>
          </w:tcPr>
          <w:p w14:paraId="2B505C6F" w14:textId="77777777" w:rsidR="002607D6" w:rsidRPr="00FE1088" w:rsidRDefault="002607D6" w:rsidP="00F0564D">
            <w:pPr>
              <w:rPr>
                <w:sz w:val="14"/>
                <w:szCs w:val="14"/>
              </w:rPr>
            </w:pPr>
          </w:p>
        </w:tc>
        <w:tc>
          <w:tcPr>
            <w:tcW w:w="1022" w:type="dxa"/>
            <w:tcBorders>
              <w:top w:val="nil"/>
              <w:left w:val="nil"/>
              <w:bottom w:val="nil"/>
              <w:right w:val="nil"/>
            </w:tcBorders>
            <w:noWrap/>
            <w:vAlign w:val="bottom"/>
            <w:hideMark/>
          </w:tcPr>
          <w:p w14:paraId="44F6D6EE" w14:textId="77777777" w:rsidR="002607D6" w:rsidRPr="00FE1088" w:rsidRDefault="002607D6" w:rsidP="00F0564D">
            <w:pPr>
              <w:rPr>
                <w:sz w:val="14"/>
                <w:szCs w:val="14"/>
              </w:rPr>
            </w:pPr>
          </w:p>
        </w:tc>
        <w:tc>
          <w:tcPr>
            <w:tcW w:w="1255" w:type="dxa"/>
            <w:tcBorders>
              <w:top w:val="nil"/>
              <w:left w:val="nil"/>
              <w:bottom w:val="nil"/>
              <w:right w:val="nil"/>
            </w:tcBorders>
            <w:noWrap/>
            <w:vAlign w:val="bottom"/>
            <w:hideMark/>
          </w:tcPr>
          <w:p w14:paraId="4CA042AD" w14:textId="77777777" w:rsidR="002607D6" w:rsidRPr="00FE1088" w:rsidRDefault="002607D6" w:rsidP="00F0564D">
            <w:pPr>
              <w:rPr>
                <w:sz w:val="14"/>
                <w:szCs w:val="14"/>
              </w:rPr>
            </w:pPr>
          </w:p>
        </w:tc>
        <w:tc>
          <w:tcPr>
            <w:tcW w:w="1485" w:type="dxa"/>
            <w:tcBorders>
              <w:top w:val="nil"/>
              <w:left w:val="nil"/>
              <w:bottom w:val="nil"/>
              <w:right w:val="nil"/>
            </w:tcBorders>
            <w:noWrap/>
            <w:vAlign w:val="bottom"/>
            <w:hideMark/>
          </w:tcPr>
          <w:p w14:paraId="3B2AB500" w14:textId="77777777" w:rsidR="002607D6" w:rsidRPr="00FE1088" w:rsidRDefault="002607D6" w:rsidP="00F0564D">
            <w:pPr>
              <w:rPr>
                <w:sz w:val="14"/>
                <w:szCs w:val="14"/>
              </w:rPr>
            </w:pPr>
          </w:p>
        </w:tc>
      </w:tr>
      <w:tr w:rsidR="002607D6" w:rsidRPr="00FE1088" w14:paraId="758FE16B" w14:textId="77777777" w:rsidTr="00F0564D">
        <w:trPr>
          <w:trHeight w:val="270"/>
        </w:trPr>
        <w:tc>
          <w:tcPr>
            <w:tcW w:w="960" w:type="dxa"/>
            <w:tcBorders>
              <w:top w:val="nil"/>
              <w:left w:val="double" w:sz="6" w:space="0" w:color="000000"/>
              <w:bottom w:val="nil"/>
              <w:right w:val="nil"/>
            </w:tcBorders>
            <w:noWrap/>
            <w:vAlign w:val="bottom"/>
            <w:hideMark/>
          </w:tcPr>
          <w:p w14:paraId="5B0F401E" w14:textId="77777777" w:rsidR="002607D6" w:rsidRPr="00FE1088" w:rsidRDefault="002607D6" w:rsidP="00F0564D">
            <w:pPr>
              <w:rPr>
                <w:color w:val="000000"/>
                <w:sz w:val="14"/>
                <w:szCs w:val="14"/>
              </w:rPr>
            </w:pPr>
            <w:r w:rsidRPr="00FE1088">
              <w:rPr>
                <w:color w:val="000000"/>
                <w:sz w:val="14"/>
                <w:szCs w:val="14"/>
              </w:rPr>
              <w:t>1) ATTIVE</w:t>
            </w:r>
          </w:p>
        </w:tc>
        <w:tc>
          <w:tcPr>
            <w:tcW w:w="950" w:type="dxa"/>
            <w:tcBorders>
              <w:top w:val="nil"/>
              <w:left w:val="nil"/>
              <w:bottom w:val="nil"/>
              <w:right w:val="nil"/>
            </w:tcBorders>
            <w:noWrap/>
            <w:vAlign w:val="bottom"/>
            <w:hideMark/>
          </w:tcPr>
          <w:p w14:paraId="731B9F7A" w14:textId="77777777" w:rsidR="002607D6" w:rsidRPr="00FE1088" w:rsidRDefault="002607D6" w:rsidP="00F0564D">
            <w:pPr>
              <w:rPr>
                <w:color w:val="000000"/>
                <w:sz w:val="14"/>
                <w:szCs w:val="14"/>
              </w:rPr>
            </w:pPr>
          </w:p>
        </w:tc>
        <w:tc>
          <w:tcPr>
            <w:tcW w:w="950" w:type="dxa"/>
            <w:tcBorders>
              <w:top w:val="nil"/>
              <w:left w:val="nil"/>
              <w:bottom w:val="nil"/>
              <w:right w:val="nil"/>
            </w:tcBorders>
            <w:noWrap/>
            <w:vAlign w:val="bottom"/>
            <w:hideMark/>
          </w:tcPr>
          <w:p w14:paraId="05C210B2" w14:textId="77777777" w:rsidR="002607D6" w:rsidRPr="00FE1088" w:rsidRDefault="002607D6" w:rsidP="00F0564D">
            <w:pPr>
              <w:rPr>
                <w:sz w:val="14"/>
                <w:szCs w:val="14"/>
              </w:rPr>
            </w:pPr>
          </w:p>
        </w:tc>
        <w:tc>
          <w:tcPr>
            <w:tcW w:w="860" w:type="dxa"/>
            <w:tcBorders>
              <w:top w:val="nil"/>
              <w:left w:val="nil"/>
              <w:bottom w:val="nil"/>
              <w:right w:val="nil"/>
            </w:tcBorders>
            <w:noWrap/>
            <w:vAlign w:val="bottom"/>
            <w:hideMark/>
          </w:tcPr>
          <w:p w14:paraId="01073C6F" w14:textId="77777777" w:rsidR="002607D6" w:rsidRPr="00FE1088" w:rsidRDefault="002607D6" w:rsidP="00F0564D">
            <w:pPr>
              <w:rPr>
                <w:sz w:val="14"/>
                <w:szCs w:val="14"/>
              </w:rPr>
            </w:pPr>
          </w:p>
        </w:tc>
        <w:tc>
          <w:tcPr>
            <w:tcW w:w="1000" w:type="dxa"/>
            <w:tcBorders>
              <w:top w:val="nil"/>
              <w:left w:val="nil"/>
              <w:bottom w:val="nil"/>
              <w:right w:val="nil"/>
            </w:tcBorders>
            <w:noWrap/>
            <w:vAlign w:val="bottom"/>
            <w:hideMark/>
          </w:tcPr>
          <w:p w14:paraId="0DA6118B" w14:textId="77777777" w:rsidR="002607D6" w:rsidRPr="00FE1088" w:rsidRDefault="002607D6" w:rsidP="00F0564D">
            <w:pPr>
              <w:rPr>
                <w:sz w:val="14"/>
                <w:szCs w:val="14"/>
              </w:rPr>
            </w:pPr>
          </w:p>
        </w:tc>
        <w:tc>
          <w:tcPr>
            <w:tcW w:w="1022" w:type="dxa"/>
            <w:tcBorders>
              <w:top w:val="nil"/>
              <w:left w:val="nil"/>
              <w:bottom w:val="nil"/>
              <w:right w:val="nil"/>
            </w:tcBorders>
            <w:noWrap/>
            <w:vAlign w:val="bottom"/>
            <w:hideMark/>
          </w:tcPr>
          <w:p w14:paraId="36FBC336" w14:textId="77777777" w:rsidR="002607D6" w:rsidRPr="00FE1088" w:rsidRDefault="002607D6" w:rsidP="00F0564D">
            <w:pPr>
              <w:rPr>
                <w:sz w:val="14"/>
                <w:szCs w:val="14"/>
              </w:rPr>
            </w:pPr>
          </w:p>
        </w:tc>
        <w:tc>
          <w:tcPr>
            <w:tcW w:w="1255" w:type="dxa"/>
            <w:tcBorders>
              <w:top w:val="nil"/>
              <w:left w:val="nil"/>
              <w:bottom w:val="nil"/>
              <w:right w:val="nil"/>
            </w:tcBorders>
            <w:noWrap/>
            <w:vAlign w:val="bottom"/>
            <w:hideMark/>
          </w:tcPr>
          <w:p w14:paraId="737CB90E" w14:textId="77777777" w:rsidR="002607D6" w:rsidRPr="00FE1088" w:rsidRDefault="002607D6" w:rsidP="00F0564D">
            <w:pPr>
              <w:rPr>
                <w:sz w:val="14"/>
                <w:szCs w:val="14"/>
              </w:rPr>
            </w:pPr>
          </w:p>
        </w:tc>
        <w:tc>
          <w:tcPr>
            <w:tcW w:w="1485" w:type="dxa"/>
            <w:tcBorders>
              <w:top w:val="nil"/>
              <w:left w:val="nil"/>
              <w:bottom w:val="nil"/>
              <w:right w:val="nil"/>
            </w:tcBorders>
            <w:noWrap/>
            <w:vAlign w:val="bottom"/>
            <w:hideMark/>
          </w:tcPr>
          <w:p w14:paraId="12D44CB8" w14:textId="77777777" w:rsidR="002607D6" w:rsidRPr="00FE1088" w:rsidRDefault="002607D6" w:rsidP="00F0564D">
            <w:pPr>
              <w:rPr>
                <w:sz w:val="14"/>
                <w:szCs w:val="14"/>
              </w:rPr>
            </w:pPr>
          </w:p>
        </w:tc>
      </w:tr>
      <w:tr w:rsidR="002607D6" w:rsidRPr="00FE1088" w14:paraId="32CE04BB" w14:textId="77777777" w:rsidTr="00F0564D">
        <w:trPr>
          <w:trHeight w:val="270"/>
        </w:trPr>
        <w:tc>
          <w:tcPr>
            <w:tcW w:w="1910" w:type="dxa"/>
            <w:gridSpan w:val="2"/>
            <w:tcBorders>
              <w:top w:val="nil"/>
              <w:left w:val="double" w:sz="6" w:space="0" w:color="000000"/>
              <w:bottom w:val="nil"/>
              <w:right w:val="nil"/>
            </w:tcBorders>
            <w:noWrap/>
            <w:vAlign w:val="bottom"/>
            <w:hideMark/>
          </w:tcPr>
          <w:p w14:paraId="2BC7B704" w14:textId="77777777" w:rsidR="002607D6" w:rsidRPr="00FE1088" w:rsidRDefault="002607D6" w:rsidP="00F0564D">
            <w:pPr>
              <w:rPr>
                <w:color w:val="000000"/>
                <w:sz w:val="14"/>
                <w:szCs w:val="14"/>
              </w:rPr>
            </w:pPr>
            <w:r w:rsidRPr="00FE1088">
              <w:rPr>
                <w:color w:val="000000"/>
                <w:sz w:val="14"/>
                <w:szCs w:val="14"/>
              </w:rPr>
              <w:t xml:space="preserve"> aumento dei residui attivi</w:t>
            </w:r>
          </w:p>
        </w:tc>
        <w:tc>
          <w:tcPr>
            <w:tcW w:w="950" w:type="dxa"/>
            <w:tcBorders>
              <w:top w:val="nil"/>
              <w:left w:val="nil"/>
              <w:bottom w:val="nil"/>
              <w:right w:val="nil"/>
            </w:tcBorders>
            <w:noWrap/>
            <w:vAlign w:val="bottom"/>
            <w:hideMark/>
          </w:tcPr>
          <w:p w14:paraId="27C4D2B8" w14:textId="77777777" w:rsidR="002607D6" w:rsidRPr="00FE1088" w:rsidRDefault="002607D6" w:rsidP="00F0564D">
            <w:pPr>
              <w:rPr>
                <w:color w:val="000000"/>
                <w:sz w:val="14"/>
                <w:szCs w:val="14"/>
              </w:rPr>
            </w:pPr>
          </w:p>
        </w:tc>
        <w:tc>
          <w:tcPr>
            <w:tcW w:w="860" w:type="dxa"/>
            <w:tcBorders>
              <w:top w:val="nil"/>
              <w:left w:val="nil"/>
              <w:bottom w:val="nil"/>
              <w:right w:val="nil"/>
            </w:tcBorders>
            <w:noWrap/>
            <w:vAlign w:val="bottom"/>
            <w:hideMark/>
          </w:tcPr>
          <w:p w14:paraId="44D4B483" w14:textId="77777777" w:rsidR="002607D6" w:rsidRPr="00FE1088" w:rsidRDefault="002607D6" w:rsidP="00F0564D">
            <w:pPr>
              <w:rPr>
                <w:sz w:val="14"/>
                <w:szCs w:val="14"/>
              </w:rPr>
            </w:pPr>
          </w:p>
        </w:tc>
        <w:tc>
          <w:tcPr>
            <w:tcW w:w="1000" w:type="dxa"/>
            <w:tcBorders>
              <w:top w:val="nil"/>
              <w:left w:val="nil"/>
              <w:bottom w:val="nil"/>
              <w:right w:val="nil"/>
            </w:tcBorders>
            <w:noWrap/>
            <w:vAlign w:val="bottom"/>
            <w:hideMark/>
          </w:tcPr>
          <w:p w14:paraId="2F1DCCFF" w14:textId="77777777" w:rsidR="002607D6" w:rsidRPr="00FE1088" w:rsidRDefault="002607D6" w:rsidP="00F0564D">
            <w:pPr>
              <w:rPr>
                <w:sz w:val="14"/>
                <w:szCs w:val="14"/>
              </w:rPr>
            </w:pPr>
          </w:p>
        </w:tc>
        <w:tc>
          <w:tcPr>
            <w:tcW w:w="1022" w:type="dxa"/>
            <w:tcBorders>
              <w:top w:val="nil"/>
              <w:left w:val="single" w:sz="4" w:space="0" w:color="000000"/>
              <w:bottom w:val="nil"/>
              <w:right w:val="single" w:sz="4" w:space="0" w:color="000000"/>
            </w:tcBorders>
            <w:noWrap/>
            <w:vAlign w:val="bottom"/>
            <w:hideMark/>
          </w:tcPr>
          <w:p w14:paraId="254E3073" w14:textId="77777777" w:rsidR="002607D6" w:rsidRPr="00FE1088" w:rsidRDefault="002607D6" w:rsidP="00F0564D">
            <w:pPr>
              <w:rPr>
                <w:color w:val="000000"/>
                <w:sz w:val="14"/>
                <w:szCs w:val="14"/>
              </w:rPr>
            </w:pPr>
            <w:r w:rsidRPr="00FE1088">
              <w:rPr>
                <w:color w:val="000000"/>
                <w:sz w:val="14"/>
                <w:szCs w:val="14"/>
              </w:rPr>
              <w:t xml:space="preserve"> €                        -   </w:t>
            </w:r>
          </w:p>
        </w:tc>
        <w:tc>
          <w:tcPr>
            <w:tcW w:w="1255" w:type="dxa"/>
            <w:tcBorders>
              <w:top w:val="nil"/>
              <w:left w:val="nil"/>
              <w:bottom w:val="nil"/>
              <w:right w:val="single" w:sz="4" w:space="0" w:color="000000"/>
            </w:tcBorders>
            <w:noWrap/>
            <w:vAlign w:val="bottom"/>
            <w:hideMark/>
          </w:tcPr>
          <w:p w14:paraId="43A56F23" w14:textId="77777777" w:rsidR="002607D6" w:rsidRPr="00FE1088" w:rsidRDefault="002607D6" w:rsidP="00F0564D">
            <w:pPr>
              <w:rPr>
                <w:color w:val="000000"/>
                <w:sz w:val="14"/>
                <w:szCs w:val="14"/>
              </w:rPr>
            </w:pPr>
            <w:r w:rsidRPr="00FE1088">
              <w:rPr>
                <w:color w:val="000000"/>
                <w:sz w:val="14"/>
                <w:szCs w:val="14"/>
              </w:rPr>
              <w:t> </w:t>
            </w:r>
          </w:p>
        </w:tc>
        <w:tc>
          <w:tcPr>
            <w:tcW w:w="1485" w:type="dxa"/>
            <w:tcBorders>
              <w:top w:val="single" w:sz="4" w:space="0" w:color="000000"/>
              <w:left w:val="nil"/>
              <w:bottom w:val="nil"/>
              <w:right w:val="single" w:sz="4" w:space="0" w:color="000000"/>
            </w:tcBorders>
            <w:noWrap/>
            <w:vAlign w:val="bottom"/>
            <w:hideMark/>
          </w:tcPr>
          <w:p w14:paraId="3CA576DE" w14:textId="77777777" w:rsidR="002607D6" w:rsidRPr="00FE1088" w:rsidRDefault="002607D6" w:rsidP="00F0564D">
            <w:pPr>
              <w:rPr>
                <w:color w:val="000000"/>
                <w:sz w:val="14"/>
                <w:szCs w:val="14"/>
              </w:rPr>
            </w:pPr>
            <w:r w:rsidRPr="00FE1088">
              <w:rPr>
                <w:color w:val="000000"/>
                <w:sz w:val="14"/>
                <w:szCs w:val="14"/>
              </w:rPr>
              <w:t> </w:t>
            </w:r>
          </w:p>
        </w:tc>
      </w:tr>
      <w:tr w:rsidR="002607D6" w:rsidRPr="00FE1088" w14:paraId="3933D27C" w14:textId="77777777" w:rsidTr="00F0564D">
        <w:trPr>
          <w:trHeight w:val="270"/>
        </w:trPr>
        <w:tc>
          <w:tcPr>
            <w:tcW w:w="2860" w:type="dxa"/>
            <w:gridSpan w:val="3"/>
            <w:tcBorders>
              <w:top w:val="nil"/>
              <w:left w:val="double" w:sz="6" w:space="0" w:color="000000"/>
              <w:bottom w:val="nil"/>
              <w:right w:val="nil"/>
            </w:tcBorders>
            <w:noWrap/>
            <w:vAlign w:val="bottom"/>
            <w:hideMark/>
          </w:tcPr>
          <w:p w14:paraId="24984ADC" w14:textId="77777777" w:rsidR="002607D6" w:rsidRPr="00FE1088" w:rsidRDefault="002607D6" w:rsidP="00F0564D">
            <w:pPr>
              <w:rPr>
                <w:color w:val="000000"/>
                <w:sz w:val="14"/>
                <w:szCs w:val="14"/>
              </w:rPr>
            </w:pPr>
            <w:r w:rsidRPr="00FE1088">
              <w:rPr>
                <w:color w:val="000000"/>
                <w:sz w:val="14"/>
                <w:szCs w:val="14"/>
              </w:rPr>
              <w:t xml:space="preserve"> diminuzione dei residui passivi</w:t>
            </w:r>
          </w:p>
        </w:tc>
        <w:tc>
          <w:tcPr>
            <w:tcW w:w="860" w:type="dxa"/>
            <w:tcBorders>
              <w:top w:val="nil"/>
              <w:left w:val="nil"/>
              <w:bottom w:val="nil"/>
              <w:right w:val="nil"/>
            </w:tcBorders>
            <w:noWrap/>
            <w:vAlign w:val="bottom"/>
            <w:hideMark/>
          </w:tcPr>
          <w:p w14:paraId="017C93FF" w14:textId="77777777" w:rsidR="002607D6" w:rsidRPr="00FE1088" w:rsidRDefault="002607D6" w:rsidP="00F0564D">
            <w:pPr>
              <w:rPr>
                <w:color w:val="000000"/>
                <w:sz w:val="14"/>
                <w:szCs w:val="14"/>
              </w:rPr>
            </w:pPr>
          </w:p>
        </w:tc>
        <w:tc>
          <w:tcPr>
            <w:tcW w:w="1000" w:type="dxa"/>
            <w:tcBorders>
              <w:top w:val="nil"/>
              <w:left w:val="nil"/>
              <w:bottom w:val="nil"/>
              <w:right w:val="nil"/>
            </w:tcBorders>
            <w:noWrap/>
            <w:vAlign w:val="bottom"/>
            <w:hideMark/>
          </w:tcPr>
          <w:p w14:paraId="23464859" w14:textId="77777777" w:rsidR="002607D6" w:rsidRPr="00FE1088" w:rsidRDefault="002607D6" w:rsidP="00F0564D">
            <w:pPr>
              <w:rPr>
                <w:sz w:val="14"/>
                <w:szCs w:val="14"/>
              </w:rPr>
            </w:pPr>
          </w:p>
        </w:tc>
        <w:tc>
          <w:tcPr>
            <w:tcW w:w="1022" w:type="dxa"/>
            <w:tcBorders>
              <w:top w:val="nil"/>
              <w:left w:val="single" w:sz="4" w:space="0" w:color="000000"/>
              <w:bottom w:val="single" w:sz="4" w:space="0" w:color="000000"/>
              <w:right w:val="single" w:sz="4" w:space="0" w:color="000000"/>
            </w:tcBorders>
            <w:noWrap/>
            <w:vAlign w:val="bottom"/>
            <w:hideMark/>
          </w:tcPr>
          <w:p w14:paraId="5A524657" w14:textId="77777777" w:rsidR="002607D6" w:rsidRPr="00FE1088" w:rsidRDefault="002607D6" w:rsidP="00F0564D">
            <w:pPr>
              <w:rPr>
                <w:color w:val="000000"/>
                <w:sz w:val="14"/>
                <w:szCs w:val="14"/>
              </w:rPr>
            </w:pPr>
            <w:r w:rsidRPr="00FE1088">
              <w:rPr>
                <w:color w:val="000000"/>
                <w:sz w:val="14"/>
                <w:szCs w:val="14"/>
              </w:rPr>
              <w:t xml:space="preserve"> €          3.976,20 </w:t>
            </w:r>
          </w:p>
        </w:tc>
        <w:tc>
          <w:tcPr>
            <w:tcW w:w="1255" w:type="dxa"/>
            <w:tcBorders>
              <w:top w:val="nil"/>
              <w:left w:val="nil"/>
              <w:bottom w:val="single" w:sz="4" w:space="0" w:color="000000"/>
              <w:right w:val="single" w:sz="4" w:space="0" w:color="000000"/>
            </w:tcBorders>
            <w:noWrap/>
            <w:vAlign w:val="bottom"/>
            <w:hideMark/>
          </w:tcPr>
          <w:p w14:paraId="21614BF0" w14:textId="77777777" w:rsidR="002607D6" w:rsidRPr="00FE1088" w:rsidRDefault="002607D6" w:rsidP="00F0564D">
            <w:pPr>
              <w:rPr>
                <w:color w:val="000000"/>
                <w:sz w:val="14"/>
                <w:szCs w:val="14"/>
              </w:rPr>
            </w:pPr>
            <w:r w:rsidRPr="00FE1088">
              <w:rPr>
                <w:color w:val="000000"/>
                <w:sz w:val="14"/>
                <w:szCs w:val="14"/>
              </w:rPr>
              <w:t xml:space="preserve"> €              3.976,20 </w:t>
            </w:r>
          </w:p>
        </w:tc>
        <w:tc>
          <w:tcPr>
            <w:tcW w:w="1485" w:type="dxa"/>
            <w:tcBorders>
              <w:top w:val="nil"/>
              <w:left w:val="nil"/>
              <w:bottom w:val="nil"/>
              <w:right w:val="single" w:sz="4" w:space="0" w:color="000000"/>
            </w:tcBorders>
            <w:noWrap/>
            <w:vAlign w:val="bottom"/>
            <w:hideMark/>
          </w:tcPr>
          <w:p w14:paraId="2CAB0D8E" w14:textId="77777777" w:rsidR="002607D6" w:rsidRPr="00FE1088" w:rsidRDefault="002607D6" w:rsidP="00F0564D">
            <w:pPr>
              <w:rPr>
                <w:color w:val="000000"/>
                <w:sz w:val="14"/>
                <w:szCs w:val="14"/>
              </w:rPr>
            </w:pPr>
            <w:r w:rsidRPr="00FE1088">
              <w:rPr>
                <w:color w:val="000000"/>
                <w:sz w:val="14"/>
                <w:szCs w:val="14"/>
              </w:rPr>
              <w:t> </w:t>
            </w:r>
          </w:p>
        </w:tc>
      </w:tr>
      <w:tr w:rsidR="002607D6" w:rsidRPr="00FE1088" w14:paraId="41A2A325" w14:textId="77777777" w:rsidTr="00F0564D">
        <w:trPr>
          <w:trHeight w:val="270"/>
        </w:trPr>
        <w:tc>
          <w:tcPr>
            <w:tcW w:w="1910" w:type="dxa"/>
            <w:gridSpan w:val="2"/>
            <w:tcBorders>
              <w:top w:val="nil"/>
              <w:left w:val="double" w:sz="6" w:space="0" w:color="000000"/>
              <w:bottom w:val="nil"/>
              <w:right w:val="nil"/>
            </w:tcBorders>
            <w:noWrap/>
            <w:vAlign w:val="bottom"/>
            <w:hideMark/>
          </w:tcPr>
          <w:p w14:paraId="141EA6FB" w14:textId="77777777" w:rsidR="002607D6" w:rsidRPr="00FE1088" w:rsidRDefault="002607D6" w:rsidP="00F0564D">
            <w:pPr>
              <w:rPr>
                <w:color w:val="000000"/>
                <w:sz w:val="14"/>
                <w:szCs w:val="14"/>
              </w:rPr>
            </w:pPr>
            <w:r w:rsidRPr="00FE1088">
              <w:rPr>
                <w:color w:val="000000"/>
                <w:sz w:val="14"/>
                <w:szCs w:val="14"/>
              </w:rPr>
              <w:t>2) PASSIVE</w:t>
            </w:r>
          </w:p>
        </w:tc>
        <w:tc>
          <w:tcPr>
            <w:tcW w:w="950" w:type="dxa"/>
            <w:tcBorders>
              <w:top w:val="nil"/>
              <w:left w:val="nil"/>
              <w:bottom w:val="nil"/>
              <w:right w:val="nil"/>
            </w:tcBorders>
            <w:noWrap/>
            <w:vAlign w:val="bottom"/>
            <w:hideMark/>
          </w:tcPr>
          <w:p w14:paraId="76F8AD0B" w14:textId="77777777" w:rsidR="002607D6" w:rsidRPr="00FE1088" w:rsidRDefault="002607D6" w:rsidP="00F0564D">
            <w:pPr>
              <w:rPr>
                <w:color w:val="000000"/>
                <w:sz w:val="14"/>
                <w:szCs w:val="14"/>
              </w:rPr>
            </w:pPr>
          </w:p>
        </w:tc>
        <w:tc>
          <w:tcPr>
            <w:tcW w:w="860" w:type="dxa"/>
            <w:tcBorders>
              <w:top w:val="nil"/>
              <w:left w:val="nil"/>
              <w:bottom w:val="nil"/>
              <w:right w:val="nil"/>
            </w:tcBorders>
            <w:noWrap/>
            <w:vAlign w:val="bottom"/>
            <w:hideMark/>
          </w:tcPr>
          <w:p w14:paraId="3D13723C" w14:textId="77777777" w:rsidR="002607D6" w:rsidRPr="00FE1088" w:rsidRDefault="002607D6" w:rsidP="00F0564D">
            <w:pPr>
              <w:rPr>
                <w:sz w:val="14"/>
                <w:szCs w:val="14"/>
              </w:rPr>
            </w:pPr>
          </w:p>
        </w:tc>
        <w:tc>
          <w:tcPr>
            <w:tcW w:w="1000" w:type="dxa"/>
            <w:tcBorders>
              <w:top w:val="nil"/>
              <w:left w:val="nil"/>
              <w:bottom w:val="nil"/>
              <w:right w:val="nil"/>
            </w:tcBorders>
            <w:noWrap/>
            <w:vAlign w:val="bottom"/>
            <w:hideMark/>
          </w:tcPr>
          <w:p w14:paraId="2E124FB9" w14:textId="77777777" w:rsidR="002607D6" w:rsidRPr="00FE1088" w:rsidRDefault="002607D6" w:rsidP="00F0564D">
            <w:pPr>
              <w:rPr>
                <w:sz w:val="14"/>
                <w:szCs w:val="14"/>
              </w:rPr>
            </w:pPr>
          </w:p>
        </w:tc>
        <w:tc>
          <w:tcPr>
            <w:tcW w:w="1022" w:type="dxa"/>
            <w:tcBorders>
              <w:top w:val="nil"/>
              <w:left w:val="nil"/>
              <w:bottom w:val="nil"/>
              <w:right w:val="nil"/>
            </w:tcBorders>
            <w:noWrap/>
            <w:vAlign w:val="bottom"/>
            <w:hideMark/>
          </w:tcPr>
          <w:p w14:paraId="0F894394" w14:textId="77777777" w:rsidR="002607D6" w:rsidRPr="00FE1088" w:rsidRDefault="002607D6" w:rsidP="00F0564D">
            <w:pPr>
              <w:rPr>
                <w:sz w:val="14"/>
                <w:szCs w:val="14"/>
              </w:rPr>
            </w:pPr>
          </w:p>
        </w:tc>
        <w:tc>
          <w:tcPr>
            <w:tcW w:w="1255" w:type="dxa"/>
            <w:tcBorders>
              <w:top w:val="nil"/>
              <w:left w:val="single" w:sz="4" w:space="0" w:color="000000"/>
              <w:bottom w:val="nil"/>
              <w:right w:val="single" w:sz="4" w:space="0" w:color="000000"/>
            </w:tcBorders>
            <w:noWrap/>
            <w:vAlign w:val="bottom"/>
            <w:hideMark/>
          </w:tcPr>
          <w:p w14:paraId="1FF2304D" w14:textId="77777777" w:rsidR="002607D6" w:rsidRPr="00FE1088" w:rsidRDefault="002607D6" w:rsidP="00F0564D">
            <w:pPr>
              <w:rPr>
                <w:color w:val="000000"/>
                <w:sz w:val="14"/>
                <w:szCs w:val="14"/>
              </w:rPr>
            </w:pPr>
            <w:r w:rsidRPr="00FE1088">
              <w:rPr>
                <w:color w:val="000000"/>
                <w:sz w:val="14"/>
                <w:szCs w:val="14"/>
              </w:rPr>
              <w:t> </w:t>
            </w:r>
          </w:p>
        </w:tc>
        <w:tc>
          <w:tcPr>
            <w:tcW w:w="1485" w:type="dxa"/>
            <w:tcBorders>
              <w:top w:val="nil"/>
              <w:left w:val="nil"/>
              <w:bottom w:val="nil"/>
              <w:right w:val="single" w:sz="4" w:space="0" w:color="000000"/>
            </w:tcBorders>
            <w:noWrap/>
            <w:vAlign w:val="bottom"/>
            <w:hideMark/>
          </w:tcPr>
          <w:p w14:paraId="2933C1E8" w14:textId="77777777" w:rsidR="002607D6" w:rsidRPr="00FE1088" w:rsidRDefault="002607D6" w:rsidP="00F0564D">
            <w:pPr>
              <w:rPr>
                <w:color w:val="000000"/>
                <w:sz w:val="14"/>
                <w:szCs w:val="14"/>
              </w:rPr>
            </w:pPr>
            <w:r w:rsidRPr="00FE1088">
              <w:rPr>
                <w:color w:val="000000"/>
                <w:sz w:val="14"/>
                <w:szCs w:val="14"/>
              </w:rPr>
              <w:t> </w:t>
            </w:r>
          </w:p>
        </w:tc>
      </w:tr>
      <w:tr w:rsidR="002607D6" w:rsidRPr="00FE1088" w14:paraId="26EFF08F" w14:textId="77777777" w:rsidTr="00F0564D">
        <w:trPr>
          <w:trHeight w:val="270"/>
        </w:trPr>
        <w:tc>
          <w:tcPr>
            <w:tcW w:w="2860" w:type="dxa"/>
            <w:gridSpan w:val="3"/>
            <w:tcBorders>
              <w:top w:val="nil"/>
              <w:left w:val="double" w:sz="6" w:space="0" w:color="000000"/>
              <w:bottom w:val="nil"/>
              <w:right w:val="nil"/>
            </w:tcBorders>
            <w:noWrap/>
            <w:vAlign w:val="bottom"/>
            <w:hideMark/>
          </w:tcPr>
          <w:p w14:paraId="17598F52" w14:textId="77777777" w:rsidR="002607D6" w:rsidRPr="00FE1088" w:rsidRDefault="002607D6" w:rsidP="00F0564D">
            <w:pPr>
              <w:rPr>
                <w:color w:val="000000"/>
                <w:sz w:val="14"/>
                <w:szCs w:val="14"/>
              </w:rPr>
            </w:pPr>
            <w:r w:rsidRPr="00FE1088">
              <w:rPr>
                <w:color w:val="000000"/>
                <w:sz w:val="14"/>
                <w:szCs w:val="14"/>
              </w:rPr>
              <w:t xml:space="preserve"> aumento dei residui passivi</w:t>
            </w:r>
          </w:p>
        </w:tc>
        <w:tc>
          <w:tcPr>
            <w:tcW w:w="860" w:type="dxa"/>
            <w:tcBorders>
              <w:top w:val="nil"/>
              <w:left w:val="nil"/>
              <w:bottom w:val="nil"/>
              <w:right w:val="nil"/>
            </w:tcBorders>
            <w:noWrap/>
            <w:vAlign w:val="bottom"/>
            <w:hideMark/>
          </w:tcPr>
          <w:p w14:paraId="61DBFE33" w14:textId="77777777" w:rsidR="002607D6" w:rsidRPr="00FE1088" w:rsidRDefault="002607D6" w:rsidP="00F0564D">
            <w:pPr>
              <w:rPr>
                <w:color w:val="000000"/>
                <w:sz w:val="14"/>
                <w:szCs w:val="14"/>
              </w:rPr>
            </w:pPr>
          </w:p>
        </w:tc>
        <w:tc>
          <w:tcPr>
            <w:tcW w:w="1000" w:type="dxa"/>
            <w:tcBorders>
              <w:top w:val="nil"/>
              <w:left w:val="nil"/>
              <w:bottom w:val="nil"/>
              <w:right w:val="nil"/>
            </w:tcBorders>
            <w:noWrap/>
            <w:vAlign w:val="bottom"/>
            <w:hideMark/>
          </w:tcPr>
          <w:p w14:paraId="4FB3DA52" w14:textId="77777777" w:rsidR="002607D6" w:rsidRPr="00FE1088" w:rsidRDefault="002607D6" w:rsidP="00F0564D">
            <w:pPr>
              <w:rPr>
                <w:sz w:val="14"/>
                <w:szCs w:val="14"/>
              </w:rPr>
            </w:pPr>
          </w:p>
        </w:tc>
        <w:tc>
          <w:tcPr>
            <w:tcW w:w="1022" w:type="dxa"/>
            <w:tcBorders>
              <w:top w:val="nil"/>
              <w:left w:val="single" w:sz="4" w:space="0" w:color="000000"/>
              <w:bottom w:val="nil"/>
              <w:right w:val="single" w:sz="4" w:space="0" w:color="000000"/>
            </w:tcBorders>
            <w:noWrap/>
            <w:vAlign w:val="bottom"/>
            <w:hideMark/>
          </w:tcPr>
          <w:p w14:paraId="41CB55EE" w14:textId="77777777" w:rsidR="002607D6" w:rsidRPr="00FE1088" w:rsidRDefault="002607D6" w:rsidP="00F0564D">
            <w:pPr>
              <w:rPr>
                <w:color w:val="000000"/>
                <w:sz w:val="14"/>
                <w:szCs w:val="14"/>
              </w:rPr>
            </w:pPr>
            <w:r w:rsidRPr="00FE1088">
              <w:rPr>
                <w:color w:val="000000"/>
                <w:sz w:val="14"/>
                <w:szCs w:val="14"/>
              </w:rPr>
              <w:t xml:space="preserve"> €                        -   </w:t>
            </w:r>
          </w:p>
        </w:tc>
        <w:tc>
          <w:tcPr>
            <w:tcW w:w="1255" w:type="dxa"/>
            <w:tcBorders>
              <w:top w:val="nil"/>
              <w:left w:val="nil"/>
              <w:bottom w:val="nil"/>
              <w:right w:val="single" w:sz="4" w:space="0" w:color="000000"/>
            </w:tcBorders>
            <w:noWrap/>
            <w:vAlign w:val="bottom"/>
            <w:hideMark/>
          </w:tcPr>
          <w:p w14:paraId="30AC52A5" w14:textId="77777777" w:rsidR="002607D6" w:rsidRPr="00FE1088" w:rsidRDefault="002607D6" w:rsidP="00F0564D">
            <w:pPr>
              <w:rPr>
                <w:color w:val="000000"/>
                <w:sz w:val="14"/>
                <w:szCs w:val="14"/>
              </w:rPr>
            </w:pPr>
            <w:r w:rsidRPr="00FE1088">
              <w:rPr>
                <w:color w:val="000000"/>
                <w:sz w:val="14"/>
                <w:szCs w:val="14"/>
              </w:rPr>
              <w:t> </w:t>
            </w:r>
          </w:p>
        </w:tc>
        <w:tc>
          <w:tcPr>
            <w:tcW w:w="1485" w:type="dxa"/>
            <w:tcBorders>
              <w:top w:val="nil"/>
              <w:left w:val="nil"/>
              <w:bottom w:val="nil"/>
              <w:right w:val="single" w:sz="4" w:space="0" w:color="000000"/>
            </w:tcBorders>
            <w:noWrap/>
            <w:vAlign w:val="bottom"/>
            <w:hideMark/>
          </w:tcPr>
          <w:p w14:paraId="5DEB4CD8" w14:textId="77777777" w:rsidR="002607D6" w:rsidRPr="00FE1088" w:rsidRDefault="002607D6" w:rsidP="00F0564D">
            <w:pPr>
              <w:rPr>
                <w:color w:val="000000"/>
                <w:sz w:val="14"/>
                <w:szCs w:val="14"/>
              </w:rPr>
            </w:pPr>
            <w:r w:rsidRPr="00FE1088">
              <w:rPr>
                <w:color w:val="000000"/>
                <w:sz w:val="14"/>
                <w:szCs w:val="14"/>
              </w:rPr>
              <w:t> </w:t>
            </w:r>
          </w:p>
        </w:tc>
      </w:tr>
      <w:tr w:rsidR="002607D6" w:rsidRPr="00FE1088" w14:paraId="6A291931" w14:textId="77777777" w:rsidTr="00F0564D">
        <w:trPr>
          <w:trHeight w:val="270"/>
        </w:trPr>
        <w:tc>
          <w:tcPr>
            <w:tcW w:w="2860" w:type="dxa"/>
            <w:gridSpan w:val="3"/>
            <w:tcBorders>
              <w:top w:val="nil"/>
              <w:left w:val="double" w:sz="6" w:space="0" w:color="000000"/>
              <w:bottom w:val="nil"/>
              <w:right w:val="nil"/>
            </w:tcBorders>
            <w:noWrap/>
            <w:vAlign w:val="bottom"/>
            <w:hideMark/>
          </w:tcPr>
          <w:p w14:paraId="5DEC5B9D" w14:textId="77777777" w:rsidR="002607D6" w:rsidRPr="00FE1088" w:rsidRDefault="002607D6" w:rsidP="00F0564D">
            <w:pPr>
              <w:rPr>
                <w:color w:val="000000"/>
                <w:sz w:val="14"/>
                <w:szCs w:val="14"/>
              </w:rPr>
            </w:pPr>
            <w:r w:rsidRPr="00FE1088">
              <w:rPr>
                <w:color w:val="000000"/>
                <w:sz w:val="14"/>
                <w:szCs w:val="14"/>
              </w:rPr>
              <w:t xml:space="preserve"> diminuzione dei residui attivi</w:t>
            </w:r>
          </w:p>
        </w:tc>
        <w:tc>
          <w:tcPr>
            <w:tcW w:w="860" w:type="dxa"/>
            <w:tcBorders>
              <w:top w:val="nil"/>
              <w:left w:val="nil"/>
              <w:bottom w:val="nil"/>
              <w:right w:val="nil"/>
            </w:tcBorders>
            <w:noWrap/>
            <w:vAlign w:val="bottom"/>
            <w:hideMark/>
          </w:tcPr>
          <w:p w14:paraId="4F8382AE" w14:textId="77777777" w:rsidR="002607D6" w:rsidRPr="00FE1088" w:rsidRDefault="002607D6" w:rsidP="00F0564D">
            <w:pPr>
              <w:rPr>
                <w:color w:val="000000"/>
                <w:sz w:val="14"/>
                <w:szCs w:val="14"/>
              </w:rPr>
            </w:pPr>
          </w:p>
        </w:tc>
        <w:tc>
          <w:tcPr>
            <w:tcW w:w="1000" w:type="dxa"/>
            <w:tcBorders>
              <w:top w:val="nil"/>
              <w:left w:val="nil"/>
              <w:bottom w:val="nil"/>
              <w:right w:val="nil"/>
            </w:tcBorders>
            <w:noWrap/>
            <w:vAlign w:val="bottom"/>
            <w:hideMark/>
          </w:tcPr>
          <w:p w14:paraId="03393597" w14:textId="77777777" w:rsidR="002607D6" w:rsidRPr="00FE1088" w:rsidRDefault="002607D6" w:rsidP="00F0564D">
            <w:pPr>
              <w:rPr>
                <w:sz w:val="14"/>
                <w:szCs w:val="14"/>
              </w:rPr>
            </w:pPr>
          </w:p>
        </w:tc>
        <w:tc>
          <w:tcPr>
            <w:tcW w:w="1022" w:type="dxa"/>
            <w:tcBorders>
              <w:top w:val="nil"/>
              <w:left w:val="single" w:sz="4" w:space="0" w:color="000000"/>
              <w:bottom w:val="single" w:sz="4" w:space="0" w:color="000000"/>
              <w:right w:val="single" w:sz="4" w:space="0" w:color="000000"/>
            </w:tcBorders>
            <w:noWrap/>
            <w:vAlign w:val="bottom"/>
            <w:hideMark/>
          </w:tcPr>
          <w:p w14:paraId="44C9964E" w14:textId="77777777" w:rsidR="002607D6" w:rsidRPr="00FE1088" w:rsidRDefault="002607D6" w:rsidP="00F0564D">
            <w:pPr>
              <w:rPr>
                <w:color w:val="000000"/>
                <w:sz w:val="14"/>
                <w:szCs w:val="14"/>
              </w:rPr>
            </w:pPr>
            <w:r w:rsidRPr="00FE1088">
              <w:rPr>
                <w:color w:val="000000"/>
                <w:sz w:val="14"/>
                <w:szCs w:val="14"/>
              </w:rPr>
              <w:t xml:space="preserve"> €          2.864,85 </w:t>
            </w:r>
          </w:p>
        </w:tc>
        <w:tc>
          <w:tcPr>
            <w:tcW w:w="1255" w:type="dxa"/>
            <w:tcBorders>
              <w:top w:val="nil"/>
              <w:left w:val="nil"/>
              <w:bottom w:val="single" w:sz="4" w:space="0" w:color="000000"/>
              <w:right w:val="single" w:sz="4" w:space="0" w:color="000000"/>
            </w:tcBorders>
            <w:noWrap/>
            <w:vAlign w:val="bottom"/>
            <w:hideMark/>
          </w:tcPr>
          <w:p w14:paraId="04980DE0" w14:textId="77777777" w:rsidR="002607D6" w:rsidRPr="00FE1088" w:rsidRDefault="002607D6" w:rsidP="00F0564D">
            <w:pPr>
              <w:rPr>
                <w:color w:val="000000"/>
                <w:sz w:val="14"/>
                <w:szCs w:val="14"/>
              </w:rPr>
            </w:pPr>
            <w:r w:rsidRPr="00FE1088">
              <w:rPr>
                <w:color w:val="000000"/>
                <w:sz w:val="14"/>
                <w:szCs w:val="14"/>
              </w:rPr>
              <w:t xml:space="preserve"> €              2.864,85 </w:t>
            </w:r>
          </w:p>
        </w:tc>
        <w:tc>
          <w:tcPr>
            <w:tcW w:w="1485" w:type="dxa"/>
            <w:tcBorders>
              <w:top w:val="nil"/>
              <w:left w:val="nil"/>
              <w:bottom w:val="nil"/>
              <w:right w:val="single" w:sz="4" w:space="0" w:color="000000"/>
            </w:tcBorders>
            <w:noWrap/>
            <w:vAlign w:val="bottom"/>
            <w:hideMark/>
          </w:tcPr>
          <w:p w14:paraId="58590531" w14:textId="77777777" w:rsidR="002607D6" w:rsidRPr="00FE1088" w:rsidRDefault="002607D6" w:rsidP="00F0564D">
            <w:pPr>
              <w:rPr>
                <w:color w:val="000000"/>
                <w:sz w:val="14"/>
                <w:szCs w:val="14"/>
              </w:rPr>
            </w:pPr>
            <w:r w:rsidRPr="00FE1088">
              <w:rPr>
                <w:color w:val="000000"/>
                <w:sz w:val="14"/>
                <w:szCs w:val="14"/>
              </w:rPr>
              <w:t> </w:t>
            </w:r>
          </w:p>
        </w:tc>
      </w:tr>
      <w:tr w:rsidR="002607D6" w:rsidRPr="00FE1088" w14:paraId="233169DB" w14:textId="77777777" w:rsidTr="00F0564D">
        <w:trPr>
          <w:trHeight w:val="270"/>
        </w:trPr>
        <w:tc>
          <w:tcPr>
            <w:tcW w:w="960" w:type="dxa"/>
            <w:tcBorders>
              <w:top w:val="nil"/>
              <w:left w:val="double" w:sz="6" w:space="0" w:color="000000"/>
              <w:bottom w:val="nil"/>
              <w:right w:val="nil"/>
            </w:tcBorders>
            <w:noWrap/>
            <w:vAlign w:val="bottom"/>
            <w:hideMark/>
          </w:tcPr>
          <w:p w14:paraId="45B85853" w14:textId="77777777" w:rsidR="002607D6" w:rsidRPr="00FE1088" w:rsidRDefault="002607D6" w:rsidP="00F0564D">
            <w:pPr>
              <w:rPr>
                <w:color w:val="000000"/>
                <w:sz w:val="14"/>
                <w:szCs w:val="14"/>
              </w:rPr>
            </w:pPr>
            <w:r w:rsidRPr="00FE1088">
              <w:rPr>
                <w:color w:val="000000"/>
                <w:sz w:val="14"/>
                <w:szCs w:val="14"/>
              </w:rPr>
              <w:t> </w:t>
            </w:r>
          </w:p>
        </w:tc>
        <w:tc>
          <w:tcPr>
            <w:tcW w:w="950" w:type="dxa"/>
            <w:tcBorders>
              <w:top w:val="nil"/>
              <w:left w:val="nil"/>
              <w:bottom w:val="nil"/>
              <w:right w:val="nil"/>
            </w:tcBorders>
            <w:noWrap/>
            <w:vAlign w:val="bottom"/>
            <w:hideMark/>
          </w:tcPr>
          <w:p w14:paraId="4C2134BB" w14:textId="77777777" w:rsidR="002607D6" w:rsidRPr="00FE1088" w:rsidRDefault="002607D6" w:rsidP="00F0564D">
            <w:pPr>
              <w:rPr>
                <w:color w:val="000000"/>
                <w:sz w:val="14"/>
                <w:szCs w:val="14"/>
              </w:rPr>
            </w:pPr>
          </w:p>
        </w:tc>
        <w:tc>
          <w:tcPr>
            <w:tcW w:w="950" w:type="dxa"/>
            <w:tcBorders>
              <w:top w:val="nil"/>
              <w:left w:val="nil"/>
              <w:bottom w:val="nil"/>
              <w:right w:val="nil"/>
            </w:tcBorders>
            <w:noWrap/>
            <w:vAlign w:val="bottom"/>
            <w:hideMark/>
          </w:tcPr>
          <w:p w14:paraId="30F0B5D6" w14:textId="77777777" w:rsidR="002607D6" w:rsidRPr="00FE1088" w:rsidRDefault="002607D6" w:rsidP="00F0564D">
            <w:pPr>
              <w:rPr>
                <w:sz w:val="14"/>
                <w:szCs w:val="14"/>
              </w:rPr>
            </w:pPr>
          </w:p>
        </w:tc>
        <w:tc>
          <w:tcPr>
            <w:tcW w:w="860" w:type="dxa"/>
            <w:tcBorders>
              <w:top w:val="nil"/>
              <w:left w:val="nil"/>
              <w:bottom w:val="nil"/>
              <w:right w:val="nil"/>
            </w:tcBorders>
            <w:noWrap/>
            <w:vAlign w:val="bottom"/>
            <w:hideMark/>
          </w:tcPr>
          <w:p w14:paraId="1D7CACA9" w14:textId="77777777" w:rsidR="002607D6" w:rsidRPr="00FE1088" w:rsidRDefault="002607D6" w:rsidP="00F0564D">
            <w:pPr>
              <w:rPr>
                <w:sz w:val="14"/>
                <w:szCs w:val="14"/>
              </w:rPr>
            </w:pPr>
          </w:p>
        </w:tc>
        <w:tc>
          <w:tcPr>
            <w:tcW w:w="1000" w:type="dxa"/>
            <w:tcBorders>
              <w:top w:val="nil"/>
              <w:left w:val="nil"/>
              <w:bottom w:val="nil"/>
              <w:right w:val="nil"/>
            </w:tcBorders>
            <w:noWrap/>
            <w:vAlign w:val="bottom"/>
            <w:hideMark/>
          </w:tcPr>
          <w:p w14:paraId="52F881AC" w14:textId="77777777" w:rsidR="002607D6" w:rsidRPr="00FE1088" w:rsidRDefault="002607D6" w:rsidP="00F0564D">
            <w:pPr>
              <w:rPr>
                <w:sz w:val="14"/>
                <w:szCs w:val="14"/>
              </w:rPr>
            </w:pPr>
          </w:p>
        </w:tc>
        <w:tc>
          <w:tcPr>
            <w:tcW w:w="1022" w:type="dxa"/>
            <w:tcBorders>
              <w:top w:val="nil"/>
              <w:left w:val="nil"/>
              <w:bottom w:val="nil"/>
              <w:right w:val="nil"/>
            </w:tcBorders>
            <w:noWrap/>
            <w:vAlign w:val="bottom"/>
            <w:hideMark/>
          </w:tcPr>
          <w:p w14:paraId="229378C1" w14:textId="77777777" w:rsidR="002607D6" w:rsidRPr="00FE1088" w:rsidRDefault="002607D6" w:rsidP="00F0564D">
            <w:pPr>
              <w:rPr>
                <w:sz w:val="14"/>
                <w:szCs w:val="14"/>
              </w:rPr>
            </w:pPr>
          </w:p>
        </w:tc>
        <w:tc>
          <w:tcPr>
            <w:tcW w:w="1255" w:type="dxa"/>
            <w:tcBorders>
              <w:top w:val="nil"/>
              <w:left w:val="single" w:sz="4" w:space="0" w:color="000000"/>
              <w:bottom w:val="single" w:sz="4" w:space="0" w:color="000000"/>
              <w:right w:val="single" w:sz="4" w:space="0" w:color="000000"/>
            </w:tcBorders>
            <w:noWrap/>
            <w:vAlign w:val="bottom"/>
            <w:hideMark/>
          </w:tcPr>
          <w:p w14:paraId="0E8C52B7" w14:textId="77777777" w:rsidR="002607D6" w:rsidRPr="00FE1088" w:rsidRDefault="002607D6" w:rsidP="00F0564D">
            <w:pPr>
              <w:rPr>
                <w:color w:val="000000"/>
                <w:sz w:val="14"/>
                <w:szCs w:val="14"/>
              </w:rPr>
            </w:pPr>
            <w:r w:rsidRPr="00FE1088">
              <w:rPr>
                <w:color w:val="000000"/>
                <w:sz w:val="14"/>
                <w:szCs w:val="14"/>
              </w:rPr>
              <w:t xml:space="preserve"> €                  1.111,35 </w:t>
            </w:r>
          </w:p>
        </w:tc>
        <w:tc>
          <w:tcPr>
            <w:tcW w:w="1485" w:type="dxa"/>
            <w:tcBorders>
              <w:top w:val="nil"/>
              <w:left w:val="nil"/>
              <w:bottom w:val="nil"/>
              <w:right w:val="single" w:sz="4" w:space="0" w:color="000000"/>
            </w:tcBorders>
            <w:noWrap/>
            <w:vAlign w:val="bottom"/>
            <w:hideMark/>
          </w:tcPr>
          <w:p w14:paraId="384DFEB6" w14:textId="77777777" w:rsidR="002607D6" w:rsidRPr="00FE1088" w:rsidRDefault="002607D6" w:rsidP="00F0564D">
            <w:pPr>
              <w:rPr>
                <w:color w:val="000000"/>
                <w:sz w:val="14"/>
                <w:szCs w:val="14"/>
              </w:rPr>
            </w:pPr>
            <w:r w:rsidRPr="00FE1088">
              <w:rPr>
                <w:color w:val="000000"/>
                <w:sz w:val="14"/>
                <w:szCs w:val="14"/>
              </w:rPr>
              <w:t xml:space="preserve"> €                    1.111,35 </w:t>
            </w:r>
          </w:p>
        </w:tc>
      </w:tr>
    </w:tbl>
    <w:p w14:paraId="39B6B2F4" w14:textId="77777777" w:rsidR="002607D6" w:rsidRDefault="002607D6" w:rsidP="002607D6">
      <w:pPr>
        <w:jc w:val="both"/>
      </w:pPr>
    </w:p>
    <w:p w14:paraId="30FBFD8E" w14:textId="77777777" w:rsidR="002607D6" w:rsidRDefault="002607D6" w:rsidP="002607D6">
      <w:pPr>
        <w:jc w:val="both"/>
      </w:pPr>
    </w:p>
    <w:tbl>
      <w:tblPr>
        <w:tblW w:w="8182" w:type="dxa"/>
        <w:tblInd w:w="93" w:type="dxa"/>
        <w:tblCellMar>
          <w:left w:w="70" w:type="dxa"/>
          <w:right w:w="70" w:type="dxa"/>
        </w:tblCellMar>
        <w:tblLook w:val="04A0" w:firstRow="1" w:lastRow="0" w:firstColumn="1" w:lastColumn="0" w:noHBand="0" w:noVBand="1"/>
      </w:tblPr>
      <w:tblGrid>
        <w:gridCol w:w="1867"/>
        <w:gridCol w:w="146"/>
        <w:gridCol w:w="900"/>
        <w:gridCol w:w="860"/>
        <w:gridCol w:w="1000"/>
        <w:gridCol w:w="1080"/>
        <w:gridCol w:w="1150"/>
        <w:gridCol w:w="1232"/>
      </w:tblGrid>
      <w:tr w:rsidR="002607D6" w:rsidRPr="00FE1088" w14:paraId="4429599C" w14:textId="77777777" w:rsidTr="00F0564D">
        <w:trPr>
          <w:trHeight w:val="270"/>
        </w:trPr>
        <w:tc>
          <w:tcPr>
            <w:tcW w:w="1960" w:type="dxa"/>
            <w:gridSpan w:val="2"/>
            <w:tcBorders>
              <w:top w:val="nil"/>
              <w:left w:val="double" w:sz="6" w:space="0" w:color="000000"/>
              <w:bottom w:val="nil"/>
              <w:right w:val="nil"/>
            </w:tcBorders>
            <w:noWrap/>
            <w:vAlign w:val="bottom"/>
            <w:hideMark/>
          </w:tcPr>
          <w:p w14:paraId="4E3AEBEE" w14:textId="77777777" w:rsidR="002607D6" w:rsidRPr="00FE1088" w:rsidRDefault="002607D6" w:rsidP="00F0564D">
            <w:pPr>
              <w:rPr>
                <w:color w:val="000000"/>
                <w:sz w:val="12"/>
                <w:szCs w:val="12"/>
              </w:rPr>
            </w:pPr>
            <w:r w:rsidRPr="00FE1088">
              <w:rPr>
                <w:color w:val="000000"/>
                <w:sz w:val="12"/>
                <w:szCs w:val="12"/>
              </w:rPr>
              <w:t>RENDITE E SPESE</w:t>
            </w:r>
          </w:p>
        </w:tc>
        <w:tc>
          <w:tcPr>
            <w:tcW w:w="900" w:type="dxa"/>
            <w:tcBorders>
              <w:top w:val="nil"/>
              <w:left w:val="nil"/>
              <w:bottom w:val="nil"/>
              <w:right w:val="nil"/>
            </w:tcBorders>
            <w:noWrap/>
            <w:vAlign w:val="bottom"/>
            <w:hideMark/>
          </w:tcPr>
          <w:p w14:paraId="4579DDE8" w14:textId="77777777" w:rsidR="002607D6" w:rsidRPr="00FE1088" w:rsidRDefault="002607D6" w:rsidP="00F0564D">
            <w:pPr>
              <w:rPr>
                <w:color w:val="000000"/>
                <w:sz w:val="12"/>
                <w:szCs w:val="12"/>
              </w:rPr>
            </w:pPr>
          </w:p>
        </w:tc>
        <w:tc>
          <w:tcPr>
            <w:tcW w:w="860" w:type="dxa"/>
            <w:tcBorders>
              <w:top w:val="nil"/>
              <w:left w:val="nil"/>
              <w:bottom w:val="nil"/>
              <w:right w:val="nil"/>
            </w:tcBorders>
            <w:noWrap/>
            <w:vAlign w:val="bottom"/>
            <w:hideMark/>
          </w:tcPr>
          <w:p w14:paraId="6F42DBF4"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72FD1533" w14:textId="77777777" w:rsidR="002607D6" w:rsidRPr="00FE1088" w:rsidRDefault="002607D6" w:rsidP="00F0564D">
            <w:pPr>
              <w:rPr>
                <w:sz w:val="12"/>
                <w:szCs w:val="12"/>
              </w:rPr>
            </w:pPr>
          </w:p>
        </w:tc>
        <w:tc>
          <w:tcPr>
            <w:tcW w:w="1080" w:type="dxa"/>
            <w:tcBorders>
              <w:top w:val="nil"/>
              <w:left w:val="single" w:sz="4" w:space="0" w:color="000000"/>
              <w:bottom w:val="single" w:sz="4" w:space="0" w:color="000000"/>
              <w:right w:val="single" w:sz="4" w:space="0" w:color="000000"/>
            </w:tcBorders>
            <w:noWrap/>
            <w:vAlign w:val="bottom"/>
            <w:hideMark/>
          </w:tcPr>
          <w:p w14:paraId="72234594" w14:textId="77777777" w:rsidR="002607D6" w:rsidRPr="00FE1088" w:rsidRDefault="002607D6" w:rsidP="00F0564D">
            <w:pPr>
              <w:jc w:val="center"/>
              <w:rPr>
                <w:b/>
                <w:bCs/>
                <w:color w:val="000000"/>
                <w:sz w:val="12"/>
                <w:szCs w:val="12"/>
              </w:rPr>
            </w:pPr>
            <w:r w:rsidRPr="00FE1088">
              <w:rPr>
                <w:b/>
                <w:bCs/>
                <w:color w:val="000000"/>
                <w:sz w:val="12"/>
                <w:szCs w:val="12"/>
              </w:rPr>
              <w:t xml:space="preserve"> RENDITE </w:t>
            </w:r>
          </w:p>
        </w:tc>
        <w:tc>
          <w:tcPr>
            <w:tcW w:w="1150" w:type="dxa"/>
            <w:tcBorders>
              <w:top w:val="nil"/>
              <w:left w:val="nil"/>
              <w:bottom w:val="single" w:sz="4" w:space="0" w:color="000000"/>
              <w:right w:val="single" w:sz="4" w:space="0" w:color="000000"/>
            </w:tcBorders>
            <w:noWrap/>
            <w:vAlign w:val="bottom"/>
            <w:hideMark/>
          </w:tcPr>
          <w:p w14:paraId="4E3128F0" w14:textId="77777777" w:rsidR="002607D6" w:rsidRPr="00FE1088" w:rsidRDefault="002607D6" w:rsidP="00F0564D">
            <w:pPr>
              <w:jc w:val="center"/>
              <w:rPr>
                <w:b/>
                <w:bCs/>
                <w:color w:val="000000"/>
                <w:sz w:val="12"/>
                <w:szCs w:val="12"/>
              </w:rPr>
            </w:pPr>
            <w:r w:rsidRPr="00FE1088">
              <w:rPr>
                <w:b/>
                <w:bCs/>
                <w:color w:val="000000"/>
                <w:sz w:val="12"/>
                <w:szCs w:val="12"/>
              </w:rPr>
              <w:t xml:space="preserve"> SPESE </w:t>
            </w:r>
          </w:p>
        </w:tc>
        <w:tc>
          <w:tcPr>
            <w:tcW w:w="1232" w:type="dxa"/>
            <w:tcBorders>
              <w:top w:val="nil"/>
              <w:left w:val="nil"/>
              <w:bottom w:val="nil"/>
              <w:right w:val="single" w:sz="4" w:space="0" w:color="000000"/>
            </w:tcBorders>
            <w:noWrap/>
            <w:vAlign w:val="bottom"/>
            <w:hideMark/>
          </w:tcPr>
          <w:p w14:paraId="4EFC67DD"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6DE2B28D" w14:textId="77777777" w:rsidTr="00F0564D">
        <w:trPr>
          <w:trHeight w:val="270"/>
        </w:trPr>
        <w:tc>
          <w:tcPr>
            <w:tcW w:w="1960" w:type="dxa"/>
            <w:gridSpan w:val="2"/>
            <w:tcBorders>
              <w:top w:val="nil"/>
              <w:left w:val="double" w:sz="6" w:space="0" w:color="000000"/>
              <w:bottom w:val="nil"/>
              <w:right w:val="nil"/>
            </w:tcBorders>
            <w:noWrap/>
            <w:vAlign w:val="bottom"/>
            <w:hideMark/>
          </w:tcPr>
          <w:p w14:paraId="015F84BA" w14:textId="77777777" w:rsidR="002607D6" w:rsidRPr="00FE1088" w:rsidRDefault="002607D6" w:rsidP="00F0564D">
            <w:pPr>
              <w:rPr>
                <w:color w:val="000000"/>
                <w:sz w:val="12"/>
                <w:szCs w:val="12"/>
              </w:rPr>
            </w:pPr>
            <w:r w:rsidRPr="00FE1088">
              <w:rPr>
                <w:color w:val="000000"/>
                <w:sz w:val="12"/>
                <w:szCs w:val="12"/>
              </w:rPr>
              <w:t>1) PATRIMONIALI</w:t>
            </w:r>
          </w:p>
        </w:tc>
        <w:tc>
          <w:tcPr>
            <w:tcW w:w="900" w:type="dxa"/>
            <w:tcBorders>
              <w:top w:val="nil"/>
              <w:left w:val="nil"/>
              <w:bottom w:val="nil"/>
              <w:right w:val="nil"/>
            </w:tcBorders>
            <w:noWrap/>
            <w:vAlign w:val="bottom"/>
            <w:hideMark/>
          </w:tcPr>
          <w:p w14:paraId="487378E2" w14:textId="77777777" w:rsidR="002607D6" w:rsidRPr="00FE1088" w:rsidRDefault="002607D6" w:rsidP="00F0564D">
            <w:pPr>
              <w:rPr>
                <w:color w:val="000000"/>
                <w:sz w:val="12"/>
                <w:szCs w:val="12"/>
              </w:rPr>
            </w:pPr>
          </w:p>
        </w:tc>
        <w:tc>
          <w:tcPr>
            <w:tcW w:w="860" w:type="dxa"/>
            <w:tcBorders>
              <w:top w:val="nil"/>
              <w:left w:val="nil"/>
              <w:bottom w:val="nil"/>
              <w:right w:val="nil"/>
            </w:tcBorders>
            <w:noWrap/>
            <w:vAlign w:val="bottom"/>
            <w:hideMark/>
          </w:tcPr>
          <w:p w14:paraId="10F1617A"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17354F6D" w14:textId="77777777" w:rsidR="002607D6" w:rsidRPr="00FE1088" w:rsidRDefault="002607D6" w:rsidP="00F0564D">
            <w:pPr>
              <w:rPr>
                <w:sz w:val="12"/>
                <w:szCs w:val="12"/>
              </w:rPr>
            </w:pPr>
          </w:p>
        </w:tc>
        <w:tc>
          <w:tcPr>
            <w:tcW w:w="1080" w:type="dxa"/>
            <w:tcBorders>
              <w:top w:val="nil"/>
              <w:left w:val="single" w:sz="4" w:space="0" w:color="000000"/>
              <w:bottom w:val="nil"/>
              <w:right w:val="single" w:sz="4" w:space="0" w:color="000000"/>
            </w:tcBorders>
            <w:noWrap/>
            <w:vAlign w:val="bottom"/>
            <w:hideMark/>
          </w:tcPr>
          <w:p w14:paraId="7334D4B9" w14:textId="77777777" w:rsidR="002607D6" w:rsidRPr="00FE1088" w:rsidRDefault="002607D6" w:rsidP="00F0564D">
            <w:pPr>
              <w:rPr>
                <w:color w:val="000000"/>
                <w:sz w:val="12"/>
                <w:szCs w:val="12"/>
              </w:rPr>
            </w:pPr>
            <w:r w:rsidRPr="00FE1088">
              <w:rPr>
                <w:color w:val="000000"/>
                <w:sz w:val="12"/>
                <w:szCs w:val="12"/>
              </w:rPr>
              <w:t> </w:t>
            </w:r>
          </w:p>
        </w:tc>
        <w:tc>
          <w:tcPr>
            <w:tcW w:w="1150" w:type="dxa"/>
            <w:tcBorders>
              <w:top w:val="nil"/>
              <w:left w:val="nil"/>
              <w:bottom w:val="nil"/>
              <w:right w:val="single" w:sz="4" w:space="0" w:color="000000"/>
            </w:tcBorders>
            <w:noWrap/>
            <w:vAlign w:val="bottom"/>
            <w:hideMark/>
          </w:tcPr>
          <w:p w14:paraId="4CD1AC07" w14:textId="77777777" w:rsidR="002607D6" w:rsidRPr="00FE1088" w:rsidRDefault="002607D6" w:rsidP="00F0564D">
            <w:pPr>
              <w:rPr>
                <w:color w:val="000000"/>
                <w:sz w:val="12"/>
                <w:szCs w:val="12"/>
              </w:rPr>
            </w:pPr>
            <w:r w:rsidRPr="00FE1088">
              <w:rPr>
                <w:color w:val="000000"/>
                <w:sz w:val="12"/>
                <w:szCs w:val="12"/>
              </w:rPr>
              <w:t> </w:t>
            </w:r>
          </w:p>
        </w:tc>
        <w:tc>
          <w:tcPr>
            <w:tcW w:w="1232" w:type="dxa"/>
            <w:tcBorders>
              <w:top w:val="nil"/>
              <w:left w:val="nil"/>
              <w:bottom w:val="nil"/>
              <w:right w:val="single" w:sz="4" w:space="0" w:color="000000"/>
            </w:tcBorders>
            <w:noWrap/>
            <w:vAlign w:val="bottom"/>
            <w:hideMark/>
          </w:tcPr>
          <w:p w14:paraId="22C154E6"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617CC2D9" w14:textId="77777777" w:rsidTr="00F0564D">
        <w:trPr>
          <w:trHeight w:val="270"/>
        </w:trPr>
        <w:tc>
          <w:tcPr>
            <w:tcW w:w="1867" w:type="dxa"/>
            <w:tcBorders>
              <w:top w:val="nil"/>
              <w:left w:val="double" w:sz="6" w:space="0" w:color="000000"/>
              <w:bottom w:val="nil"/>
              <w:right w:val="nil"/>
            </w:tcBorders>
            <w:noWrap/>
            <w:vAlign w:val="bottom"/>
            <w:hideMark/>
          </w:tcPr>
          <w:p w14:paraId="2CE8B180" w14:textId="77777777" w:rsidR="002607D6" w:rsidRPr="00FE1088" w:rsidRDefault="002607D6" w:rsidP="00F0564D">
            <w:pPr>
              <w:rPr>
                <w:color w:val="000000"/>
                <w:sz w:val="12"/>
                <w:szCs w:val="12"/>
              </w:rPr>
            </w:pPr>
            <w:r w:rsidRPr="00FE1088">
              <w:rPr>
                <w:color w:val="000000"/>
                <w:sz w:val="12"/>
                <w:szCs w:val="12"/>
              </w:rPr>
              <w:t xml:space="preserve">Ordinarie </w:t>
            </w:r>
          </w:p>
        </w:tc>
        <w:tc>
          <w:tcPr>
            <w:tcW w:w="93" w:type="dxa"/>
            <w:tcBorders>
              <w:top w:val="nil"/>
              <w:left w:val="nil"/>
              <w:bottom w:val="nil"/>
              <w:right w:val="nil"/>
            </w:tcBorders>
            <w:noWrap/>
            <w:vAlign w:val="bottom"/>
            <w:hideMark/>
          </w:tcPr>
          <w:p w14:paraId="75EE5317" w14:textId="77777777" w:rsidR="002607D6" w:rsidRPr="00FE1088" w:rsidRDefault="002607D6" w:rsidP="00F0564D">
            <w:pPr>
              <w:rPr>
                <w:color w:val="000000"/>
                <w:sz w:val="12"/>
                <w:szCs w:val="12"/>
              </w:rPr>
            </w:pPr>
          </w:p>
        </w:tc>
        <w:tc>
          <w:tcPr>
            <w:tcW w:w="900" w:type="dxa"/>
            <w:tcBorders>
              <w:top w:val="nil"/>
              <w:left w:val="nil"/>
              <w:bottom w:val="nil"/>
              <w:right w:val="nil"/>
            </w:tcBorders>
            <w:noWrap/>
            <w:vAlign w:val="bottom"/>
            <w:hideMark/>
          </w:tcPr>
          <w:p w14:paraId="52F68028" w14:textId="77777777" w:rsidR="002607D6" w:rsidRPr="00FE1088" w:rsidRDefault="002607D6" w:rsidP="00F0564D">
            <w:pPr>
              <w:rPr>
                <w:sz w:val="12"/>
                <w:szCs w:val="12"/>
              </w:rPr>
            </w:pPr>
          </w:p>
        </w:tc>
        <w:tc>
          <w:tcPr>
            <w:tcW w:w="860" w:type="dxa"/>
            <w:tcBorders>
              <w:top w:val="nil"/>
              <w:left w:val="nil"/>
              <w:bottom w:val="nil"/>
              <w:right w:val="nil"/>
            </w:tcBorders>
            <w:noWrap/>
            <w:vAlign w:val="bottom"/>
            <w:hideMark/>
          </w:tcPr>
          <w:p w14:paraId="559F6076"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5E447837" w14:textId="77777777" w:rsidR="002607D6" w:rsidRPr="00FE1088" w:rsidRDefault="002607D6" w:rsidP="00F0564D">
            <w:pPr>
              <w:rPr>
                <w:sz w:val="12"/>
                <w:szCs w:val="12"/>
              </w:rPr>
            </w:pPr>
          </w:p>
        </w:tc>
        <w:tc>
          <w:tcPr>
            <w:tcW w:w="1080" w:type="dxa"/>
            <w:tcBorders>
              <w:top w:val="nil"/>
              <w:left w:val="single" w:sz="4" w:space="0" w:color="000000"/>
              <w:bottom w:val="nil"/>
              <w:right w:val="single" w:sz="4" w:space="0" w:color="000000"/>
            </w:tcBorders>
            <w:noWrap/>
            <w:vAlign w:val="bottom"/>
            <w:hideMark/>
          </w:tcPr>
          <w:p w14:paraId="03C4BEA9" w14:textId="77777777" w:rsidR="002607D6" w:rsidRPr="00FE1088" w:rsidRDefault="002607D6" w:rsidP="00F0564D">
            <w:pPr>
              <w:rPr>
                <w:color w:val="000000"/>
                <w:sz w:val="12"/>
                <w:szCs w:val="12"/>
              </w:rPr>
            </w:pPr>
            <w:r w:rsidRPr="00FE1088">
              <w:rPr>
                <w:color w:val="000000"/>
                <w:sz w:val="12"/>
                <w:szCs w:val="12"/>
              </w:rPr>
              <w:t xml:space="preserve"> €      773.381,33 </w:t>
            </w:r>
          </w:p>
        </w:tc>
        <w:tc>
          <w:tcPr>
            <w:tcW w:w="1150" w:type="dxa"/>
            <w:tcBorders>
              <w:top w:val="nil"/>
              <w:left w:val="nil"/>
              <w:bottom w:val="nil"/>
              <w:right w:val="single" w:sz="4" w:space="0" w:color="000000"/>
            </w:tcBorders>
            <w:noWrap/>
            <w:vAlign w:val="bottom"/>
            <w:hideMark/>
          </w:tcPr>
          <w:p w14:paraId="2DD3035B" w14:textId="77777777" w:rsidR="002607D6" w:rsidRPr="00FE1088" w:rsidRDefault="002607D6" w:rsidP="00F0564D">
            <w:pPr>
              <w:rPr>
                <w:color w:val="000000"/>
                <w:sz w:val="12"/>
                <w:szCs w:val="12"/>
              </w:rPr>
            </w:pPr>
            <w:r w:rsidRPr="00FE1088">
              <w:rPr>
                <w:color w:val="000000"/>
                <w:sz w:val="12"/>
                <w:szCs w:val="12"/>
              </w:rPr>
              <w:t xml:space="preserve"> €           193.714,72 </w:t>
            </w:r>
          </w:p>
        </w:tc>
        <w:tc>
          <w:tcPr>
            <w:tcW w:w="1232" w:type="dxa"/>
            <w:tcBorders>
              <w:top w:val="nil"/>
              <w:left w:val="nil"/>
              <w:bottom w:val="nil"/>
              <w:right w:val="single" w:sz="4" w:space="0" w:color="000000"/>
            </w:tcBorders>
            <w:noWrap/>
            <w:vAlign w:val="bottom"/>
            <w:hideMark/>
          </w:tcPr>
          <w:p w14:paraId="1334891C"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06A0816A" w14:textId="77777777" w:rsidTr="00F0564D">
        <w:trPr>
          <w:trHeight w:val="270"/>
        </w:trPr>
        <w:tc>
          <w:tcPr>
            <w:tcW w:w="1960" w:type="dxa"/>
            <w:gridSpan w:val="2"/>
            <w:tcBorders>
              <w:top w:val="nil"/>
              <w:left w:val="double" w:sz="6" w:space="0" w:color="000000"/>
              <w:bottom w:val="nil"/>
              <w:right w:val="nil"/>
            </w:tcBorders>
            <w:noWrap/>
            <w:vAlign w:val="bottom"/>
            <w:hideMark/>
          </w:tcPr>
          <w:p w14:paraId="0A4BEA35" w14:textId="77777777" w:rsidR="002607D6" w:rsidRPr="00FE1088" w:rsidRDefault="002607D6" w:rsidP="00F0564D">
            <w:pPr>
              <w:rPr>
                <w:color w:val="000000"/>
                <w:sz w:val="12"/>
                <w:szCs w:val="12"/>
              </w:rPr>
            </w:pPr>
            <w:r w:rsidRPr="00FE1088">
              <w:rPr>
                <w:color w:val="000000"/>
                <w:sz w:val="12"/>
                <w:szCs w:val="12"/>
              </w:rPr>
              <w:t>Straordinarie</w:t>
            </w:r>
          </w:p>
        </w:tc>
        <w:tc>
          <w:tcPr>
            <w:tcW w:w="900" w:type="dxa"/>
            <w:tcBorders>
              <w:top w:val="nil"/>
              <w:left w:val="nil"/>
              <w:bottom w:val="nil"/>
              <w:right w:val="nil"/>
            </w:tcBorders>
            <w:noWrap/>
            <w:vAlign w:val="bottom"/>
            <w:hideMark/>
          </w:tcPr>
          <w:p w14:paraId="1D64B1E5" w14:textId="77777777" w:rsidR="002607D6" w:rsidRPr="00FE1088" w:rsidRDefault="002607D6" w:rsidP="00F0564D">
            <w:pPr>
              <w:rPr>
                <w:color w:val="000000"/>
                <w:sz w:val="12"/>
                <w:szCs w:val="12"/>
              </w:rPr>
            </w:pPr>
          </w:p>
        </w:tc>
        <w:tc>
          <w:tcPr>
            <w:tcW w:w="860" w:type="dxa"/>
            <w:tcBorders>
              <w:top w:val="nil"/>
              <w:left w:val="nil"/>
              <w:bottom w:val="nil"/>
              <w:right w:val="nil"/>
            </w:tcBorders>
            <w:noWrap/>
            <w:vAlign w:val="bottom"/>
            <w:hideMark/>
          </w:tcPr>
          <w:p w14:paraId="3B097256"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74742667" w14:textId="77777777" w:rsidR="002607D6" w:rsidRPr="00FE1088" w:rsidRDefault="002607D6" w:rsidP="00F0564D">
            <w:pPr>
              <w:rPr>
                <w:sz w:val="12"/>
                <w:szCs w:val="12"/>
              </w:rPr>
            </w:pPr>
          </w:p>
        </w:tc>
        <w:tc>
          <w:tcPr>
            <w:tcW w:w="1080" w:type="dxa"/>
            <w:tcBorders>
              <w:top w:val="nil"/>
              <w:left w:val="single" w:sz="4" w:space="0" w:color="000000"/>
              <w:bottom w:val="nil"/>
              <w:right w:val="single" w:sz="4" w:space="0" w:color="000000"/>
            </w:tcBorders>
            <w:noWrap/>
            <w:vAlign w:val="bottom"/>
            <w:hideMark/>
          </w:tcPr>
          <w:p w14:paraId="26F24377" w14:textId="77777777" w:rsidR="002607D6" w:rsidRPr="00FE1088" w:rsidRDefault="002607D6" w:rsidP="00F0564D">
            <w:pPr>
              <w:rPr>
                <w:color w:val="000000"/>
                <w:sz w:val="12"/>
                <w:szCs w:val="12"/>
              </w:rPr>
            </w:pPr>
            <w:r w:rsidRPr="00FE1088">
              <w:rPr>
                <w:color w:val="000000"/>
                <w:sz w:val="12"/>
                <w:szCs w:val="12"/>
              </w:rPr>
              <w:t xml:space="preserve"> €           11.264,51 </w:t>
            </w:r>
          </w:p>
        </w:tc>
        <w:tc>
          <w:tcPr>
            <w:tcW w:w="1150" w:type="dxa"/>
            <w:tcBorders>
              <w:top w:val="nil"/>
              <w:left w:val="nil"/>
              <w:bottom w:val="nil"/>
              <w:right w:val="single" w:sz="4" w:space="0" w:color="000000"/>
            </w:tcBorders>
            <w:noWrap/>
            <w:vAlign w:val="bottom"/>
            <w:hideMark/>
          </w:tcPr>
          <w:p w14:paraId="3713046C" w14:textId="77777777" w:rsidR="002607D6" w:rsidRPr="00FE1088" w:rsidRDefault="002607D6" w:rsidP="00F0564D">
            <w:pPr>
              <w:rPr>
                <w:color w:val="000000"/>
                <w:sz w:val="12"/>
                <w:szCs w:val="12"/>
              </w:rPr>
            </w:pPr>
            <w:r w:rsidRPr="00FE1088">
              <w:rPr>
                <w:color w:val="000000"/>
                <w:sz w:val="12"/>
                <w:szCs w:val="12"/>
              </w:rPr>
              <w:t xml:space="preserve"> €          189.998,38 </w:t>
            </w:r>
          </w:p>
        </w:tc>
        <w:tc>
          <w:tcPr>
            <w:tcW w:w="1232" w:type="dxa"/>
            <w:tcBorders>
              <w:top w:val="nil"/>
              <w:left w:val="nil"/>
              <w:bottom w:val="nil"/>
              <w:right w:val="single" w:sz="4" w:space="0" w:color="000000"/>
            </w:tcBorders>
            <w:noWrap/>
            <w:vAlign w:val="bottom"/>
            <w:hideMark/>
          </w:tcPr>
          <w:p w14:paraId="6F9D750E"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3BA735F2" w14:textId="77777777" w:rsidTr="00F0564D">
        <w:trPr>
          <w:trHeight w:val="270"/>
        </w:trPr>
        <w:tc>
          <w:tcPr>
            <w:tcW w:w="4720" w:type="dxa"/>
            <w:gridSpan w:val="5"/>
            <w:tcBorders>
              <w:top w:val="nil"/>
              <w:left w:val="double" w:sz="6" w:space="0" w:color="000000"/>
              <w:bottom w:val="nil"/>
              <w:right w:val="nil"/>
            </w:tcBorders>
            <w:noWrap/>
            <w:vAlign w:val="bottom"/>
            <w:hideMark/>
          </w:tcPr>
          <w:p w14:paraId="56918591" w14:textId="77777777" w:rsidR="002607D6" w:rsidRPr="00FE1088" w:rsidRDefault="002607D6" w:rsidP="00F0564D">
            <w:pPr>
              <w:rPr>
                <w:color w:val="000000"/>
                <w:sz w:val="12"/>
                <w:szCs w:val="12"/>
              </w:rPr>
            </w:pPr>
            <w:r w:rsidRPr="00FE1088">
              <w:rPr>
                <w:color w:val="000000"/>
                <w:sz w:val="12"/>
                <w:szCs w:val="12"/>
              </w:rPr>
              <w:t>2) NON PATRIMONIALI O DI BENEFICENZA</w:t>
            </w:r>
          </w:p>
        </w:tc>
        <w:tc>
          <w:tcPr>
            <w:tcW w:w="1080" w:type="dxa"/>
            <w:tcBorders>
              <w:top w:val="nil"/>
              <w:left w:val="single" w:sz="4" w:space="0" w:color="000000"/>
              <w:bottom w:val="nil"/>
              <w:right w:val="single" w:sz="4" w:space="0" w:color="000000"/>
            </w:tcBorders>
            <w:noWrap/>
            <w:vAlign w:val="bottom"/>
            <w:hideMark/>
          </w:tcPr>
          <w:p w14:paraId="27BDDF26" w14:textId="77777777" w:rsidR="002607D6" w:rsidRPr="00FE1088" w:rsidRDefault="002607D6" w:rsidP="00F0564D">
            <w:pPr>
              <w:rPr>
                <w:color w:val="000000"/>
                <w:sz w:val="12"/>
                <w:szCs w:val="12"/>
              </w:rPr>
            </w:pPr>
            <w:r w:rsidRPr="00FE1088">
              <w:rPr>
                <w:color w:val="000000"/>
                <w:sz w:val="12"/>
                <w:szCs w:val="12"/>
              </w:rPr>
              <w:t> </w:t>
            </w:r>
          </w:p>
        </w:tc>
        <w:tc>
          <w:tcPr>
            <w:tcW w:w="1150" w:type="dxa"/>
            <w:tcBorders>
              <w:top w:val="nil"/>
              <w:left w:val="nil"/>
              <w:bottom w:val="nil"/>
              <w:right w:val="single" w:sz="4" w:space="0" w:color="000000"/>
            </w:tcBorders>
            <w:noWrap/>
            <w:vAlign w:val="bottom"/>
            <w:hideMark/>
          </w:tcPr>
          <w:p w14:paraId="3A26759E" w14:textId="77777777" w:rsidR="002607D6" w:rsidRPr="00FE1088" w:rsidRDefault="002607D6" w:rsidP="00F0564D">
            <w:pPr>
              <w:rPr>
                <w:color w:val="000000"/>
                <w:sz w:val="12"/>
                <w:szCs w:val="12"/>
              </w:rPr>
            </w:pPr>
            <w:r w:rsidRPr="00FE1088">
              <w:rPr>
                <w:color w:val="000000"/>
                <w:sz w:val="12"/>
                <w:szCs w:val="12"/>
              </w:rPr>
              <w:t> </w:t>
            </w:r>
          </w:p>
        </w:tc>
        <w:tc>
          <w:tcPr>
            <w:tcW w:w="1232" w:type="dxa"/>
            <w:tcBorders>
              <w:top w:val="nil"/>
              <w:left w:val="nil"/>
              <w:bottom w:val="nil"/>
              <w:right w:val="single" w:sz="4" w:space="0" w:color="000000"/>
            </w:tcBorders>
            <w:noWrap/>
            <w:vAlign w:val="bottom"/>
            <w:hideMark/>
          </w:tcPr>
          <w:p w14:paraId="707B0CCE"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36BCAE08" w14:textId="77777777" w:rsidTr="00F0564D">
        <w:trPr>
          <w:trHeight w:val="270"/>
        </w:trPr>
        <w:tc>
          <w:tcPr>
            <w:tcW w:w="1867" w:type="dxa"/>
            <w:tcBorders>
              <w:top w:val="nil"/>
              <w:left w:val="double" w:sz="6" w:space="0" w:color="000000"/>
              <w:bottom w:val="nil"/>
              <w:right w:val="nil"/>
            </w:tcBorders>
            <w:noWrap/>
            <w:vAlign w:val="bottom"/>
            <w:hideMark/>
          </w:tcPr>
          <w:p w14:paraId="18CD492D" w14:textId="77777777" w:rsidR="002607D6" w:rsidRPr="00FE1088" w:rsidRDefault="002607D6" w:rsidP="00F0564D">
            <w:pPr>
              <w:rPr>
                <w:color w:val="000000"/>
                <w:sz w:val="12"/>
                <w:szCs w:val="12"/>
              </w:rPr>
            </w:pPr>
            <w:r w:rsidRPr="00FE1088">
              <w:rPr>
                <w:color w:val="000000"/>
                <w:sz w:val="12"/>
                <w:szCs w:val="12"/>
              </w:rPr>
              <w:t xml:space="preserve">Ordinarie </w:t>
            </w:r>
          </w:p>
        </w:tc>
        <w:tc>
          <w:tcPr>
            <w:tcW w:w="93" w:type="dxa"/>
            <w:tcBorders>
              <w:top w:val="nil"/>
              <w:left w:val="nil"/>
              <w:bottom w:val="nil"/>
              <w:right w:val="nil"/>
            </w:tcBorders>
            <w:noWrap/>
            <w:vAlign w:val="bottom"/>
            <w:hideMark/>
          </w:tcPr>
          <w:p w14:paraId="167D0909" w14:textId="77777777" w:rsidR="002607D6" w:rsidRPr="00FE1088" w:rsidRDefault="002607D6" w:rsidP="00F0564D">
            <w:pPr>
              <w:rPr>
                <w:color w:val="000000"/>
                <w:sz w:val="12"/>
                <w:szCs w:val="12"/>
              </w:rPr>
            </w:pPr>
          </w:p>
        </w:tc>
        <w:tc>
          <w:tcPr>
            <w:tcW w:w="900" w:type="dxa"/>
            <w:tcBorders>
              <w:top w:val="nil"/>
              <w:left w:val="nil"/>
              <w:bottom w:val="nil"/>
              <w:right w:val="nil"/>
            </w:tcBorders>
            <w:noWrap/>
            <w:vAlign w:val="bottom"/>
            <w:hideMark/>
          </w:tcPr>
          <w:p w14:paraId="55D04EE6" w14:textId="77777777" w:rsidR="002607D6" w:rsidRPr="00FE1088" w:rsidRDefault="002607D6" w:rsidP="00F0564D">
            <w:pPr>
              <w:rPr>
                <w:sz w:val="12"/>
                <w:szCs w:val="12"/>
              </w:rPr>
            </w:pPr>
          </w:p>
        </w:tc>
        <w:tc>
          <w:tcPr>
            <w:tcW w:w="860" w:type="dxa"/>
            <w:tcBorders>
              <w:top w:val="nil"/>
              <w:left w:val="nil"/>
              <w:bottom w:val="nil"/>
              <w:right w:val="nil"/>
            </w:tcBorders>
            <w:noWrap/>
            <w:vAlign w:val="bottom"/>
            <w:hideMark/>
          </w:tcPr>
          <w:p w14:paraId="336FA2F9"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5CCC06FE" w14:textId="77777777" w:rsidR="002607D6" w:rsidRPr="00FE1088" w:rsidRDefault="002607D6" w:rsidP="00F0564D">
            <w:pPr>
              <w:rPr>
                <w:sz w:val="12"/>
                <w:szCs w:val="12"/>
              </w:rPr>
            </w:pPr>
          </w:p>
        </w:tc>
        <w:tc>
          <w:tcPr>
            <w:tcW w:w="1080" w:type="dxa"/>
            <w:tcBorders>
              <w:top w:val="nil"/>
              <w:left w:val="single" w:sz="4" w:space="0" w:color="000000"/>
              <w:bottom w:val="nil"/>
              <w:right w:val="single" w:sz="4" w:space="0" w:color="000000"/>
            </w:tcBorders>
            <w:noWrap/>
            <w:vAlign w:val="bottom"/>
            <w:hideMark/>
          </w:tcPr>
          <w:p w14:paraId="1A3524A1" w14:textId="77777777" w:rsidR="002607D6" w:rsidRPr="00FE1088" w:rsidRDefault="002607D6" w:rsidP="00F0564D">
            <w:pPr>
              <w:rPr>
                <w:color w:val="000000"/>
                <w:sz w:val="12"/>
                <w:szCs w:val="12"/>
              </w:rPr>
            </w:pPr>
            <w:r w:rsidRPr="00FE1088">
              <w:rPr>
                <w:color w:val="000000"/>
                <w:sz w:val="12"/>
                <w:szCs w:val="12"/>
              </w:rPr>
              <w:t xml:space="preserve"> €        53.550,00 </w:t>
            </w:r>
          </w:p>
        </w:tc>
        <w:tc>
          <w:tcPr>
            <w:tcW w:w="1150" w:type="dxa"/>
            <w:tcBorders>
              <w:top w:val="nil"/>
              <w:left w:val="nil"/>
              <w:bottom w:val="nil"/>
              <w:right w:val="single" w:sz="4" w:space="0" w:color="000000"/>
            </w:tcBorders>
            <w:noWrap/>
            <w:vAlign w:val="bottom"/>
            <w:hideMark/>
          </w:tcPr>
          <w:p w14:paraId="03CAEC9D" w14:textId="77777777" w:rsidR="002607D6" w:rsidRPr="00FE1088" w:rsidRDefault="002607D6" w:rsidP="00F0564D">
            <w:pPr>
              <w:rPr>
                <w:color w:val="000000"/>
                <w:sz w:val="12"/>
                <w:szCs w:val="12"/>
              </w:rPr>
            </w:pPr>
            <w:r w:rsidRPr="00FE1088">
              <w:rPr>
                <w:color w:val="000000"/>
                <w:sz w:val="12"/>
                <w:szCs w:val="12"/>
              </w:rPr>
              <w:t xml:space="preserve"> €         437.747,87 </w:t>
            </w:r>
          </w:p>
        </w:tc>
        <w:tc>
          <w:tcPr>
            <w:tcW w:w="1232" w:type="dxa"/>
            <w:tcBorders>
              <w:top w:val="nil"/>
              <w:left w:val="nil"/>
              <w:bottom w:val="nil"/>
              <w:right w:val="single" w:sz="4" w:space="0" w:color="000000"/>
            </w:tcBorders>
            <w:noWrap/>
            <w:vAlign w:val="bottom"/>
            <w:hideMark/>
          </w:tcPr>
          <w:p w14:paraId="1AE3F863"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178F7540" w14:textId="77777777" w:rsidTr="00F0564D">
        <w:trPr>
          <w:trHeight w:val="270"/>
        </w:trPr>
        <w:tc>
          <w:tcPr>
            <w:tcW w:w="1960" w:type="dxa"/>
            <w:gridSpan w:val="2"/>
            <w:tcBorders>
              <w:top w:val="nil"/>
              <w:left w:val="double" w:sz="6" w:space="0" w:color="000000"/>
              <w:bottom w:val="nil"/>
              <w:right w:val="nil"/>
            </w:tcBorders>
            <w:noWrap/>
            <w:vAlign w:val="bottom"/>
            <w:hideMark/>
          </w:tcPr>
          <w:p w14:paraId="7F6D27FE" w14:textId="77777777" w:rsidR="002607D6" w:rsidRPr="00FE1088" w:rsidRDefault="002607D6" w:rsidP="00F0564D">
            <w:pPr>
              <w:rPr>
                <w:color w:val="000000"/>
                <w:sz w:val="12"/>
                <w:szCs w:val="12"/>
              </w:rPr>
            </w:pPr>
            <w:r w:rsidRPr="00FE1088">
              <w:rPr>
                <w:color w:val="000000"/>
                <w:sz w:val="12"/>
                <w:szCs w:val="12"/>
              </w:rPr>
              <w:t>Straordinarie</w:t>
            </w:r>
          </w:p>
        </w:tc>
        <w:tc>
          <w:tcPr>
            <w:tcW w:w="900" w:type="dxa"/>
            <w:tcBorders>
              <w:top w:val="nil"/>
              <w:left w:val="nil"/>
              <w:bottom w:val="nil"/>
              <w:right w:val="nil"/>
            </w:tcBorders>
            <w:noWrap/>
            <w:vAlign w:val="bottom"/>
            <w:hideMark/>
          </w:tcPr>
          <w:p w14:paraId="19A4393B" w14:textId="77777777" w:rsidR="002607D6" w:rsidRPr="00FE1088" w:rsidRDefault="002607D6" w:rsidP="00F0564D">
            <w:pPr>
              <w:rPr>
                <w:color w:val="000000"/>
                <w:sz w:val="12"/>
                <w:szCs w:val="12"/>
              </w:rPr>
            </w:pPr>
          </w:p>
        </w:tc>
        <w:tc>
          <w:tcPr>
            <w:tcW w:w="860" w:type="dxa"/>
            <w:tcBorders>
              <w:top w:val="nil"/>
              <w:left w:val="nil"/>
              <w:bottom w:val="nil"/>
              <w:right w:val="nil"/>
            </w:tcBorders>
            <w:noWrap/>
            <w:vAlign w:val="bottom"/>
            <w:hideMark/>
          </w:tcPr>
          <w:p w14:paraId="4C344CF2"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0D78C8D1" w14:textId="77777777" w:rsidR="002607D6" w:rsidRPr="00FE1088" w:rsidRDefault="002607D6" w:rsidP="00F0564D">
            <w:pPr>
              <w:rPr>
                <w:sz w:val="12"/>
                <w:szCs w:val="12"/>
              </w:rPr>
            </w:pPr>
          </w:p>
        </w:tc>
        <w:tc>
          <w:tcPr>
            <w:tcW w:w="1080" w:type="dxa"/>
            <w:tcBorders>
              <w:top w:val="nil"/>
              <w:left w:val="single" w:sz="4" w:space="0" w:color="000000"/>
              <w:bottom w:val="nil"/>
              <w:right w:val="single" w:sz="4" w:space="0" w:color="000000"/>
            </w:tcBorders>
            <w:noWrap/>
            <w:vAlign w:val="bottom"/>
            <w:hideMark/>
          </w:tcPr>
          <w:p w14:paraId="6DBCB8CA" w14:textId="77777777" w:rsidR="002607D6" w:rsidRPr="00FE1088" w:rsidRDefault="002607D6" w:rsidP="00F0564D">
            <w:pPr>
              <w:rPr>
                <w:color w:val="000000"/>
                <w:sz w:val="12"/>
                <w:szCs w:val="12"/>
              </w:rPr>
            </w:pPr>
            <w:r w:rsidRPr="00FE1088">
              <w:rPr>
                <w:color w:val="000000"/>
                <w:sz w:val="12"/>
                <w:szCs w:val="12"/>
              </w:rPr>
              <w:t xml:space="preserve"> €            5.199,51 </w:t>
            </w:r>
          </w:p>
        </w:tc>
        <w:tc>
          <w:tcPr>
            <w:tcW w:w="1150" w:type="dxa"/>
            <w:tcBorders>
              <w:top w:val="nil"/>
              <w:left w:val="nil"/>
              <w:bottom w:val="nil"/>
              <w:right w:val="single" w:sz="4" w:space="0" w:color="000000"/>
            </w:tcBorders>
            <w:noWrap/>
            <w:vAlign w:val="bottom"/>
            <w:hideMark/>
          </w:tcPr>
          <w:p w14:paraId="7C0A066E" w14:textId="77777777" w:rsidR="002607D6" w:rsidRPr="00FE1088" w:rsidRDefault="002607D6" w:rsidP="00F0564D">
            <w:pPr>
              <w:rPr>
                <w:color w:val="000000"/>
                <w:sz w:val="12"/>
                <w:szCs w:val="12"/>
              </w:rPr>
            </w:pPr>
            <w:r w:rsidRPr="00FE1088">
              <w:rPr>
                <w:color w:val="000000"/>
                <w:sz w:val="12"/>
                <w:szCs w:val="12"/>
              </w:rPr>
              <w:t xml:space="preserve"> €           55.248,29 </w:t>
            </w:r>
          </w:p>
        </w:tc>
        <w:tc>
          <w:tcPr>
            <w:tcW w:w="1232" w:type="dxa"/>
            <w:tcBorders>
              <w:top w:val="nil"/>
              <w:left w:val="nil"/>
              <w:bottom w:val="nil"/>
              <w:right w:val="single" w:sz="4" w:space="0" w:color="000000"/>
            </w:tcBorders>
            <w:noWrap/>
            <w:vAlign w:val="bottom"/>
            <w:hideMark/>
          </w:tcPr>
          <w:p w14:paraId="27A59D47" w14:textId="77777777" w:rsidR="002607D6" w:rsidRPr="00FE1088" w:rsidRDefault="002607D6" w:rsidP="00F0564D">
            <w:pPr>
              <w:rPr>
                <w:color w:val="000000"/>
                <w:sz w:val="12"/>
                <w:szCs w:val="12"/>
              </w:rPr>
            </w:pPr>
            <w:r w:rsidRPr="00FE1088">
              <w:rPr>
                <w:color w:val="000000"/>
                <w:sz w:val="12"/>
                <w:szCs w:val="12"/>
              </w:rPr>
              <w:t> </w:t>
            </w:r>
          </w:p>
        </w:tc>
      </w:tr>
      <w:tr w:rsidR="002607D6" w:rsidRPr="00FE1088" w14:paraId="09D01E1E" w14:textId="77777777" w:rsidTr="00F0564D">
        <w:trPr>
          <w:trHeight w:val="270"/>
        </w:trPr>
        <w:tc>
          <w:tcPr>
            <w:tcW w:w="1867" w:type="dxa"/>
            <w:tcBorders>
              <w:top w:val="nil"/>
              <w:left w:val="double" w:sz="6" w:space="0" w:color="000000"/>
              <w:bottom w:val="nil"/>
              <w:right w:val="nil"/>
            </w:tcBorders>
            <w:noWrap/>
            <w:vAlign w:val="bottom"/>
            <w:hideMark/>
          </w:tcPr>
          <w:p w14:paraId="7591E486" w14:textId="77777777" w:rsidR="002607D6" w:rsidRPr="00FE1088" w:rsidRDefault="002607D6" w:rsidP="00F0564D">
            <w:pPr>
              <w:rPr>
                <w:color w:val="000000"/>
                <w:sz w:val="12"/>
                <w:szCs w:val="12"/>
              </w:rPr>
            </w:pPr>
            <w:r w:rsidRPr="00FE1088">
              <w:rPr>
                <w:color w:val="000000"/>
                <w:sz w:val="12"/>
                <w:szCs w:val="12"/>
              </w:rPr>
              <w:t> </w:t>
            </w:r>
          </w:p>
        </w:tc>
        <w:tc>
          <w:tcPr>
            <w:tcW w:w="93" w:type="dxa"/>
            <w:tcBorders>
              <w:top w:val="nil"/>
              <w:left w:val="nil"/>
              <w:bottom w:val="nil"/>
              <w:right w:val="nil"/>
            </w:tcBorders>
            <w:noWrap/>
            <w:vAlign w:val="bottom"/>
            <w:hideMark/>
          </w:tcPr>
          <w:p w14:paraId="78F8E56F" w14:textId="77777777" w:rsidR="002607D6" w:rsidRPr="00FE1088" w:rsidRDefault="002607D6" w:rsidP="00F0564D">
            <w:pPr>
              <w:rPr>
                <w:color w:val="000000"/>
                <w:sz w:val="12"/>
                <w:szCs w:val="12"/>
              </w:rPr>
            </w:pPr>
          </w:p>
        </w:tc>
        <w:tc>
          <w:tcPr>
            <w:tcW w:w="900" w:type="dxa"/>
            <w:tcBorders>
              <w:top w:val="nil"/>
              <w:left w:val="nil"/>
              <w:bottom w:val="nil"/>
              <w:right w:val="nil"/>
            </w:tcBorders>
            <w:noWrap/>
            <w:vAlign w:val="bottom"/>
            <w:hideMark/>
          </w:tcPr>
          <w:p w14:paraId="7F86BDCB" w14:textId="77777777" w:rsidR="002607D6" w:rsidRPr="00FE1088" w:rsidRDefault="002607D6" w:rsidP="00F0564D">
            <w:pPr>
              <w:rPr>
                <w:sz w:val="12"/>
                <w:szCs w:val="12"/>
              </w:rPr>
            </w:pPr>
          </w:p>
        </w:tc>
        <w:tc>
          <w:tcPr>
            <w:tcW w:w="860" w:type="dxa"/>
            <w:tcBorders>
              <w:top w:val="nil"/>
              <w:left w:val="nil"/>
              <w:bottom w:val="nil"/>
              <w:right w:val="nil"/>
            </w:tcBorders>
            <w:noWrap/>
            <w:vAlign w:val="bottom"/>
            <w:hideMark/>
          </w:tcPr>
          <w:p w14:paraId="6F2C194B" w14:textId="77777777" w:rsidR="002607D6" w:rsidRPr="00FE1088" w:rsidRDefault="002607D6" w:rsidP="00F0564D">
            <w:pPr>
              <w:rPr>
                <w:sz w:val="12"/>
                <w:szCs w:val="12"/>
              </w:rPr>
            </w:pPr>
          </w:p>
        </w:tc>
        <w:tc>
          <w:tcPr>
            <w:tcW w:w="1000" w:type="dxa"/>
            <w:tcBorders>
              <w:top w:val="nil"/>
              <w:left w:val="nil"/>
              <w:bottom w:val="nil"/>
              <w:right w:val="nil"/>
            </w:tcBorders>
            <w:noWrap/>
            <w:vAlign w:val="bottom"/>
            <w:hideMark/>
          </w:tcPr>
          <w:p w14:paraId="09D33887" w14:textId="77777777" w:rsidR="002607D6" w:rsidRPr="00FE1088" w:rsidRDefault="002607D6" w:rsidP="00F0564D">
            <w:pPr>
              <w:rPr>
                <w:sz w:val="12"/>
                <w:szCs w:val="12"/>
              </w:rPr>
            </w:pPr>
          </w:p>
        </w:tc>
        <w:tc>
          <w:tcPr>
            <w:tcW w:w="1080" w:type="dxa"/>
            <w:tcBorders>
              <w:top w:val="single" w:sz="8" w:space="0" w:color="000000"/>
              <w:left w:val="single" w:sz="8" w:space="0" w:color="000000"/>
              <w:bottom w:val="single" w:sz="8" w:space="0" w:color="000000"/>
              <w:right w:val="single" w:sz="4" w:space="0" w:color="000000"/>
            </w:tcBorders>
            <w:noWrap/>
            <w:hideMark/>
          </w:tcPr>
          <w:p w14:paraId="072C4446" w14:textId="77777777" w:rsidR="002607D6" w:rsidRPr="00FE1088" w:rsidRDefault="002607D6" w:rsidP="00F0564D">
            <w:pPr>
              <w:rPr>
                <w:color w:val="000000"/>
                <w:sz w:val="12"/>
                <w:szCs w:val="12"/>
              </w:rPr>
            </w:pPr>
            <w:r w:rsidRPr="00FE1088">
              <w:rPr>
                <w:color w:val="000000"/>
                <w:sz w:val="12"/>
                <w:szCs w:val="12"/>
              </w:rPr>
              <w:t xml:space="preserve"> €     843.395,35 </w:t>
            </w:r>
          </w:p>
        </w:tc>
        <w:tc>
          <w:tcPr>
            <w:tcW w:w="1150" w:type="dxa"/>
            <w:tcBorders>
              <w:top w:val="single" w:sz="8" w:space="0" w:color="000000"/>
              <w:left w:val="single" w:sz="8" w:space="0" w:color="000000"/>
              <w:bottom w:val="single" w:sz="8" w:space="0" w:color="000000"/>
              <w:right w:val="single" w:sz="4" w:space="0" w:color="000000"/>
            </w:tcBorders>
            <w:noWrap/>
            <w:hideMark/>
          </w:tcPr>
          <w:p w14:paraId="4843F1DE" w14:textId="77777777" w:rsidR="002607D6" w:rsidRPr="00FE1088" w:rsidRDefault="002607D6" w:rsidP="00F0564D">
            <w:pPr>
              <w:rPr>
                <w:color w:val="000000"/>
                <w:sz w:val="12"/>
                <w:szCs w:val="12"/>
              </w:rPr>
            </w:pPr>
            <w:r w:rsidRPr="00FE1088">
              <w:rPr>
                <w:color w:val="000000"/>
                <w:sz w:val="12"/>
                <w:szCs w:val="12"/>
              </w:rPr>
              <w:t xml:space="preserve"> €         876.709,26 </w:t>
            </w:r>
          </w:p>
        </w:tc>
        <w:tc>
          <w:tcPr>
            <w:tcW w:w="1232" w:type="dxa"/>
            <w:tcBorders>
              <w:top w:val="nil"/>
              <w:left w:val="nil"/>
              <w:bottom w:val="nil"/>
              <w:right w:val="single" w:sz="4" w:space="0" w:color="000000"/>
            </w:tcBorders>
            <w:noWrap/>
            <w:vAlign w:val="bottom"/>
            <w:hideMark/>
          </w:tcPr>
          <w:p w14:paraId="71A2B394" w14:textId="77777777" w:rsidR="002607D6" w:rsidRPr="00FE1088" w:rsidRDefault="002607D6" w:rsidP="00F0564D">
            <w:pPr>
              <w:rPr>
                <w:color w:val="000000"/>
                <w:sz w:val="12"/>
                <w:szCs w:val="12"/>
              </w:rPr>
            </w:pPr>
            <w:r w:rsidRPr="00FE1088">
              <w:rPr>
                <w:color w:val="000000"/>
                <w:sz w:val="12"/>
                <w:szCs w:val="12"/>
              </w:rPr>
              <w:t xml:space="preserve">-€               33.313,91 </w:t>
            </w:r>
          </w:p>
        </w:tc>
      </w:tr>
    </w:tbl>
    <w:p w14:paraId="1020275D" w14:textId="77777777" w:rsidR="002607D6" w:rsidRDefault="002607D6" w:rsidP="002607D6">
      <w:pPr>
        <w:jc w:val="both"/>
      </w:pPr>
    </w:p>
    <w:p w14:paraId="3C92D2AF" w14:textId="77777777" w:rsidR="002607D6" w:rsidRDefault="002607D6" w:rsidP="002607D6">
      <w:pPr>
        <w:jc w:val="both"/>
      </w:pPr>
    </w:p>
    <w:p w14:paraId="67A94A61" w14:textId="77777777" w:rsidR="002607D6" w:rsidRDefault="002607D6" w:rsidP="002607D6">
      <w:pPr>
        <w:jc w:val="both"/>
      </w:pPr>
      <w:r w:rsidRPr="00461D39">
        <w:t>Le variazioni dei residui</w:t>
      </w:r>
      <w:r>
        <w:t xml:space="preserve"> (riaccertamenti) incidono in maniera marginale sui parametri suddetti per un importo modesto di Euro 1.111,35. </w:t>
      </w:r>
    </w:p>
    <w:p w14:paraId="64975E07" w14:textId="77777777" w:rsidR="002607D6" w:rsidRPr="00FE1088" w:rsidRDefault="002607D6" w:rsidP="002607D6">
      <w:pPr>
        <w:jc w:val="both"/>
      </w:pPr>
      <w:r>
        <w:t>I</w:t>
      </w:r>
      <w:r w:rsidRPr="00461D39">
        <w:t xml:space="preserve">l </w:t>
      </w:r>
      <w:r w:rsidRPr="001102AA">
        <w:rPr>
          <w:b/>
          <w:bCs/>
        </w:rPr>
        <w:t>fondo cassa accertato al 31.12.20</w:t>
      </w:r>
      <w:r>
        <w:rPr>
          <w:b/>
          <w:bCs/>
        </w:rPr>
        <w:t>24</w:t>
      </w:r>
      <w:r w:rsidRPr="001102AA">
        <w:rPr>
          <w:b/>
          <w:bCs/>
        </w:rPr>
        <w:t xml:space="preserve"> risulta pari ad </w:t>
      </w:r>
      <w:r w:rsidRPr="00FE1088">
        <w:rPr>
          <w:b/>
          <w:bCs/>
        </w:rPr>
        <w:t xml:space="preserve">  </w:t>
      </w:r>
      <w:r>
        <w:rPr>
          <w:b/>
          <w:bCs/>
        </w:rPr>
        <w:t>Euro</w:t>
      </w:r>
      <w:r w:rsidRPr="00FE1088">
        <w:rPr>
          <w:b/>
          <w:bCs/>
        </w:rPr>
        <w:t xml:space="preserve"> 1.537.275,76 </w:t>
      </w:r>
      <w:r w:rsidRPr="001102AA">
        <w:rPr>
          <w:b/>
          <w:bCs/>
        </w:rPr>
        <w:t xml:space="preserve"> </w:t>
      </w:r>
      <w:r w:rsidRPr="00461D39">
        <w:t xml:space="preserve">quindi con </w:t>
      </w:r>
      <w:r>
        <w:t xml:space="preserve">un incremento </w:t>
      </w:r>
      <w:r w:rsidRPr="00FE1088">
        <w:t>di Euro 1.046.399,77 rispetto al valore registrato alla fine del 2023 (Al 31.12.2023 detto valore risultava di Euro  490.875,99).</w:t>
      </w:r>
    </w:p>
    <w:p w14:paraId="1DFF16E0" w14:textId="77777777" w:rsidR="002607D6" w:rsidRDefault="002607D6" w:rsidP="002607D6">
      <w:pPr>
        <w:jc w:val="both"/>
      </w:pPr>
      <w:r>
        <w:t>I</w:t>
      </w:r>
      <w:r w:rsidRPr="00461D39">
        <w:t xml:space="preserve">l risultato di amministrazione positivo (AVANZO) </w:t>
      </w:r>
      <w:r>
        <w:t>è come di seguito determinato</w:t>
      </w:r>
      <w:r w:rsidRPr="00461D39">
        <w:t>:</w:t>
      </w:r>
    </w:p>
    <w:p w14:paraId="5E1D4B2B" w14:textId="77777777" w:rsidR="002607D6" w:rsidRDefault="002607D6" w:rsidP="002607D6">
      <w:pPr>
        <w:jc w:val="both"/>
      </w:pPr>
    </w:p>
    <w:p w14:paraId="24D98884" w14:textId="77777777" w:rsidR="002607D6" w:rsidRDefault="002607D6" w:rsidP="002607D6">
      <w:pPr>
        <w:jc w:val="both"/>
      </w:pPr>
    </w:p>
    <w:tbl>
      <w:tblPr>
        <w:tblW w:w="6232" w:type="dxa"/>
        <w:tblInd w:w="75" w:type="dxa"/>
        <w:tblCellMar>
          <w:left w:w="70" w:type="dxa"/>
          <w:right w:w="70" w:type="dxa"/>
        </w:tblCellMar>
        <w:tblLook w:val="04A0" w:firstRow="1" w:lastRow="0" w:firstColumn="1" w:lastColumn="0" w:noHBand="0" w:noVBand="1"/>
      </w:tblPr>
      <w:tblGrid>
        <w:gridCol w:w="4720"/>
        <w:gridCol w:w="1512"/>
      </w:tblGrid>
      <w:tr w:rsidR="002607D6" w14:paraId="541AFAA2" w14:textId="77777777" w:rsidTr="00F0564D">
        <w:trPr>
          <w:trHeight w:val="255"/>
        </w:trPr>
        <w:tc>
          <w:tcPr>
            <w:tcW w:w="4720" w:type="dxa"/>
            <w:tcBorders>
              <w:top w:val="nil"/>
              <w:left w:val="single" w:sz="4" w:space="0" w:color="000000"/>
              <w:bottom w:val="nil"/>
              <w:right w:val="nil"/>
            </w:tcBorders>
            <w:noWrap/>
            <w:vAlign w:val="bottom"/>
            <w:hideMark/>
          </w:tcPr>
          <w:p w14:paraId="4856E5E7" w14:textId="77777777" w:rsidR="002607D6" w:rsidRDefault="002607D6" w:rsidP="00F0564D">
            <w:pPr>
              <w:jc w:val="center"/>
              <w:rPr>
                <w:b/>
                <w:bCs/>
                <w:color w:val="000000"/>
                <w:sz w:val="20"/>
                <w:szCs w:val="20"/>
              </w:rPr>
            </w:pPr>
            <w:r>
              <w:rPr>
                <w:b/>
                <w:bCs/>
                <w:color w:val="000000"/>
                <w:sz w:val="20"/>
                <w:szCs w:val="20"/>
              </w:rPr>
              <w:t>AVANZO</w:t>
            </w:r>
          </w:p>
        </w:tc>
        <w:tc>
          <w:tcPr>
            <w:tcW w:w="1512" w:type="dxa"/>
            <w:tcBorders>
              <w:top w:val="nil"/>
              <w:left w:val="nil"/>
              <w:bottom w:val="nil"/>
              <w:right w:val="nil"/>
            </w:tcBorders>
            <w:noWrap/>
            <w:vAlign w:val="bottom"/>
            <w:hideMark/>
          </w:tcPr>
          <w:p w14:paraId="48BEA05D" w14:textId="77777777" w:rsidR="002607D6" w:rsidRDefault="002607D6" w:rsidP="00F0564D">
            <w:pPr>
              <w:jc w:val="center"/>
              <w:rPr>
                <w:b/>
                <w:bCs/>
                <w:color w:val="000000"/>
                <w:sz w:val="20"/>
                <w:szCs w:val="20"/>
              </w:rPr>
            </w:pPr>
          </w:p>
        </w:tc>
      </w:tr>
      <w:tr w:rsidR="002607D6" w14:paraId="7CC3E9C0" w14:textId="77777777" w:rsidTr="00F0564D">
        <w:trPr>
          <w:trHeight w:val="255"/>
        </w:trPr>
        <w:tc>
          <w:tcPr>
            <w:tcW w:w="4720" w:type="dxa"/>
            <w:tcBorders>
              <w:top w:val="nil"/>
              <w:left w:val="single" w:sz="4" w:space="0" w:color="000000"/>
              <w:bottom w:val="nil"/>
              <w:right w:val="nil"/>
            </w:tcBorders>
            <w:noWrap/>
            <w:vAlign w:val="bottom"/>
            <w:hideMark/>
          </w:tcPr>
          <w:p w14:paraId="2A0DF371" w14:textId="77777777" w:rsidR="002607D6" w:rsidRDefault="002607D6" w:rsidP="00F0564D">
            <w:pPr>
              <w:rPr>
                <w:color w:val="000000"/>
                <w:sz w:val="20"/>
                <w:szCs w:val="20"/>
              </w:rPr>
            </w:pPr>
            <w:r>
              <w:rPr>
                <w:color w:val="000000"/>
                <w:sz w:val="20"/>
                <w:szCs w:val="20"/>
              </w:rPr>
              <w:t>nel bilancio preventivo</w:t>
            </w:r>
          </w:p>
        </w:tc>
        <w:tc>
          <w:tcPr>
            <w:tcW w:w="1512" w:type="dxa"/>
            <w:tcBorders>
              <w:top w:val="nil"/>
              <w:left w:val="single" w:sz="4" w:space="0" w:color="000000"/>
              <w:bottom w:val="nil"/>
              <w:right w:val="nil"/>
            </w:tcBorders>
            <w:noWrap/>
            <w:vAlign w:val="bottom"/>
            <w:hideMark/>
          </w:tcPr>
          <w:p w14:paraId="744100AD" w14:textId="77777777" w:rsidR="002607D6" w:rsidRDefault="002607D6" w:rsidP="00F0564D">
            <w:pPr>
              <w:rPr>
                <w:color w:val="000000"/>
                <w:sz w:val="14"/>
                <w:szCs w:val="14"/>
              </w:rPr>
            </w:pPr>
            <w:r>
              <w:rPr>
                <w:color w:val="000000"/>
                <w:sz w:val="14"/>
                <w:szCs w:val="14"/>
              </w:rPr>
              <w:t> </w:t>
            </w:r>
          </w:p>
        </w:tc>
      </w:tr>
      <w:tr w:rsidR="002607D6" w14:paraId="321585B2" w14:textId="77777777" w:rsidTr="00F0564D">
        <w:trPr>
          <w:trHeight w:val="255"/>
        </w:trPr>
        <w:tc>
          <w:tcPr>
            <w:tcW w:w="4720" w:type="dxa"/>
            <w:tcBorders>
              <w:top w:val="nil"/>
              <w:left w:val="single" w:sz="4" w:space="0" w:color="000000"/>
              <w:bottom w:val="nil"/>
              <w:right w:val="nil"/>
            </w:tcBorders>
            <w:noWrap/>
            <w:vAlign w:val="bottom"/>
            <w:hideMark/>
          </w:tcPr>
          <w:p w14:paraId="02EB632A" w14:textId="77777777" w:rsidR="002607D6" w:rsidRDefault="002607D6" w:rsidP="00F0564D">
            <w:pPr>
              <w:jc w:val="center"/>
              <w:rPr>
                <w:color w:val="000000"/>
                <w:sz w:val="20"/>
                <w:szCs w:val="20"/>
              </w:rPr>
            </w:pPr>
            <w:r>
              <w:rPr>
                <w:color w:val="000000"/>
                <w:sz w:val="20"/>
                <w:szCs w:val="20"/>
              </w:rPr>
              <w:t> </w:t>
            </w:r>
          </w:p>
        </w:tc>
        <w:tc>
          <w:tcPr>
            <w:tcW w:w="1512" w:type="dxa"/>
            <w:tcBorders>
              <w:top w:val="nil"/>
              <w:left w:val="single" w:sz="4" w:space="0" w:color="000000"/>
              <w:bottom w:val="nil"/>
              <w:right w:val="nil"/>
            </w:tcBorders>
            <w:noWrap/>
            <w:vAlign w:val="bottom"/>
            <w:hideMark/>
          </w:tcPr>
          <w:p w14:paraId="1B47F1D7" w14:textId="77777777" w:rsidR="002607D6" w:rsidRDefault="002607D6" w:rsidP="00F0564D">
            <w:pPr>
              <w:rPr>
                <w:color w:val="000000"/>
                <w:sz w:val="14"/>
                <w:szCs w:val="14"/>
              </w:rPr>
            </w:pPr>
            <w:r>
              <w:rPr>
                <w:color w:val="000000"/>
                <w:sz w:val="14"/>
                <w:szCs w:val="14"/>
              </w:rPr>
              <w:t> </w:t>
            </w:r>
          </w:p>
        </w:tc>
      </w:tr>
      <w:tr w:rsidR="002607D6" w14:paraId="7537CE80" w14:textId="77777777" w:rsidTr="00F0564D">
        <w:trPr>
          <w:trHeight w:val="255"/>
        </w:trPr>
        <w:tc>
          <w:tcPr>
            <w:tcW w:w="4720" w:type="dxa"/>
            <w:tcBorders>
              <w:top w:val="nil"/>
              <w:left w:val="single" w:sz="4" w:space="0" w:color="000000"/>
              <w:bottom w:val="nil"/>
              <w:right w:val="nil"/>
            </w:tcBorders>
            <w:noWrap/>
            <w:vAlign w:val="bottom"/>
            <w:hideMark/>
          </w:tcPr>
          <w:p w14:paraId="7EB6DE2B" w14:textId="77777777" w:rsidR="002607D6" w:rsidRDefault="002607D6" w:rsidP="00F0564D">
            <w:pPr>
              <w:jc w:val="center"/>
              <w:rPr>
                <w:color w:val="000000"/>
                <w:sz w:val="20"/>
                <w:szCs w:val="20"/>
              </w:rPr>
            </w:pPr>
            <w:r>
              <w:rPr>
                <w:color w:val="000000"/>
                <w:sz w:val="20"/>
                <w:szCs w:val="20"/>
              </w:rPr>
              <w:t>PREVISTO</w:t>
            </w:r>
          </w:p>
        </w:tc>
        <w:tc>
          <w:tcPr>
            <w:tcW w:w="1512" w:type="dxa"/>
            <w:tcBorders>
              <w:top w:val="nil"/>
              <w:left w:val="single" w:sz="4" w:space="0" w:color="000000"/>
              <w:bottom w:val="nil"/>
              <w:right w:val="nil"/>
            </w:tcBorders>
            <w:noWrap/>
            <w:vAlign w:val="bottom"/>
            <w:hideMark/>
          </w:tcPr>
          <w:p w14:paraId="48761606" w14:textId="77777777" w:rsidR="002607D6" w:rsidRDefault="002607D6" w:rsidP="00F0564D">
            <w:pPr>
              <w:rPr>
                <w:color w:val="000000"/>
                <w:sz w:val="14"/>
                <w:szCs w:val="14"/>
              </w:rPr>
            </w:pPr>
            <w:r>
              <w:rPr>
                <w:color w:val="000000"/>
                <w:sz w:val="14"/>
                <w:szCs w:val="14"/>
              </w:rPr>
              <w:t> </w:t>
            </w:r>
          </w:p>
        </w:tc>
      </w:tr>
      <w:tr w:rsidR="002607D6" w14:paraId="5C71861F" w14:textId="77777777" w:rsidTr="00F0564D">
        <w:trPr>
          <w:trHeight w:val="255"/>
        </w:trPr>
        <w:tc>
          <w:tcPr>
            <w:tcW w:w="4720" w:type="dxa"/>
            <w:tcBorders>
              <w:top w:val="nil"/>
              <w:left w:val="single" w:sz="4" w:space="0" w:color="000000"/>
              <w:bottom w:val="nil"/>
              <w:right w:val="nil"/>
            </w:tcBorders>
            <w:noWrap/>
            <w:vAlign w:val="bottom"/>
            <w:hideMark/>
          </w:tcPr>
          <w:p w14:paraId="78F9FB09" w14:textId="77777777" w:rsidR="002607D6" w:rsidRDefault="002607D6" w:rsidP="00F0564D">
            <w:pPr>
              <w:rPr>
                <w:color w:val="000000"/>
                <w:sz w:val="20"/>
                <w:szCs w:val="20"/>
              </w:rPr>
            </w:pPr>
            <w:r>
              <w:rPr>
                <w:color w:val="000000"/>
                <w:sz w:val="20"/>
                <w:szCs w:val="20"/>
              </w:rPr>
              <w:t>modificato in corso di esercizio</w:t>
            </w:r>
          </w:p>
        </w:tc>
        <w:tc>
          <w:tcPr>
            <w:tcW w:w="1512" w:type="dxa"/>
            <w:tcBorders>
              <w:top w:val="nil"/>
              <w:left w:val="single" w:sz="4" w:space="0" w:color="000000"/>
              <w:bottom w:val="nil"/>
              <w:right w:val="nil"/>
            </w:tcBorders>
            <w:noWrap/>
            <w:vAlign w:val="bottom"/>
            <w:hideMark/>
          </w:tcPr>
          <w:p w14:paraId="29206FE6" w14:textId="77777777" w:rsidR="002607D6" w:rsidRDefault="002607D6" w:rsidP="00F0564D">
            <w:pPr>
              <w:rPr>
                <w:color w:val="000000"/>
                <w:sz w:val="14"/>
                <w:szCs w:val="14"/>
              </w:rPr>
            </w:pPr>
            <w:r>
              <w:rPr>
                <w:color w:val="000000"/>
                <w:sz w:val="14"/>
                <w:szCs w:val="14"/>
              </w:rPr>
              <w:t> </w:t>
            </w:r>
          </w:p>
        </w:tc>
      </w:tr>
      <w:tr w:rsidR="002607D6" w14:paraId="73A4C7A7" w14:textId="77777777" w:rsidTr="00F0564D">
        <w:trPr>
          <w:trHeight w:val="255"/>
        </w:trPr>
        <w:tc>
          <w:tcPr>
            <w:tcW w:w="4720" w:type="dxa"/>
            <w:tcBorders>
              <w:top w:val="nil"/>
              <w:left w:val="single" w:sz="4" w:space="0" w:color="000000"/>
              <w:bottom w:val="nil"/>
              <w:right w:val="nil"/>
            </w:tcBorders>
            <w:noWrap/>
            <w:vAlign w:val="bottom"/>
            <w:hideMark/>
          </w:tcPr>
          <w:p w14:paraId="0A333C9D" w14:textId="77777777" w:rsidR="002607D6" w:rsidRDefault="002607D6" w:rsidP="00F0564D">
            <w:pPr>
              <w:rPr>
                <w:color w:val="000000"/>
                <w:sz w:val="20"/>
                <w:szCs w:val="20"/>
              </w:rPr>
            </w:pPr>
            <w:r>
              <w:rPr>
                <w:color w:val="000000"/>
                <w:sz w:val="20"/>
                <w:szCs w:val="20"/>
              </w:rPr>
              <w:t>per aggiunte</w:t>
            </w:r>
          </w:p>
        </w:tc>
        <w:tc>
          <w:tcPr>
            <w:tcW w:w="1512" w:type="dxa"/>
            <w:tcBorders>
              <w:top w:val="nil"/>
              <w:left w:val="single" w:sz="4" w:space="0" w:color="000000"/>
              <w:bottom w:val="nil"/>
              <w:right w:val="nil"/>
            </w:tcBorders>
            <w:noWrap/>
            <w:vAlign w:val="bottom"/>
            <w:hideMark/>
          </w:tcPr>
          <w:p w14:paraId="6AA91558" w14:textId="77777777" w:rsidR="002607D6" w:rsidRDefault="002607D6" w:rsidP="00F0564D">
            <w:pPr>
              <w:rPr>
                <w:color w:val="000000"/>
                <w:sz w:val="14"/>
                <w:szCs w:val="14"/>
              </w:rPr>
            </w:pPr>
            <w:r>
              <w:rPr>
                <w:color w:val="000000"/>
                <w:sz w:val="14"/>
                <w:szCs w:val="14"/>
              </w:rPr>
              <w:t xml:space="preserve"> €          278.763,56 </w:t>
            </w:r>
          </w:p>
        </w:tc>
      </w:tr>
      <w:tr w:rsidR="002607D6" w14:paraId="303AC795" w14:textId="77777777" w:rsidTr="00F0564D">
        <w:trPr>
          <w:trHeight w:val="255"/>
        </w:trPr>
        <w:tc>
          <w:tcPr>
            <w:tcW w:w="4720" w:type="dxa"/>
            <w:tcBorders>
              <w:top w:val="nil"/>
              <w:left w:val="single" w:sz="4" w:space="0" w:color="000000"/>
              <w:bottom w:val="nil"/>
              <w:right w:val="nil"/>
            </w:tcBorders>
            <w:noWrap/>
            <w:vAlign w:val="bottom"/>
            <w:hideMark/>
          </w:tcPr>
          <w:p w14:paraId="138C4715" w14:textId="77777777" w:rsidR="002607D6" w:rsidRDefault="002607D6" w:rsidP="00F0564D">
            <w:pPr>
              <w:rPr>
                <w:color w:val="000000"/>
                <w:sz w:val="20"/>
                <w:szCs w:val="20"/>
              </w:rPr>
            </w:pPr>
            <w:r>
              <w:rPr>
                <w:color w:val="000000"/>
                <w:sz w:val="20"/>
                <w:szCs w:val="20"/>
              </w:rPr>
              <w:t>per diminuzioni</w:t>
            </w:r>
          </w:p>
        </w:tc>
        <w:tc>
          <w:tcPr>
            <w:tcW w:w="1512" w:type="dxa"/>
            <w:tcBorders>
              <w:top w:val="nil"/>
              <w:left w:val="single" w:sz="4" w:space="0" w:color="000000"/>
              <w:bottom w:val="nil"/>
              <w:right w:val="nil"/>
            </w:tcBorders>
            <w:noWrap/>
            <w:vAlign w:val="bottom"/>
            <w:hideMark/>
          </w:tcPr>
          <w:p w14:paraId="078FBC63" w14:textId="77777777" w:rsidR="002607D6" w:rsidRDefault="002607D6" w:rsidP="00F0564D">
            <w:pPr>
              <w:rPr>
                <w:color w:val="000000"/>
                <w:sz w:val="14"/>
                <w:szCs w:val="14"/>
              </w:rPr>
            </w:pPr>
            <w:r>
              <w:rPr>
                <w:color w:val="000000"/>
                <w:sz w:val="14"/>
                <w:szCs w:val="14"/>
              </w:rPr>
              <w:t xml:space="preserve"> €             40.500,00 </w:t>
            </w:r>
          </w:p>
        </w:tc>
      </w:tr>
      <w:tr w:rsidR="002607D6" w14:paraId="1410B94C" w14:textId="77777777" w:rsidTr="00F0564D">
        <w:trPr>
          <w:trHeight w:val="270"/>
        </w:trPr>
        <w:tc>
          <w:tcPr>
            <w:tcW w:w="4720" w:type="dxa"/>
            <w:tcBorders>
              <w:top w:val="nil"/>
              <w:left w:val="single" w:sz="4" w:space="0" w:color="000000"/>
              <w:bottom w:val="nil"/>
              <w:right w:val="nil"/>
            </w:tcBorders>
            <w:noWrap/>
            <w:vAlign w:val="bottom"/>
            <w:hideMark/>
          </w:tcPr>
          <w:p w14:paraId="5A0759A6" w14:textId="77777777" w:rsidR="002607D6" w:rsidRDefault="002607D6" w:rsidP="00F0564D">
            <w:pPr>
              <w:jc w:val="right"/>
              <w:rPr>
                <w:color w:val="000000"/>
                <w:sz w:val="20"/>
                <w:szCs w:val="20"/>
              </w:rPr>
            </w:pPr>
            <w:r>
              <w:rPr>
                <w:color w:val="000000"/>
                <w:sz w:val="20"/>
                <w:szCs w:val="20"/>
              </w:rPr>
              <w:t>SOMMA</w:t>
            </w:r>
          </w:p>
        </w:tc>
        <w:tc>
          <w:tcPr>
            <w:tcW w:w="1512" w:type="dxa"/>
            <w:tcBorders>
              <w:top w:val="single" w:sz="4" w:space="0" w:color="000000"/>
              <w:left w:val="single" w:sz="4" w:space="0" w:color="000000"/>
              <w:bottom w:val="single" w:sz="8" w:space="0" w:color="000000"/>
              <w:right w:val="nil"/>
            </w:tcBorders>
            <w:noWrap/>
            <w:vAlign w:val="bottom"/>
            <w:hideMark/>
          </w:tcPr>
          <w:p w14:paraId="670709D2" w14:textId="77777777" w:rsidR="002607D6" w:rsidRDefault="002607D6" w:rsidP="00F0564D">
            <w:pPr>
              <w:rPr>
                <w:color w:val="000000"/>
                <w:sz w:val="14"/>
                <w:szCs w:val="14"/>
              </w:rPr>
            </w:pPr>
            <w:r>
              <w:rPr>
                <w:color w:val="000000"/>
                <w:sz w:val="14"/>
                <w:szCs w:val="14"/>
              </w:rPr>
              <w:t xml:space="preserve"> €           319.263,56 </w:t>
            </w:r>
          </w:p>
        </w:tc>
      </w:tr>
      <w:tr w:rsidR="002607D6" w14:paraId="2CB3D3B5" w14:textId="77777777" w:rsidTr="00F0564D">
        <w:trPr>
          <w:trHeight w:val="255"/>
        </w:trPr>
        <w:tc>
          <w:tcPr>
            <w:tcW w:w="4720" w:type="dxa"/>
            <w:tcBorders>
              <w:top w:val="nil"/>
              <w:left w:val="single" w:sz="4" w:space="0" w:color="000000"/>
              <w:bottom w:val="nil"/>
              <w:right w:val="nil"/>
            </w:tcBorders>
            <w:noWrap/>
            <w:vAlign w:val="bottom"/>
            <w:hideMark/>
          </w:tcPr>
          <w:p w14:paraId="60A163B0" w14:textId="77777777" w:rsidR="002607D6" w:rsidRDefault="002607D6" w:rsidP="00F0564D">
            <w:pPr>
              <w:jc w:val="right"/>
              <w:rPr>
                <w:color w:val="000000"/>
                <w:sz w:val="20"/>
                <w:szCs w:val="20"/>
              </w:rPr>
            </w:pPr>
            <w:r>
              <w:rPr>
                <w:color w:val="000000"/>
                <w:sz w:val="20"/>
                <w:szCs w:val="20"/>
              </w:rPr>
              <w:t> </w:t>
            </w:r>
          </w:p>
        </w:tc>
        <w:tc>
          <w:tcPr>
            <w:tcW w:w="1512" w:type="dxa"/>
            <w:tcBorders>
              <w:top w:val="nil"/>
              <w:left w:val="single" w:sz="4" w:space="0" w:color="000000"/>
              <w:bottom w:val="nil"/>
              <w:right w:val="nil"/>
            </w:tcBorders>
            <w:noWrap/>
            <w:vAlign w:val="bottom"/>
            <w:hideMark/>
          </w:tcPr>
          <w:p w14:paraId="2A7A30EE" w14:textId="77777777" w:rsidR="002607D6" w:rsidRDefault="002607D6" w:rsidP="00F0564D">
            <w:pPr>
              <w:rPr>
                <w:color w:val="000000"/>
                <w:sz w:val="14"/>
                <w:szCs w:val="14"/>
              </w:rPr>
            </w:pPr>
            <w:r>
              <w:rPr>
                <w:color w:val="000000"/>
                <w:sz w:val="14"/>
                <w:szCs w:val="14"/>
              </w:rPr>
              <w:t> </w:t>
            </w:r>
          </w:p>
        </w:tc>
      </w:tr>
      <w:tr w:rsidR="002607D6" w14:paraId="2957E0E7" w14:textId="77777777" w:rsidTr="00F0564D">
        <w:trPr>
          <w:trHeight w:val="255"/>
        </w:trPr>
        <w:tc>
          <w:tcPr>
            <w:tcW w:w="4720" w:type="dxa"/>
            <w:tcBorders>
              <w:top w:val="nil"/>
              <w:left w:val="single" w:sz="4" w:space="0" w:color="000000"/>
              <w:bottom w:val="nil"/>
              <w:right w:val="nil"/>
            </w:tcBorders>
            <w:noWrap/>
            <w:vAlign w:val="bottom"/>
            <w:hideMark/>
          </w:tcPr>
          <w:p w14:paraId="09CD97E8" w14:textId="77777777" w:rsidR="002607D6" w:rsidRDefault="002607D6" w:rsidP="00F0564D">
            <w:pPr>
              <w:jc w:val="center"/>
              <w:rPr>
                <w:color w:val="000000"/>
                <w:sz w:val="20"/>
                <w:szCs w:val="20"/>
              </w:rPr>
            </w:pPr>
            <w:r>
              <w:rPr>
                <w:color w:val="000000"/>
                <w:sz w:val="20"/>
                <w:szCs w:val="20"/>
              </w:rPr>
              <w:t>ACCERTATO</w:t>
            </w:r>
          </w:p>
        </w:tc>
        <w:tc>
          <w:tcPr>
            <w:tcW w:w="1512" w:type="dxa"/>
            <w:tcBorders>
              <w:top w:val="nil"/>
              <w:left w:val="single" w:sz="4" w:space="0" w:color="000000"/>
              <w:bottom w:val="nil"/>
              <w:right w:val="nil"/>
            </w:tcBorders>
            <w:noWrap/>
            <w:vAlign w:val="bottom"/>
            <w:hideMark/>
          </w:tcPr>
          <w:p w14:paraId="2F4947E5" w14:textId="77777777" w:rsidR="002607D6" w:rsidRDefault="002607D6" w:rsidP="00F0564D">
            <w:pPr>
              <w:rPr>
                <w:color w:val="000000"/>
                <w:sz w:val="14"/>
                <w:szCs w:val="14"/>
              </w:rPr>
            </w:pPr>
            <w:r>
              <w:rPr>
                <w:color w:val="000000"/>
                <w:sz w:val="14"/>
                <w:szCs w:val="14"/>
              </w:rPr>
              <w:t> </w:t>
            </w:r>
          </w:p>
        </w:tc>
      </w:tr>
      <w:tr w:rsidR="002607D6" w14:paraId="63A2F093" w14:textId="77777777" w:rsidTr="00F0564D">
        <w:trPr>
          <w:trHeight w:val="255"/>
        </w:trPr>
        <w:tc>
          <w:tcPr>
            <w:tcW w:w="4720" w:type="dxa"/>
            <w:tcBorders>
              <w:top w:val="nil"/>
              <w:left w:val="single" w:sz="4" w:space="0" w:color="000000"/>
              <w:bottom w:val="nil"/>
              <w:right w:val="nil"/>
            </w:tcBorders>
            <w:noWrap/>
            <w:vAlign w:val="bottom"/>
            <w:hideMark/>
          </w:tcPr>
          <w:p w14:paraId="2B5BC70D" w14:textId="77777777" w:rsidR="002607D6" w:rsidRDefault="002607D6" w:rsidP="00F0564D">
            <w:pPr>
              <w:rPr>
                <w:color w:val="000000"/>
                <w:sz w:val="20"/>
                <w:szCs w:val="20"/>
              </w:rPr>
            </w:pPr>
            <w:r>
              <w:rPr>
                <w:color w:val="000000"/>
                <w:sz w:val="20"/>
                <w:szCs w:val="20"/>
              </w:rPr>
              <w:t>differenza tra le maggiori entrate e le maggiori uscite</w:t>
            </w:r>
          </w:p>
        </w:tc>
        <w:tc>
          <w:tcPr>
            <w:tcW w:w="1512" w:type="dxa"/>
            <w:tcBorders>
              <w:top w:val="nil"/>
              <w:left w:val="single" w:sz="4" w:space="0" w:color="000000"/>
              <w:bottom w:val="nil"/>
              <w:right w:val="nil"/>
            </w:tcBorders>
            <w:noWrap/>
            <w:vAlign w:val="bottom"/>
            <w:hideMark/>
          </w:tcPr>
          <w:p w14:paraId="7AEFFBFC" w14:textId="77777777" w:rsidR="002607D6" w:rsidRDefault="002607D6" w:rsidP="00F0564D">
            <w:pPr>
              <w:rPr>
                <w:color w:val="000000"/>
                <w:sz w:val="14"/>
                <w:szCs w:val="14"/>
              </w:rPr>
            </w:pPr>
            <w:r>
              <w:rPr>
                <w:color w:val="000000"/>
                <w:sz w:val="14"/>
                <w:szCs w:val="14"/>
              </w:rPr>
              <w:t xml:space="preserve"> €               16.013,40 </w:t>
            </w:r>
          </w:p>
        </w:tc>
      </w:tr>
      <w:tr w:rsidR="002607D6" w14:paraId="2729B767" w14:textId="77777777" w:rsidTr="00F0564D">
        <w:trPr>
          <w:trHeight w:val="255"/>
        </w:trPr>
        <w:tc>
          <w:tcPr>
            <w:tcW w:w="4720" w:type="dxa"/>
            <w:tcBorders>
              <w:top w:val="nil"/>
              <w:left w:val="single" w:sz="4" w:space="0" w:color="000000"/>
              <w:bottom w:val="nil"/>
              <w:right w:val="nil"/>
            </w:tcBorders>
            <w:noWrap/>
            <w:vAlign w:val="bottom"/>
            <w:hideMark/>
          </w:tcPr>
          <w:p w14:paraId="7CF42552" w14:textId="77777777" w:rsidR="002607D6" w:rsidRDefault="002607D6" w:rsidP="00F0564D">
            <w:pPr>
              <w:rPr>
                <w:color w:val="000000"/>
                <w:sz w:val="20"/>
                <w:szCs w:val="20"/>
              </w:rPr>
            </w:pPr>
            <w:r>
              <w:rPr>
                <w:color w:val="000000"/>
                <w:sz w:val="20"/>
                <w:szCs w:val="20"/>
              </w:rPr>
              <w:t>differenza tra le minori entrate e le minori uscite</w:t>
            </w:r>
          </w:p>
        </w:tc>
        <w:tc>
          <w:tcPr>
            <w:tcW w:w="1512" w:type="dxa"/>
            <w:tcBorders>
              <w:top w:val="nil"/>
              <w:left w:val="single" w:sz="4" w:space="0" w:color="000000"/>
              <w:bottom w:val="nil"/>
              <w:right w:val="nil"/>
            </w:tcBorders>
            <w:noWrap/>
            <w:vAlign w:val="bottom"/>
            <w:hideMark/>
          </w:tcPr>
          <w:p w14:paraId="3D48A689" w14:textId="77777777" w:rsidR="002607D6" w:rsidRDefault="002607D6" w:rsidP="00F0564D">
            <w:pPr>
              <w:rPr>
                <w:color w:val="000000"/>
                <w:sz w:val="14"/>
                <w:szCs w:val="14"/>
              </w:rPr>
            </w:pPr>
            <w:r>
              <w:rPr>
                <w:color w:val="000000"/>
                <w:sz w:val="14"/>
                <w:szCs w:val="14"/>
              </w:rPr>
              <w:t xml:space="preserve">-€            148.215,66 </w:t>
            </w:r>
          </w:p>
        </w:tc>
      </w:tr>
      <w:tr w:rsidR="002607D6" w14:paraId="0FC41EBD" w14:textId="77777777" w:rsidTr="00F0564D">
        <w:trPr>
          <w:trHeight w:val="255"/>
        </w:trPr>
        <w:tc>
          <w:tcPr>
            <w:tcW w:w="4720" w:type="dxa"/>
            <w:tcBorders>
              <w:top w:val="nil"/>
              <w:left w:val="single" w:sz="4" w:space="0" w:color="000000"/>
              <w:bottom w:val="nil"/>
              <w:right w:val="nil"/>
            </w:tcBorders>
            <w:noWrap/>
            <w:vAlign w:val="bottom"/>
            <w:hideMark/>
          </w:tcPr>
          <w:p w14:paraId="066DB7E6" w14:textId="77777777" w:rsidR="002607D6" w:rsidRDefault="002607D6" w:rsidP="00F0564D">
            <w:pPr>
              <w:jc w:val="center"/>
              <w:rPr>
                <w:color w:val="000000"/>
                <w:sz w:val="20"/>
                <w:szCs w:val="20"/>
              </w:rPr>
            </w:pPr>
            <w:r>
              <w:rPr>
                <w:color w:val="000000"/>
                <w:sz w:val="20"/>
                <w:szCs w:val="20"/>
              </w:rPr>
              <w:t> </w:t>
            </w:r>
          </w:p>
        </w:tc>
        <w:tc>
          <w:tcPr>
            <w:tcW w:w="1512" w:type="dxa"/>
            <w:tcBorders>
              <w:top w:val="nil"/>
              <w:left w:val="single" w:sz="4" w:space="0" w:color="000000"/>
              <w:bottom w:val="nil"/>
              <w:right w:val="nil"/>
            </w:tcBorders>
            <w:noWrap/>
            <w:vAlign w:val="bottom"/>
            <w:hideMark/>
          </w:tcPr>
          <w:p w14:paraId="3A349EFD" w14:textId="77777777" w:rsidR="002607D6" w:rsidRDefault="002607D6" w:rsidP="00F0564D">
            <w:pPr>
              <w:rPr>
                <w:color w:val="000000"/>
                <w:sz w:val="14"/>
                <w:szCs w:val="14"/>
              </w:rPr>
            </w:pPr>
            <w:r>
              <w:rPr>
                <w:color w:val="000000"/>
                <w:sz w:val="14"/>
                <w:szCs w:val="14"/>
              </w:rPr>
              <w:t> </w:t>
            </w:r>
          </w:p>
        </w:tc>
      </w:tr>
      <w:tr w:rsidR="002607D6" w14:paraId="6A0DFEB1" w14:textId="77777777" w:rsidTr="00F0564D">
        <w:trPr>
          <w:trHeight w:val="270"/>
        </w:trPr>
        <w:tc>
          <w:tcPr>
            <w:tcW w:w="4720" w:type="dxa"/>
            <w:tcBorders>
              <w:top w:val="nil"/>
              <w:left w:val="single" w:sz="4" w:space="0" w:color="000000"/>
              <w:bottom w:val="nil"/>
              <w:right w:val="nil"/>
            </w:tcBorders>
            <w:noWrap/>
            <w:vAlign w:val="bottom"/>
            <w:hideMark/>
          </w:tcPr>
          <w:p w14:paraId="71DBEF6E" w14:textId="77777777" w:rsidR="002607D6" w:rsidRDefault="002607D6" w:rsidP="00F0564D">
            <w:pPr>
              <w:jc w:val="right"/>
              <w:rPr>
                <w:b/>
                <w:bCs/>
                <w:color w:val="000000"/>
                <w:sz w:val="20"/>
                <w:szCs w:val="20"/>
              </w:rPr>
            </w:pPr>
            <w:r>
              <w:rPr>
                <w:b/>
                <w:bCs/>
                <w:color w:val="000000"/>
                <w:sz w:val="20"/>
                <w:szCs w:val="20"/>
              </w:rPr>
              <w:t>AVANZO NETTO</w:t>
            </w:r>
          </w:p>
        </w:tc>
        <w:tc>
          <w:tcPr>
            <w:tcW w:w="1512" w:type="dxa"/>
            <w:tcBorders>
              <w:top w:val="single" w:sz="4" w:space="0" w:color="000000"/>
              <w:left w:val="single" w:sz="4" w:space="0" w:color="000000"/>
              <w:bottom w:val="double" w:sz="6" w:space="0" w:color="000000"/>
              <w:right w:val="nil"/>
            </w:tcBorders>
            <w:noWrap/>
            <w:vAlign w:val="bottom"/>
            <w:hideMark/>
          </w:tcPr>
          <w:p w14:paraId="1D7D46B3" w14:textId="77777777" w:rsidR="002607D6" w:rsidRDefault="002607D6" w:rsidP="00F0564D">
            <w:pPr>
              <w:rPr>
                <w:color w:val="000000"/>
                <w:sz w:val="14"/>
                <w:szCs w:val="14"/>
              </w:rPr>
            </w:pPr>
            <w:r>
              <w:rPr>
                <w:color w:val="000000"/>
                <w:sz w:val="14"/>
                <w:szCs w:val="14"/>
              </w:rPr>
              <w:t xml:space="preserve"> €            187.061,30 </w:t>
            </w:r>
          </w:p>
        </w:tc>
      </w:tr>
      <w:tr w:rsidR="002607D6" w14:paraId="225565B3" w14:textId="77777777" w:rsidTr="00F0564D">
        <w:trPr>
          <w:trHeight w:val="270"/>
        </w:trPr>
        <w:tc>
          <w:tcPr>
            <w:tcW w:w="4720" w:type="dxa"/>
            <w:tcBorders>
              <w:top w:val="nil"/>
              <w:left w:val="single" w:sz="4" w:space="0" w:color="000000"/>
              <w:bottom w:val="nil"/>
              <w:right w:val="nil"/>
            </w:tcBorders>
            <w:noWrap/>
            <w:vAlign w:val="bottom"/>
            <w:hideMark/>
          </w:tcPr>
          <w:p w14:paraId="35F0B8F3" w14:textId="77777777" w:rsidR="002607D6" w:rsidRDefault="002607D6" w:rsidP="00F0564D">
            <w:pPr>
              <w:jc w:val="center"/>
              <w:rPr>
                <w:b/>
                <w:bCs/>
                <w:color w:val="000000"/>
                <w:sz w:val="20"/>
                <w:szCs w:val="20"/>
              </w:rPr>
            </w:pPr>
            <w:r>
              <w:rPr>
                <w:b/>
                <w:bCs/>
                <w:color w:val="000000"/>
                <w:sz w:val="20"/>
                <w:szCs w:val="20"/>
              </w:rPr>
              <w:t> </w:t>
            </w:r>
          </w:p>
        </w:tc>
        <w:tc>
          <w:tcPr>
            <w:tcW w:w="1512" w:type="dxa"/>
            <w:tcBorders>
              <w:top w:val="nil"/>
              <w:left w:val="nil"/>
              <w:bottom w:val="nil"/>
              <w:right w:val="nil"/>
            </w:tcBorders>
            <w:noWrap/>
            <w:vAlign w:val="bottom"/>
            <w:hideMark/>
          </w:tcPr>
          <w:p w14:paraId="6EF40449" w14:textId="77777777" w:rsidR="002607D6" w:rsidRDefault="002607D6" w:rsidP="00F0564D">
            <w:pPr>
              <w:jc w:val="center"/>
              <w:rPr>
                <w:b/>
                <w:bCs/>
                <w:color w:val="000000"/>
                <w:sz w:val="20"/>
                <w:szCs w:val="20"/>
              </w:rPr>
            </w:pPr>
          </w:p>
        </w:tc>
      </w:tr>
      <w:tr w:rsidR="002607D6" w14:paraId="13E3CDDA" w14:textId="77777777" w:rsidTr="00F0564D">
        <w:trPr>
          <w:trHeight w:val="255"/>
        </w:trPr>
        <w:tc>
          <w:tcPr>
            <w:tcW w:w="4720" w:type="dxa"/>
            <w:tcBorders>
              <w:top w:val="nil"/>
              <w:left w:val="single" w:sz="4" w:space="0" w:color="000000"/>
              <w:bottom w:val="nil"/>
              <w:right w:val="nil"/>
            </w:tcBorders>
            <w:noWrap/>
            <w:vAlign w:val="bottom"/>
            <w:hideMark/>
          </w:tcPr>
          <w:p w14:paraId="412B3D33" w14:textId="77777777" w:rsidR="002607D6" w:rsidRDefault="002607D6" w:rsidP="00F0564D">
            <w:pPr>
              <w:jc w:val="center"/>
              <w:rPr>
                <w:b/>
                <w:bCs/>
                <w:color w:val="000000"/>
                <w:sz w:val="20"/>
                <w:szCs w:val="20"/>
              </w:rPr>
            </w:pPr>
            <w:r>
              <w:rPr>
                <w:b/>
                <w:bCs/>
                <w:color w:val="000000"/>
                <w:sz w:val="20"/>
                <w:szCs w:val="20"/>
              </w:rPr>
              <w:t>CONFRONTO</w:t>
            </w:r>
          </w:p>
        </w:tc>
        <w:tc>
          <w:tcPr>
            <w:tcW w:w="1512" w:type="dxa"/>
            <w:tcBorders>
              <w:top w:val="nil"/>
              <w:left w:val="nil"/>
              <w:bottom w:val="nil"/>
              <w:right w:val="nil"/>
            </w:tcBorders>
            <w:noWrap/>
            <w:vAlign w:val="bottom"/>
            <w:hideMark/>
          </w:tcPr>
          <w:p w14:paraId="32D797B5" w14:textId="77777777" w:rsidR="002607D6" w:rsidRDefault="002607D6" w:rsidP="00F0564D">
            <w:pPr>
              <w:jc w:val="center"/>
              <w:rPr>
                <w:b/>
                <w:bCs/>
                <w:color w:val="000000"/>
                <w:sz w:val="20"/>
                <w:szCs w:val="20"/>
              </w:rPr>
            </w:pPr>
          </w:p>
        </w:tc>
      </w:tr>
      <w:tr w:rsidR="002607D6" w14:paraId="682AF051" w14:textId="77777777" w:rsidTr="00F0564D">
        <w:trPr>
          <w:trHeight w:val="255"/>
        </w:trPr>
        <w:tc>
          <w:tcPr>
            <w:tcW w:w="4720" w:type="dxa"/>
            <w:tcBorders>
              <w:top w:val="nil"/>
              <w:left w:val="single" w:sz="4" w:space="0" w:color="000000"/>
              <w:bottom w:val="nil"/>
              <w:right w:val="nil"/>
            </w:tcBorders>
            <w:noWrap/>
            <w:vAlign w:val="bottom"/>
            <w:hideMark/>
          </w:tcPr>
          <w:p w14:paraId="255CE888" w14:textId="77777777" w:rsidR="002607D6" w:rsidRDefault="002607D6" w:rsidP="00F0564D">
            <w:pPr>
              <w:rPr>
                <w:color w:val="000000"/>
                <w:sz w:val="20"/>
                <w:szCs w:val="20"/>
              </w:rPr>
            </w:pPr>
            <w:r>
              <w:rPr>
                <w:color w:val="000000"/>
                <w:sz w:val="20"/>
                <w:szCs w:val="20"/>
              </w:rPr>
              <w:t>Fondo in cassa (a)</w:t>
            </w:r>
          </w:p>
        </w:tc>
        <w:tc>
          <w:tcPr>
            <w:tcW w:w="1512" w:type="dxa"/>
            <w:tcBorders>
              <w:top w:val="nil"/>
              <w:left w:val="single" w:sz="4" w:space="0" w:color="000000"/>
              <w:bottom w:val="nil"/>
              <w:right w:val="nil"/>
            </w:tcBorders>
            <w:noWrap/>
            <w:vAlign w:val="bottom"/>
            <w:hideMark/>
          </w:tcPr>
          <w:p w14:paraId="7851760E" w14:textId="77777777" w:rsidR="002607D6" w:rsidRDefault="002607D6" w:rsidP="00F0564D">
            <w:pPr>
              <w:rPr>
                <w:color w:val="000000"/>
                <w:sz w:val="14"/>
                <w:szCs w:val="14"/>
              </w:rPr>
            </w:pPr>
            <w:r>
              <w:rPr>
                <w:color w:val="000000"/>
                <w:sz w:val="14"/>
                <w:szCs w:val="14"/>
              </w:rPr>
              <w:t xml:space="preserve"> €        1.537.275,76 </w:t>
            </w:r>
          </w:p>
        </w:tc>
      </w:tr>
      <w:tr w:rsidR="002607D6" w14:paraId="640790F8" w14:textId="77777777" w:rsidTr="00F0564D">
        <w:trPr>
          <w:trHeight w:val="255"/>
        </w:trPr>
        <w:tc>
          <w:tcPr>
            <w:tcW w:w="4720" w:type="dxa"/>
            <w:tcBorders>
              <w:top w:val="nil"/>
              <w:left w:val="single" w:sz="4" w:space="0" w:color="000000"/>
              <w:bottom w:val="nil"/>
              <w:right w:val="nil"/>
            </w:tcBorders>
            <w:noWrap/>
            <w:vAlign w:val="bottom"/>
            <w:hideMark/>
          </w:tcPr>
          <w:p w14:paraId="52524FBB" w14:textId="77777777" w:rsidR="002607D6" w:rsidRDefault="002607D6" w:rsidP="00F0564D">
            <w:pPr>
              <w:rPr>
                <w:color w:val="000000"/>
                <w:sz w:val="20"/>
                <w:szCs w:val="20"/>
              </w:rPr>
            </w:pPr>
            <w:r>
              <w:rPr>
                <w:color w:val="000000"/>
                <w:sz w:val="20"/>
                <w:szCs w:val="20"/>
              </w:rPr>
              <w:t>eccedenza di residui attivi o passivi</w:t>
            </w:r>
          </w:p>
        </w:tc>
        <w:tc>
          <w:tcPr>
            <w:tcW w:w="1512" w:type="dxa"/>
            <w:tcBorders>
              <w:top w:val="nil"/>
              <w:left w:val="single" w:sz="4" w:space="0" w:color="000000"/>
              <w:bottom w:val="nil"/>
              <w:right w:val="nil"/>
            </w:tcBorders>
            <w:noWrap/>
            <w:vAlign w:val="bottom"/>
            <w:hideMark/>
          </w:tcPr>
          <w:p w14:paraId="3AC99FE3" w14:textId="77777777" w:rsidR="002607D6" w:rsidRDefault="002607D6" w:rsidP="00F0564D">
            <w:pPr>
              <w:rPr>
                <w:color w:val="000000"/>
                <w:sz w:val="14"/>
                <w:szCs w:val="14"/>
              </w:rPr>
            </w:pPr>
            <w:r>
              <w:rPr>
                <w:color w:val="000000"/>
                <w:sz w:val="14"/>
                <w:szCs w:val="14"/>
              </w:rPr>
              <w:t xml:space="preserve"> €         1.350.214,46 </w:t>
            </w:r>
          </w:p>
        </w:tc>
      </w:tr>
      <w:tr w:rsidR="002607D6" w14:paraId="0CA605ED" w14:textId="77777777" w:rsidTr="00F0564D">
        <w:trPr>
          <w:trHeight w:val="255"/>
        </w:trPr>
        <w:tc>
          <w:tcPr>
            <w:tcW w:w="4720" w:type="dxa"/>
            <w:tcBorders>
              <w:top w:val="nil"/>
              <w:left w:val="single" w:sz="4" w:space="0" w:color="000000"/>
              <w:bottom w:val="nil"/>
              <w:right w:val="nil"/>
            </w:tcBorders>
            <w:noWrap/>
            <w:vAlign w:val="bottom"/>
            <w:hideMark/>
          </w:tcPr>
          <w:p w14:paraId="11515B34" w14:textId="77777777" w:rsidR="002607D6" w:rsidRDefault="002607D6" w:rsidP="00F0564D">
            <w:pPr>
              <w:rPr>
                <w:color w:val="000000"/>
                <w:sz w:val="20"/>
                <w:szCs w:val="20"/>
              </w:rPr>
            </w:pPr>
            <w:r>
              <w:rPr>
                <w:color w:val="000000"/>
                <w:sz w:val="20"/>
                <w:szCs w:val="20"/>
              </w:rPr>
              <w:t> </w:t>
            </w:r>
          </w:p>
        </w:tc>
        <w:tc>
          <w:tcPr>
            <w:tcW w:w="1512" w:type="dxa"/>
            <w:tcBorders>
              <w:top w:val="nil"/>
              <w:left w:val="single" w:sz="4" w:space="0" w:color="000000"/>
              <w:bottom w:val="nil"/>
              <w:right w:val="nil"/>
            </w:tcBorders>
            <w:noWrap/>
            <w:vAlign w:val="bottom"/>
            <w:hideMark/>
          </w:tcPr>
          <w:p w14:paraId="79249CF3" w14:textId="77777777" w:rsidR="002607D6" w:rsidRDefault="002607D6" w:rsidP="00F0564D">
            <w:pPr>
              <w:rPr>
                <w:color w:val="000000"/>
                <w:sz w:val="14"/>
                <w:szCs w:val="14"/>
              </w:rPr>
            </w:pPr>
            <w:r>
              <w:rPr>
                <w:color w:val="000000"/>
                <w:sz w:val="14"/>
                <w:szCs w:val="14"/>
              </w:rPr>
              <w:t> </w:t>
            </w:r>
          </w:p>
        </w:tc>
      </w:tr>
      <w:tr w:rsidR="002607D6" w14:paraId="26085AF9" w14:textId="77777777" w:rsidTr="00F0564D">
        <w:trPr>
          <w:trHeight w:val="270"/>
        </w:trPr>
        <w:tc>
          <w:tcPr>
            <w:tcW w:w="4720" w:type="dxa"/>
            <w:tcBorders>
              <w:top w:val="nil"/>
              <w:left w:val="single" w:sz="4" w:space="0" w:color="000000"/>
              <w:bottom w:val="nil"/>
              <w:right w:val="nil"/>
            </w:tcBorders>
            <w:noWrap/>
            <w:vAlign w:val="bottom"/>
            <w:hideMark/>
          </w:tcPr>
          <w:p w14:paraId="583DFB16" w14:textId="77777777" w:rsidR="002607D6" w:rsidRDefault="002607D6" w:rsidP="00F0564D">
            <w:pPr>
              <w:jc w:val="right"/>
              <w:rPr>
                <w:b/>
                <w:bCs/>
                <w:color w:val="000000"/>
                <w:sz w:val="20"/>
                <w:szCs w:val="20"/>
              </w:rPr>
            </w:pPr>
            <w:r>
              <w:rPr>
                <w:b/>
                <w:bCs/>
                <w:color w:val="000000"/>
                <w:sz w:val="20"/>
                <w:szCs w:val="20"/>
              </w:rPr>
              <w:t>AVANZO COME SOPRA</w:t>
            </w:r>
          </w:p>
        </w:tc>
        <w:tc>
          <w:tcPr>
            <w:tcW w:w="1512" w:type="dxa"/>
            <w:tcBorders>
              <w:top w:val="single" w:sz="4" w:space="0" w:color="000000"/>
              <w:left w:val="single" w:sz="4" w:space="0" w:color="000000"/>
              <w:bottom w:val="double" w:sz="6" w:space="0" w:color="000000"/>
              <w:right w:val="nil"/>
            </w:tcBorders>
            <w:noWrap/>
            <w:vAlign w:val="bottom"/>
            <w:hideMark/>
          </w:tcPr>
          <w:p w14:paraId="5CD6585A" w14:textId="77777777" w:rsidR="002607D6" w:rsidRDefault="002607D6" w:rsidP="00F0564D">
            <w:pPr>
              <w:rPr>
                <w:color w:val="000000"/>
                <w:sz w:val="14"/>
                <w:szCs w:val="14"/>
              </w:rPr>
            </w:pPr>
            <w:r>
              <w:rPr>
                <w:color w:val="000000"/>
                <w:sz w:val="14"/>
                <w:szCs w:val="14"/>
              </w:rPr>
              <w:t xml:space="preserve"> €            187.061,30 </w:t>
            </w:r>
          </w:p>
        </w:tc>
      </w:tr>
    </w:tbl>
    <w:p w14:paraId="2996D9FA" w14:textId="77777777" w:rsidR="002607D6" w:rsidRDefault="002607D6" w:rsidP="002607D6">
      <w:pPr>
        <w:jc w:val="both"/>
      </w:pPr>
    </w:p>
    <w:p w14:paraId="1B35054B" w14:textId="77777777" w:rsidR="002607D6" w:rsidRDefault="002607D6" w:rsidP="002607D6">
      <w:pPr>
        <w:jc w:val="both"/>
      </w:pPr>
    </w:p>
    <w:p w14:paraId="5C18CDEF" w14:textId="77777777" w:rsidR="002607D6" w:rsidRDefault="002607D6" w:rsidP="002607D6">
      <w:pPr>
        <w:jc w:val="both"/>
      </w:pPr>
      <w:r>
        <w:t>N</w:t>
      </w:r>
      <w:r w:rsidRPr="00461D39">
        <w:t>el corso del 20</w:t>
      </w:r>
      <w:r>
        <w:t>24,</w:t>
      </w:r>
      <w:r w:rsidRPr="00461D39">
        <w:t xml:space="preserve"> inoltre</w:t>
      </w:r>
      <w:r>
        <w:t>,</w:t>
      </w:r>
      <w:r w:rsidRPr="00461D39">
        <w:t xml:space="preserve"> sono state rimborsate le rate di passività consolidate come da pian</w:t>
      </w:r>
      <w:r>
        <w:t>o</w:t>
      </w:r>
      <w:r w:rsidRPr="00461D39">
        <w:t xml:space="preserve"> di ammortamento</w:t>
      </w:r>
      <w:r>
        <w:t xml:space="preserve"> (utilizzando quote di risorse correnti).</w:t>
      </w:r>
    </w:p>
    <w:p w14:paraId="6A8506E1" w14:textId="3405E1FA" w:rsidR="002607D6" w:rsidRDefault="002607D6" w:rsidP="002607D6">
      <w:pPr>
        <w:jc w:val="both"/>
      </w:pPr>
      <w:r>
        <w:t>Nel corso del 2024 è stato approvato un piano delle riconversioni patrimoniali e realizzato Euro 9</w:t>
      </w:r>
      <w:r w:rsidR="009A494F">
        <w:t>68</w:t>
      </w:r>
      <w:r>
        <w:t>.</w:t>
      </w:r>
      <w:r w:rsidR="009A494F">
        <w:t>7</w:t>
      </w:r>
      <w:r>
        <w:t>00,00</w:t>
      </w:r>
    </w:p>
    <w:p w14:paraId="36FD5C3B" w14:textId="77777777" w:rsidR="002607D6" w:rsidRDefault="002607D6" w:rsidP="002607D6">
      <w:pPr>
        <w:jc w:val="both"/>
      </w:pPr>
      <w:r>
        <w:t>Parte degli introiti risulta già reinvestito per l’acquisizione della porzione di fabbricato del MPS Spa.</w:t>
      </w:r>
    </w:p>
    <w:p w14:paraId="30C816D4" w14:textId="77777777" w:rsidR="002607D6" w:rsidRPr="00FE2B48" w:rsidRDefault="002607D6" w:rsidP="002607D6">
      <w:pPr>
        <w:jc w:val="both"/>
      </w:pPr>
      <w:r>
        <w:t xml:space="preserve">I fabbisogni di </w:t>
      </w:r>
      <w:r w:rsidRPr="00FE2B48">
        <w:t xml:space="preserve">investimento superano di gran lunga l’importo reperito, tuttavia, al fine di mantenere le rendite di Bilancio si sta cercando di investire in parte su beni con rendita e di attendere avvisi e bandi o benefici relativi a fabbricati storici come il tempio della Consolazione o il Parco degli Olivi. </w:t>
      </w:r>
    </w:p>
    <w:p w14:paraId="0720A33A" w14:textId="77777777" w:rsidR="002607D6" w:rsidRPr="00FE2B48" w:rsidRDefault="002607D6" w:rsidP="002607D6">
      <w:pPr>
        <w:jc w:val="both"/>
      </w:pPr>
      <w:r w:rsidRPr="00FE2B48">
        <w:t>Si stanno seguendo sviluppi in ordine a possibili investimenti atti a mantenere le rendite.</w:t>
      </w:r>
    </w:p>
    <w:p w14:paraId="0A22A43E" w14:textId="77777777" w:rsidR="002607D6" w:rsidRPr="00FE2B48" w:rsidRDefault="002607D6" w:rsidP="002607D6">
      <w:pPr>
        <w:jc w:val="both"/>
      </w:pPr>
      <w:r w:rsidRPr="00FE2B48">
        <w:t>Purtroppo per la natura giuridica di IPAB, l’ETAB, è spesso escluso da risorse economiche importanti com’è recentemente avvenuto per i fondi del PNRR.</w:t>
      </w:r>
    </w:p>
    <w:p w14:paraId="6E038C87" w14:textId="77777777" w:rsidR="002607D6" w:rsidRPr="00FE2B48" w:rsidRDefault="002607D6" w:rsidP="002607D6">
      <w:pPr>
        <w:jc w:val="both"/>
      </w:pPr>
      <w:r w:rsidRPr="00FE2B48">
        <w:t>Tale esclusione si verifica anche in occasione di numerosi bandi promossi dalla Regione Umbria, che interpretano in modo restrittivo le linee guida delle risorse europee, riservando di fatto la partecipazione ai soli enti locali, con grave penalizzazione per realtà come la nostra che operano nel sociale con rilevanza pubblica.</w:t>
      </w:r>
    </w:p>
    <w:p w14:paraId="1933051E" w14:textId="77777777" w:rsidR="002607D6" w:rsidRPr="00FE2B48" w:rsidRDefault="002607D6" w:rsidP="002607D6">
      <w:pPr>
        <w:jc w:val="both"/>
      </w:pPr>
      <w:r w:rsidRPr="00FE2B48">
        <w:t xml:space="preserve">Si evidenzia altresì che i terreni di cui trattasi sono stati resi edificabili “per attività” attraverso il piano regolatore adottato durante il mandato del Sindaco Marini che istituì un ufficio apposito. </w:t>
      </w:r>
    </w:p>
    <w:p w14:paraId="5557FCEE" w14:textId="77777777" w:rsidR="002607D6" w:rsidRPr="00FE2B48" w:rsidRDefault="002607D6" w:rsidP="002607D6">
      <w:pPr>
        <w:jc w:val="both"/>
      </w:pPr>
      <w:r w:rsidRPr="00FE2B48">
        <w:t xml:space="preserve">In quegli anni, infatti, venne sviluppato un piano urbanistico con lo scopo specifico di creare una ricchezza aggiuntiva per gli enti ETAB e Veralli Cortesi, entrambi usciti fortemente provati dalla grave crisi legata alla cooperativa CAMEVAT. </w:t>
      </w:r>
    </w:p>
    <w:p w14:paraId="2B8F16AC" w14:textId="77777777" w:rsidR="002607D6" w:rsidRPr="00FE2B48" w:rsidRDefault="002607D6" w:rsidP="002607D6">
      <w:pPr>
        <w:jc w:val="both"/>
      </w:pPr>
      <w:r w:rsidRPr="00FE2B48">
        <w:t>Attraverso questo processo di conversione urbanistica, terreni precedentemente agricoli furono elevati al rango di terreni industriali per ETAB, mentre per la Veralli Cortesi fu prevista una specifica lottizzazione commerciale nei pressi dell’ospedale, destinata alla realizzazione di uffici connessi al presidio ospedaliero di Pantalla. Il piano regolatore prevedeva dunque, come obiettivo finale, la vendita dei suddetti beni al fine di ottenere introiti economici rilevanti per gli enti proprietari non trattandosi di aree destinate a servizi socio assistenziali o sanitari.</w:t>
      </w:r>
    </w:p>
    <w:p w14:paraId="2B6580A7" w14:textId="77777777" w:rsidR="002607D6" w:rsidRPr="00FE2B48" w:rsidRDefault="002607D6" w:rsidP="002607D6">
      <w:pPr>
        <w:jc w:val="both"/>
      </w:pPr>
      <w:r w:rsidRPr="00FE2B48">
        <w:t>Le prime perizie tecniche relative ai terreni di Pantalla vennero effettuate dal Dott. Andrea Sisti, attualmente Sindaco di Spoleto e presidente di AURI. La prima asta vide la vendita di una porzione di terreno alla famiglia Coletti, proprietaria dell'industria Lennok (Asta esperita in data 28.05.2007 e 12.05.2009). Successivamente, però, la grave crisi economica del 2008 frenò pesantemente ogni possibilità di ulteriore sviluppo industriale e commerciale.</w:t>
      </w:r>
    </w:p>
    <w:p w14:paraId="70055B09" w14:textId="77777777" w:rsidR="002607D6" w:rsidRPr="00FE2B48" w:rsidRDefault="002607D6" w:rsidP="002607D6">
      <w:pPr>
        <w:jc w:val="both"/>
      </w:pPr>
      <w:r w:rsidRPr="00FE2B48">
        <w:t>I successivi Consigli di Amministrazione, presieduti da diversi Presidenti (</w:t>
      </w:r>
      <w:proofErr w:type="spellStart"/>
      <w:r w:rsidRPr="00FE2B48">
        <w:t>Ferracchiati</w:t>
      </w:r>
      <w:proofErr w:type="spellEnd"/>
      <w:r w:rsidRPr="00FE2B48">
        <w:t>, Severi e Frongia), tentarono in più occasioni, precisamente per 5 volte negli anni senza contare gli avvisi per manifestazioni di interesse seguenti le aste, di rimettere in vendita questi terreni attraverso aste pubbliche, che risultarono puntualmente deserte.</w:t>
      </w:r>
    </w:p>
    <w:p w14:paraId="18825658" w14:textId="77777777" w:rsidR="002607D6" w:rsidRPr="00FE2B48" w:rsidRDefault="002607D6" w:rsidP="002607D6">
      <w:pPr>
        <w:jc w:val="both"/>
      </w:pPr>
      <w:r w:rsidRPr="00FE2B48">
        <w:t>Si riportano i pubblici incanti che hanno riguardato, negli anni, la cessione delle aree edificabili di Pantalla:</w:t>
      </w:r>
    </w:p>
    <w:p w14:paraId="5B371B00" w14:textId="77777777" w:rsidR="002607D6" w:rsidRPr="00FE2B48" w:rsidRDefault="002607D6" w:rsidP="002607D6">
      <w:pPr>
        <w:jc w:val="both"/>
      </w:pPr>
      <w:r w:rsidRPr="00FE2B48">
        <w:t>•</w:t>
      </w:r>
      <w:r w:rsidRPr="00FE2B48">
        <w:tab/>
        <w:t xml:space="preserve">Asta del 4 agosto 2006 – Presidente Paolo </w:t>
      </w:r>
      <w:proofErr w:type="spellStart"/>
      <w:r w:rsidRPr="00FE2B48">
        <w:t>Ferracchiati</w:t>
      </w:r>
      <w:proofErr w:type="spellEnd"/>
      <w:r w:rsidRPr="00FE2B48">
        <w:t>;</w:t>
      </w:r>
    </w:p>
    <w:p w14:paraId="6C13AF35" w14:textId="77777777" w:rsidR="002607D6" w:rsidRPr="00FE2B48" w:rsidRDefault="002607D6" w:rsidP="002607D6">
      <w:pPr>
        <w:jc w:val="both"/>
      </w:pPr>
      <w:r w:rsidRPr="00FE2B48">
        <w:t>•</w:t>
      </w:r>
      <w:r w:rsidRPr="00FE2B48">
        <w:tab/>
        <w:t xml:space="preserve">Asta del 28 maggio 2007 – Presidente Paolo </w:t>
      </w:r>
      <w:proofErr w:type="spellStart"/>
      <w:r w:rsidRPr="00FE2B48">
        <w:t>Ferracchiati</w:t>
      </w:r>
      <w:proofErr w:type="spellEnd"/>
      <w:r w:rsidRPr="00FE2B48">
        <w:t>;</w:t>
      </w:r>
    </w:p>
    <w:p w14:paraId="4A3566C9" w14:textId="77777777" w:rsidR="002607D6" w:rsidRPr="00FE2B48" w:rsidRDefault="002607D6" w:rsidP="002607D6">
      <w:pPr>
        <w:jc w:val="both"/>
      </w:pPr>
      <w:r w:rsidRPr="00FE2B48">
        <w:t>•</w:t>
      </w:r>
      <w:r w:rsidRPr="00FE2B48">
        <w:tab/>
        <w:t>Asta del 12 maggio 2009 – Presidente Bruno Severi;</w:t>
      </w:r>
    </w:p>
    <w:p w14:paraId="7DB50176" w14:textId="77777777" w:rsidR="002607D6" w:rsidRPr="00FE2B48" w:rsidRDefault="002607D6" w:rsidP="002607D6">
      <w:pPr>
        <w:jc w:val="both"/>
      </w:pPr>
      <w:r w:rsidRPr="00FE2B48">
        <w:t>•</w:t>
      </w:r>
      <w:r w:rsidRPr="00FE2B48">
        <w:tab/>
        <w:t>Asta del 29 maggio 2012 – Presidente Bruno Severi;</w:t>
      </w:r>
    </w:p>
    <w:p w14:paraId="240600E8" w14:textId="77777777" w:rsidR="002607D6" w:rsidRPr="00FE2B48" w:rsidRDefault="002607D6" w:rsidP="002607D6">
      <w:pPr>
        <w:jc w:val="both"/>
      </w:pPr>
      <w:r w:rsidRPr="00FE2B48">
        <w:t>•</w:t>
      </w:r>
      <w:r w:rsidRPr="00FE2B48">
        <w:tab/>
        <w:t>Asta del 20 settembre 2017 – Presidente Paolo Frongia.</w:t>
      </w:r>
    </w:p>
    <w:p w14:paraId="155D93A2" w14:textId="77777777" w:rsidR="002607D6" w:rsidRPr="00FE2B48" w:rsidRDefault="002607D6" w:rsidP="002607D6">
      <w:pPr>
        <w:jc w:val="both"/>
      </w:pPr>
      <w:r w:rsidRPr="00FE2B48">
        <w:t>Ne consegue che vi è stata continuità nel considerare le aree edificabili non utilizzabili direttamente per le finalità statutarie dell’ente proprio per la natura e destinazione edificabile dei terreni stabilita già agli inizi degli anni duemila con l’ufficio del Piano istituito dalla Giunta Marini e approvato dal massimo consesso comunale.</w:t>
      </w:r>
    </w:p>
    <w:p w14:paraId="41F56F0A" w14:textId="77777777" w:rsidR="002607D6" w:rsidRPr="00FE2B48" w:rsidRDefault="002607D6" w:rsidP="002607D6">
      <w:pPr>
        <w:jc w:val="both"/>
      </w:pPr>
      <w:r w:rsidRPr="00FE2B48">
        <w:t>Vale la pena di ricordare che negli anni fu chiesto a ETAB con specifico atto di indirizzo dell’allora Sindaco Marini (Decreto Sindacale 16.11.2006) di supportare il progetto di rinnovo della Residenza Protetta Veralli Cortesi al fine di realizzare l’attuale struttura.</w:t>
      </w:r>
    </w:p>
    <w:p w14:paraId="7FB1AD84" w14:textId="77777777" w:rsidR="002607D6" w:rsidRPr="00FE2B48" w:rsidRDefault="002607D6" w:rsidP="002607D6">
      <w:pPr>
        <w:jc w:val="both"/>
      </w:pPr>
      <w:r w:rsidRPr="00FE2B48">
        <w:lastRenderedPageBreak/>
        <w:t>Con deliberazione n°. 24 dell’11 marzo 2021 (Presidente Claudia Orsini) è stato approvato e indetto avviso per manifestazione di interesse per l’utilizzo delle aree edificabili di Pantalla.</w:t>
      </w:r>
    </w:p>
    <w:p w14:paraId="5E5AADD1" w14:textId="77777777" w:rsidR="002607D6" w:rsidRPr="00FE2B48" w:rsidRDefault="002607D6" w:rsidP="002607D6">
      <w:pPr>
        <w:jc w:val="both"/>
      </w:pPr>
      <w:r w:rsidRPr="00FE2B48">
        <w:t>Perveniva un’unica manifestazione di interesse alla quale non fu dato alcun seguito causa anche il periodo della Pandemia che aveva stravolto l’economia globale.</w:t>
      </w:r>
    </w:p>
    <w:p w14:paraId="57CB1759" w14:textId="0A17CD63" w:rsidR="002607D6" w:rsidRPr="00FE2B48" w:rsidRDefault="002607D6" w:rsidP="002607D6">
      <w:pPr>
        <w:jc w:val="both"/>
      </w:pPr>
      <w:r w:rsidRPr="00FE2B48">
        <w:t xml:space="preserve">Con l’insediamento dell’attuale CDA nell’estate del 2023, è stata effettuata una ricognizione approfondita del patrimonio di ETAB, rilevando una significativa necessità di riqualificazione e valorizzazione dei beni immobiliari, in linea con quanto già parzialmente avviato dai CDA precedenti.  Con deliberazione 2/2024 è stato deciso di approvare il piano delle riconversioni patrimoniali anno 2024 e di aggiornare la perizia tecnica, operazione particolarmente complessa, considerato il lungo periodo trascorso dall’ultima vendita di terreni industriali nella zona. </w:t>
      </w:r>
    </w:p>
    <w:p w14:paraId="254B84CE" w14:textId="651BF636" w:rsidR="002607D6" w:rsidRPr="00FE2B48" w:rsidRDefault="002607D6" w:rsidP="002607D6">
      <w:pPr>
        <w:jc w:val="both"/>
      </w:pPr>
      <w:r w:rsidRPr="00FE2B48">
        <w:t>Pertanto, nella stesura del Piano delle alienazioni approvato</w:t>
      </w:r>
      <w:r w:rsidR="003B0DB0">
        <w:t xml:space="preserve"> con</w:t>
      </w:r>
      <w:r w:rsidR="003B0DB0" w:rsidRPr="003B0DB0">
        <w:t xml:space="preserve"> Deliberazione N. 97 del 25 ottobre 2023</w:t>
      </w:r>
      <w:r w:rsidR="003B0DB0">
        <w:t xml:space="preserve"> e validato</w:t>
      </w:r>
      <w:r w:rsidRPr="00FE2B48">
        <w:t xml:space="preserve"> con delibera n. 2 in data 12 gennaio 2024 come modificata con deliberazione n. 81 del 29.07.2004, sono stati individuati i beni suscettibili di alienazione. In piena coerenza con le decisioni passate, sono stati considerati, nel suddetto piano, i terreni edificabili di Pantalla, già in precedenza destinati a essere ceduti. Si è quindi deciso di effettuare un nuovo tentativo di vendita di questi terreni industriali, ribadendo l’obiettivo originario: reperire risorse economiche per migliorare il patrimonio di ETAB. </w:t>
      </w:r>
      <w:r w:rsidR="007E416A">
        <w:t xml:space="preserve">L’Amministrazione di ETAB ha altresì ipotizzato la cessione delle aree edificabili in unico lotto al fine di aumentarne l’appetibilità sul mercato tenuto conto che i precedenti tentativi di lotti frazionati sono risultati deserti a fronte di onerose aste pubbliche. </w:t>
      </w:r>
      <w:r w:rsidRPr="00FE2B48">
        <w:t>Per determinare la valutazione più congrua, abbiamo interpellato informalmente notai e Agenzia delle Entrate, giungendo ad una cifra finale elaborata dall’architetto Antonio Aino.</w:t>
      </w:r>
    </w:p>
    <w:p w14:paraId="5D3293A6" w14:textId="77777777" w:rsidR="002607D6" w:rsidRPr="00FE2B48" w:rsidRDefault="002607D6" w:rsidP="002607D6">
      <w:pPr>
        <w:jc w:val="both"/>
      </w:pPr>
      <w:r w:rsidRPr="00FE2B48">
        <w:t>L’incanto espletato ha confermato l’interesse contenuto verso le aree edificabili a fronte di oneri fiscali elevatissimi.</w:t>
      </w:r>
    </w:p>
    <w:p w14:paraId="785725B6" w14:textId="77777777" w:rsidR="002607D6" w:rsidRPr="00FE2B48" w:rsidRDefault="002607D6" w:rsidP="002607D6">
      <w:pPr>
        <w:jc w:val="both"/>
      </w:pPr>
      <w:r w:rsidRPr="00FE2B48">
        <w:t>Il peso economico, infatti, della titolarità dei suddetti terreni edificabili sulle capacità di bilancio legato all’IMU versata al Comune di Todi nel corso degli anni, che ammonta complessivamente a oltre 300 mila euro  (solo nel 2023 è stata corrisposta IMU per euro 14.613,07). Negli ultimi ventidue anni ETAB aveva cercato di tamponare questa perdita concedendo il terreno in affitto come agricolo, riuscendo però a recuperare solo una minima parte delle spese sostenute; si pensi che negli ultimi anni la rendita annua degli affitti è stata pari ad euro 8 mila (da 6 mila e 10 mila negli ultimi anni con affitti annuali) con una rendita media di euro 8 mila che moltiplicato per 22 anni reca un valore di euro 176 mila con una perdita sommaria netta di euro  pari a euro 143 mila circa (a cui si aggiungono gli oneri per le imposte diretta ai fini IRES sul valore catastale dei terreni).</w:t>
      </w:r>
    </w:p>
    <w:p w14:paraId="424EB239" w14:textId="77777777" w:rsidR="002607D6" w:rsidRPr="00FE2B48" w:rsidRDefault="002607D6" w:rsidP="002607D6">
      <w:pPr>
        <w:jc w:val="both"/>
      </w:pPr>
      <w:r w:rsidRPr="00FE2B48">
        <w:t>La vendita effettuata è coerente con i valori e i principi dell’Ente, poiché le risorse ottenute ci permettono oggi di avviare importanti riqualificazioni del patrimonio, sebbene non siano assolutamente sufficienti a coprire tutte le esigenze. Basti pensare che la sola chiesa di Santa Maria della Consolazione, secondo quanto già indicato dal "progetto bellezza" inviato al Governo, necessiterebbe di circa due milioni di euro per restauri.</w:t>
      </w:r>
    </w:p>
    <w:p w14:paraId="60181F54" w14:textId="7F7E66CD" w:rsidR="002607D6" w:rsidRDefault="002607D6" w:rsidP="002607D6">
      <w:pPr>
        <w:jc w:val="both"/>
      </w:pPr>
      <w:r w:rsidRPr="00FE2B48">
        <w:t>Oltre a questo intervento, ETAB è chiamata ad altre spese rilevanti: per l'Istituto Einaudi il certificato prevenzione incendi supera i 100.000 euro; il Liceo Scientifico di via Roma richiede urgenti lavori sugli infissi, il lucernario e la facciata; i magazzini-garage di Villino Bagli necessitano di importanti manutenzioni che saranno realizzate nel 2025; la Chiesa della Consolazione necessita di un nuovo impianto illuminotecnico; sono stati ultimati lavori</w:t>
      </w:r>
      <w:r>
        <w:t xml:space="preserve"> presso la Casa delle Associazioni per euro 55 mila, l’archivio storico (attualmente ospitato presso la Biblioteca Comunale) e lavori vari sempre presso Palazzo Vecchi Ercolani - sede di ETAB già realizzati (e altri da realizzare). Infine, ricordo il restauro della statua di San </w:t>
      </w:r>
      <w:r w:rsidR="009A494F">
        <w:t>Filippo</w:t>
      </w:r>
      <w:r>
        <w:t>, caduta nel 2016, per cui abbiamo investito oltre 50 mila euro, metà dei quali ammessi a contributo dalla Soprintendenza.</w:t>
      </w:r>
    </w:p>
    <w:p w14:paraId="1876C591" w14:textId="77777777" w:rsidR="002607D6" w:rsidRDefault="002607D6" w:rsidP="002607D6">
      <w:pPr>
        <w:jc w:val="both"/>
      </w:pPr>
      <w:r>
        <w:t xml:space="preserve">Si aggiunga inoltre che in periodo di tasso di interesse elevato è preferibile oggettivamente il ricorso alle riconversioni patrimoniali piuttosto che far riferimento all’indebitamento. In particolare con deliberazione n. 134 del 19.12.2024 è stata effettuata l’ultima ricognizione (limitando gli interventi sulla Consolazione a quelli prioritari) per oltre 1,7 milioni di euro.  </w:t>
      </w:r>
    </w:p>
    <w:p w14:paraId="5CBA1FE6" w14:textId="77777777" w:rsidR="002607D6" w:rsidRDefault="002607D6" w:rsidP="002607D6">
      <w:pPr>
        <w:jc w:val="both"/>
        <w:rPr>
          <w:color w:val="000000"/>
        </w:rPr>
      </w:pPr>
    </w:p>
    <w:p w14:paraId="6B6690F2" w14:textId="77777777" w:rsidR="002607D6" w:rsidRDefault="002607D6" w:rsidP="002607D6">
      <w:pPr>
        <w:jc w:val="both"/>
        <w:rPr>
          <w:color w:val="000000"/>
        </w:rPr>
      </w:pPr>
      <w:r>
        <w:rPr>
          <w:color w:val="000000"/>
        </w:rPr>
        <w:lastRenderedPageBreak/>
        <w:t>Composizione delle entrate correnti al 31.12.2024</w:t>
      </w:r>
    </w:p>
    <w:p w14:paraId="58D37E50" w14:textId="77777777" w:rsidR="002607D6" w:rsidRDefault="002607D6" w:rsidP="002607D6">
      <w:pPr>
        <w:jc w:val="both"/>
        <w:rPr>
          <w:color w:val="000000"/>
        </w:rPr>
      </w:pPr>
    </w:p>
    <w:tbl>
      <w:tblPr>
        <w:tblW w:w="5540" w:type="dxa"/>
        <w:tblInd w:w="75" w:type="dxa"/>
        <w:tblCellMar>
          <w:left w:w="70" w:type="dxa"/>
          <w:right w:w="70" w:type="dxa"/>
        </w:tblCellMar>
        <w:tblLook w:val="04A0" w:firstRow="1" w:lastRow="0" w:firstColumn="1" w:lastColumn="0" w:noHBand="0" w:noVBand="1"/>
      </w:tblPr>
      <w:tblGrid>
        <w:gridCol w:w="2860"/>
        <w:gridCol w:w="1320"/>
        <w:gridCol w:w="1360"/>
      </w:tblGrid>
      <w:tr w:rsidR="002607D6" w14:paraId="1F937CD1" w14:textId="77777777" w:rsidTr="00F0564D">
        <w:trPr>
          <w:trHeight w:val="25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44A19A34" w14:textId="77777777" w:rsidR="002607D6" w:rsidRDefault="002607D6" w:rsidP="00F0564D">
            <w:pPr>
              <w:rPr>
                <w:rFonts w:ascii="Arial" w:hAnsi="Arial" w:cs="Arial"/>
                <w:sz w:val="20"/>
                <w:szCs w:val="20"/>
              </w:rPr>
            </w:pPr>
            <w:r>
              <w:rPr>
                <w:rFonts w:ascii="Arial" w:hAnsi="Arial" w:cs="Arial"/>
                <w:sz w:val="20"/>
                <w:szCs w:val="20"/>
              </w:rPr>
              <w:t>Descrizione</w:t>
            </w:r>
          </w:p>
        </w:tc>
        <w:tc>
          <w:tcPr>
            <w:tcW w:w="1320" w:type="dxa"/>
            <w:tcBorders>
              <w:top w:val="single" w:sz="4" w:space="0" w:color="auto"/>
              <w:left w:val="nil"/>
              <w:bottom w:val="single" w:sz="4" w:space="0" w:color="auto"/>
              <w:right w:val="single" w:sz="4" w:space="0" w:color="auto"/>
            </w:tcBorders>
            <w:noWrap/>
            <w:vAlign w:val="bottom"/>
            <w:hideMark/>
          </w:tcPr>
          <w:p w14:paraId="06A5A040" w14:textId="77777777" w:rsidR="002607D6" w:rsidRDefault="002607D6" w:rsidP="00F0564D">
            <w:pPr>
              <w:jc w:val="center"/>
              <w:rPr>
                <w:rFonts w:ascii="Arial" w:hAnsi="Arial" w:cs="Arial"/>
                <w:sz w:val="20"/>
                <w:szCs w:val="20"/>
              </w:rPr>
            </w:pPr>
            <w:r>
              <w:rPr>
                <w:rFonts w:ascii="Arial" w:hAnsi="Arial" w:cs="Arial"/>
                <w:sz w:val="20"/>
                <w:szCs w:val="20"/>
              </w:rPr>
              <w:t>importo</w:t>
            </w:r>
          </w:p>
        </w:tc>
        <w:tc>
          <w:tcPr>
            <w:tcW w:w="1360" w:type="dxa"/>
            <w:tcBorders>
              <w:top w:val="single" w:sz="4" w:space="0" w:color="auto"/>
              <w:left w:val="nil"/>
              <w:bottom w:val="single" w:sz="4" w:space="0" w:color="auto"/>
              <w:right w:val="single" w:sz="4" w:space="0" w:color="auto"/>
            </w:tcBorders>
            <w:noWrap/>
            <w:vAlign w:val="bottom"/>
            <w:hideMark/>
          </w:tcPr>
          <w:p w14:paraId="1B01652F" w14:textId="77777777" w:rsidR="002607D6" w:rsidRDefault="002607D6" w:rsidP="00F0564D">
            <w:pPr>
              <w:jc w:val="center"/>
              <w:rPr>
                <w:rFonts w:ascii="Arial" w:hAnsi="Arial" w:cs="Arial"/>
                <w:sz w:val="20"/>
                <w:szCs w:val="20"/>
              </w:rPr>
            </w:pPr>
            <w:r>
              <w:rPr>
                <w:rFonts w:ascii="Arial" w:hAnsi="Arial" w:cs="Arial"/>
                <w:sz w:val="20"/>
                <w:szCs w:val="20"/>
              </w:rPr>
              <w:t>%</w:t>
            </w:r>
          </w:p>
        </w:tc>
      </w:tr>
      <w:tr w:rsidR="002607D6" w14:paraId="3EEEC3DD" w14:textId="77777777" w:rsidTr="00F0564D">
        <w:trPr>
          <w:trHeight w:val="255"/>
        </w:trPr>
        <w:tc>
          <w:tcPr>
            <w:tcW w:w="2860" w:type="dxa"/>
            <w:tcBorders>
              <w:top w:val="nil"/>
              <w:left w:val="single" w:sz="4" w:space="0" w:color="auto"/>
              <w:bottom w:val="single" w:sz="4" w:space="0" w:color="auto"/>
              <w:right w:val="single" w:sz="4" w:space="0" w:color="auto"/>
            </w:tcBorders>
            <w:vAlign w:val="bottom"/>
            <w:hideMark/>
          </w:tcPr>
          <w:p w14:paraId="78280F00" w14:textId="77777777" w:rsidR="002607D6" w:rsidRDefault="002607D6" w:rsidP="00F0564D">
            <w:pPr>
              <w:rPr>
                <w:rFonts w:ascii="Arial" w:hAnsi="Arial" w:cs="Arial"/>
                <w:sz w:val="20"/>
                <w:szCs w:val="20"/>
              </w:rPr>
            </w:pPr>
            <w:r>
              <w:rPr>
                <w:rFonts w:ascii="Arial" w:hAnsi="Arial" w:cs="Arial"/>
                <w:sz w:val="20"/>
                <w:szCs w:val="20"/>
              </w:rPr>
              <w:t>affitti</w:t>
            </w:r>
          </w:p>
        </w:tc>
        <w:tc>
          <w:tcPr>
            <w:tcW w:w="1320" w:type="dxa"/>
            <w:tcBorders>
              <w:top w:val="nil"/>
              <w:left w:val="nil"/>
              <w:bottom w:val="single" w:sz="4" w:space="0" w:color="auto"/>
              <w:right w:val="single" w:sz="4" w:space="0" w:color="auto"/>
            </w:tcBorders>
            <w:noWrap/>
            <w:vAlign w:val="bottom"/>
            <w:hideMark/>
          </w:tcPr>
          <w:p w14:paraId="33D4723B" w14:textId="77777777" w:rsidR="002607D6" w:rsidRDefault="002607D6" w:rsidP="00F0564D">
            <w:pPr>
              <w:jc w:val="right"/>
              <w:rPr>
                <w:rFonts w:ascii="Arial" w:hAnsi="Arial" w:cs="Arial"/>
                <w:sz w:val="20"/>
                <w:szCs w:val="20"/>
              </w:rPr>
            </w:pPr>
            <w:r>
              <w:rPr>
                <w:rFonts w:ascii="Arial" w:hAnsi="Arial" w:cs="Arial"/>
                <w:sz w:val="20"/>
                <w:szCs w:val="20"/>
              </w:rPr>
              <w:t>318.522,66</w:t>
            </w:r>
          </w:p>
        </w:tc>
        <w:tc>
          <w:tcPr>
            <w:tcW w:w="1360" w:type="dxa"/>
            <w:tcBorders>
              <w:top w:val="nil"/>
              <w:left w:val="nil"/>
              <w:bottom w:val="single" w:sz="4" w:space="0" w:color="auto"/>
              <w:right w:val="single" w:sz="4" w:space="0" w:color="auto"/>
            </w:tcBorders>
            <w:noWrap/>
            <w:vAlign w:val="bottom"/>
            <w:hideMark/>
          </w:tcPr>
          <w:p w14:paraId="782F0564" w14:textId="77777777" w:rsidR="002607D6" w:rsidRDefault="002607D6" w:rsidP="00F0564D">
            <w:pPr>
              <w:jc w:val="right"/>
              <w:rPr>
                <w:rFonts w:ascii="Arial" w:hAnsi="Arial" w:cs="Arial"/>
                <w:sz w:val="20"/>
                <w:szCs w:val="20"/>
              </w:rPr>
            </w:pPr>
            <w:r>
              <w:rPr>
                <w:rFonts w:ascii="Arial" w:hAnsi="Arial" w:cs="Arial"/>
                <w:sz w:val="20"/>
                <w:szCs w:val="20"/>
              </w:rPr>
              <w:t>37,77%</w:t>
            </w:r>
          </w:p>
        </w:tc>
      </w:tr>
      <w:tr w:rsidR="002607D6" w14:paraId="7A87EC9B" w14:textId="77777777" w:rsidTr="00F0564D">
        <w:trPr>
          <w:trHeight w:val="255"/>
        </w:trPr>
        <w:tc>
          <w:tcPr>
            <w:tcW w:w="2860" w:type="dxa"/>
            <w:tcBorders>
              <w:top w:val="nil"/>
              <w:left w:val="single" w:sz="4" w:space="0" w:color="auto"/>
              <w:bottom w:val="single" w:sz="4" w:space="0" w:color="auto"/>
              <w:right w:val="single" w:sz="4" w:space="0" w:color="auto"/>
            </w:tcBorders>
            <w:vAlign w:val="bottom"/>
            <w:hideMark/>
          </w:tcPr>
          <w:p w14:paraId="68DCDCE9" w14:textId="77777777" w:rsidR="002607D6" w:rsidRDefault="002607D6" w:rsidP="00F0564D">
            <w:pPr>
              <w:rPr>
                <w:rFonts w:ascii="Arial" w:hAnsi="Arial" w:cs="Arial"/>
                <w:sz w:val="20"/>
                <w:szCs w:val="20"/>
              </w:rPr>
            </w:pPr>
            <w:r>
              <w:rPr>
                <w:rFonts w:ascii="Arial" w:hAnsi="Arial" w:cs="Arial"/>
                <w:sz w:val="20"/>
                <w:szCs w:val="20"/>
              </w:rPr>
              <w:t>locazioni</w:t>
            </w:r>
          </w:p>
        </w:tc>
        <w:tc>
          <w:tcPr>
            <w:tcW w:w="1320" w:type="dxa"/>
            <w:tcBorders>
              <w:top w:val="nil"/>
              <w:left w:val="nil"/>
              <w:bottom w:val="single" w:sz="4" w:space="0" w:color="auto"/>
              <w:right w:val="single" w:sz="4" w:space="0" w:color="auto"/>
            </w:tcBorders>
            <w:noWrap/>
            <w:vAlign w:val="bottom"/>
            <w:hideMark/>
          </w:tcPr>
          <w:p w14:paraId="7C13B87F" w14:textId="77777777" w:rsidR="002607D6" w:rsidRDefault="002607D6" w:rsidP="00F0564D">
            <w:pPr>
              <w:jc w:val="right"/>
              <w:rPr>
                <w:rFonts w:ascii="Arial" w:hAnsi="Arial" w:cs="Arial"/>
                <w:sz w:val="20"/>
                <w:szCs w:val="20"/>
              </w:rPr>
            </w:pPr>
            <w:r>
              <w:rPr>
                <w:rFonts w:ascii="Arial" w:hAnsi="Arial" w:cs="Arial"/>
                <w:sz w:val="20"/>
                <w:szCs w:val="20"/>
              </w:rPr>
              <w:t>429.920,87</w:t>
            </w:r>
          </w:p>
        </w:tc>
        <w:tc>
          <w:tcPr>
            <w:tcW w:w="1360" w:type="dxa"/>
            <w:tcBorders>
              <w:top w:val="nil"/>
              <w:left w:val="nil"/>
              <w:bottom w:val="single" w:sz="4" w:space="0" w:color="auto"/>
              <w:right w:val="single" w:sz="4" w:space="0" w:color="auto"/>
            </w:tcBorders>
            <w:noWrap/>
            <w:vAlign w:val="bottom"/>
            <w:hideMark/>
          </w:tcPr>
          <w:p w14:paraId="1B99E8E2" w14:textId="77777777" w:rsidR="002607D6" w:rsidRDefault="002607D6" w:rsidP="00F0564D">
            <w:pPr>
              <w:jc w:val="right"/>
              <w:rPr>
                <w:rFonts w:ascii="Arial" w:hAnsi="Arial" w:cs="Arial"/>
                <w:sz w:val="20"/>
                <w:szCs w:val="20"/>
              </w:rPr>
            </w:pPr>
            <w:r>
              <w:rPr>
                <w:rFonts w:ascii="Arial" w:hAnsi="Arial" w:cs="Arial"/>
                <w:sz w:val="20"/>
                <w:szCs w:val="20"/>
              </w:rPr>
              <w:t>50,98%</w:t>
            </w:r>
          </w:p>
        </w:tc>
      </w:tr>
      <w:tr w:rsidR="002607D6" w14:paraId="41DD2C67" w14:textId="77777777" w:rsidTr="00F0564D">
        <w:trPr>
          <w:trHeight w:val="255"/>
        </w:trPr>
        <w:tc>
          <w:tcPr>
            <w:tcW w:w="2860" w:type="dxa"/>
            <w:tcBorders>
              <w:top w:val="nil"/>
              <w:left w:val="single" w:sz="4" w:space="0" w:color="auto"/>
              <w:bottom w:val="single" w:sz="4" w:space="0" w:color="auto"/>
              <w:right w:val="single" w:sz="4" w:space="0" w:color="auto"/>
            </w:tcBorders>
            <w:vAlign w:val="bottom"/>
            <w:hideMark/>
          </w:tcPr>
          <w:p w14:paraId="4B8CF397" w14:textId="77777777" w:rsidR="002607D6" w:rsidRDefault="002607D6" w:rsidP="00F0564D">
            <w:pPr>
              <w:rPr>
                <w:rFonts w:ascii="Arial" w:hAnsi="Arial" w:cs="Arial"/>
                <w:sz w:val="20"/>
                <w:szCs w:val="20"/>
              </w:rPr>
            </w:pPr>
            <w:r>
              <w:rPr>
                <w:rFonts w:ascii="Arial" w:hAnsi="Arial" w:cs="Arial"/>
                <w:sz w:val="20"/>
                <w:szCs w:val="20"/>
              </w:rPr>
              <w:t>rette</w:t>
            </w:r>
          </w:p>
        </w:tc>
        <w:tc>
          <w:tcPr>
            <w:tcW w:w="1320" w:type="dxa"/>
            <w:tcBorders>
              <w:top w:val="nil"/>
              <w:left w:val="nil"/>
              <w:bottom w:val="single" w:sz="4" w:space="0" w:color="auto"/>
              <w:right w:val="single" w:sz="4" w:space="0" w:color="auto"/>
            </w:tcBorders>
            <w:noWrap/>
            <w:vAlign w:val="bottom"/>
            <w:hideMark/>
          </w:tcPr>
          <w:p w14:paraId="7969B64D" w14:textId="77777777" w:rsidR="002607D6" w:rsidRDefault="002607D6" w:rsidP="00F0564D">
            <w:pPr>
              <w:jc w:val="right"/>
              <w:rPr>
                <w:rFonts w:ascii="Arial" w:hAnsi="Arial" w:cs="Arial"/>
                <w:sz w:val="20"/>
                <w:szCs w:val="20"/>
              </w:rPr>
            </w:pPr>
            <w:r>
              <w:rPr>
                <w:rFonts w:ascii="Arial" w:hAnsi="Arial" w:cs="Arial"/>
                <w:sz w:val="20"/>
                <w:szCs w:val="20"/>
              </w:rPr>
              <w:t>53.450,00</w:t>
            </w:r>
          </w:p>
        </w:tc>
        <w:tc>
          <w:tcPr>
            <w:tcW w:w="1360" w:type="dxa"/>
            <w:tcBorders>
              <w:top w:val="nil"/>
              <w:left w:val="nil"/>
              <w:bottom w:val="single" w:sz="4" w:space="0" w:color="auto"/>
              <w:right w:val="single" w:sz="4" w:space="0" w:color="auto"/>
            </w:tcBorders>
            <w:noWrap/>
            <w:vAlign w:val="bottom"/>
            <w:hideMark/>
          </w:tcPr>
          <w:p w14:paraId="6783AEFE" w14:textId="77777777" w:rsidR="002607D6" w:rsidRDefault="002607D6" w:rsidP="00F0564D">
            <w:pPr>
              <w:jc w:val="right"/>
              <w:rPr>
                <w:rFonts w:ascii="Arial" w:hAnsi="Arial" w:cs="Arial"/>
                <w:sz w:val="20"/>
                <w:szCs w:val="20"/>
              </w:rPr>
            </w:pPr>
            <w:r>
              <w:rPr>
                <w:rFonts w:ascii="Arial" w:hAnsi="Arial" w:cs="Arial"/>
                <w:sz w:val="20"/>
                <w:szCs w:val="20"/>
              </w:rPr>
              <w:t>6,34%</w:t>
            </w:r>
          </w:p>
        </w:tc>
      </w:tr>
      <w:tr w:rsidR="002607D6" w14:paraId="66F129E3" w14:textId="77777777" w:rsidTr="00F0564D">
        <w:trPr>
          <w:trHeight w:val="255"/>
        </w:trPr>
        <w:tc>
          <w:tcPr>
            <w:tcW w:w="2860" w:type="dxa"/>
            <w:tcBorders>
              <w:top w:val="nil"/>
              <w:left w:val="single" w:sz="4" w:space="0" w:color="auto"/>
              <w:bottom w:val="single" w:sz="4" w:space="0" w:color="auto"/>
              <w:right w:val="single" w:sz="4" w:space="0" w:color="auto"/>
            </w:tcBorders>
            <w:vAlign w:val="bottom"/>
            <w:hideMark/>
          </w:tcPr>
          <w:p w14:paraId="5CFD34FF" w14:textId="77777777" w:rsidR="002607D6" w:rsidRDefault="002607D6" w:rsidP="00F0564D">
            <w:pPr>
              <w:rPr>
                <w:rFonts w:ascii="Arial" w:hAnsi="Arial" w:cs="Arial"/>
                <w:sz w:val="20"/>
                <w:szCs w:val="20"/>
              </w:rPr>
            </w:pPr>
            <w:r>
              <w:rPr>
                <w:rFonts w:ascii="Arial" w:hAnsi="Arial" w:cs="Arial"/>
                <w:sz w:val="20"/>
                <w:szCs w:val="20"/>
              </w:rPr>
              <w:t>altre entrate ordinarie</w:t>
            </w:r>
          </w:p>
        </w:tc>
        <w:tc>
          <w:tcPr>
            <w:tcW w:w="1320" w:type="dxa"/>
            <w:tcBorders>
              <w:top w:val="nil"/>
              <w:left w:val="nil"/>
              <w:bottom w:val="single" w:sz="4" w:space="0" w:color="auto"/>
              <w:right w:val="single" w:sz="4" w:space="0" w:color="auto"/>
            </w:tcBorders>
            <w:noWrap/>
            <w:vAlign w:val="bottom"/>
            <w:hideMark/>
          </w:tcPr>
          <w:p w14:paraId="78E702B5" w14:textId="77777777" w:rsidR="002607D6" w:rsidRDefault="002607D6" w:rsidP="00F0564D">
            <w:pPr>
              <w:jc w:val="right"/>
              <w:rPr>
                <w:rFonts w:ascii="Arial" w:hAnsi="Arial" w:cs="Arial"/>
                <w:sz w:val="20"/>
                <w:szCs w:val="20"/>
              </w:rPr>
            </w:pPr>
            <w:r>
              <w:rPr>
                <w:rFonts w:ascii="Arial" w:hAnsi="Arial" w:cs="Arial"/>
                <w:sz w:val="20"/>
                <w:szCs w:val="20"/>
              </w:rPr>
              <w:t>25.037,80</w:t>
            </w:r>
          </w:p>
        </w:tc>
        <w:tc>
          <w:tcPr>
            <w:tcW w:w="1360" w:type="dxa"/>
            <w:tcBorders>
              <w:top w:val="nil"/>
              <w:left w:val="nil"/>
              <w:bottom w:val="single" w:sz="4" w:space="0" w:color="auto"/>
              <w:right w:val="single" w:sz="4" w:space="0" w:color="auto"/>
            </w:tcBorders>
            <w:noWrap/>
            <w:vAlign w:val="bottom"/>
            <w:hideMark/>
          </w:tcPr>
          <w:p w14:paraId="515FE56B" w14:textId="77777777" w:rsidR="002607D6" w:rsidRDefault="002607D6" w:rsidP="00F0564D">
            <w:pPr>
              <w:jc w:val="right"/>
              <w:rPr>
                <w:rFonts w:ascii="Arial" w:hAnsi="Arial" w:cs="Arial"/>
                <w:sz w:val="20"/>
                <w:szCs w:val="20"/>
              </w:rPr>
            </w:pPr>
            <w:r>
              <w:rPr>
                <w:rFonts w:ascii="Arial" w:hAnsi="Arial" w:cs="Arial"/>
                <w:sz w:val="20"/>
                <w:szCs w:val="20"/>
              </w:rPr>
              <w:t>2,97%</w:t>
            </w:r>
          </w:p>
        </w:tc>
      </w:tr>
      <w:tr w:rsidR="002607D6" w14:paraId="35CCA582" w14:textId="77777777" w:rsidTr="00F0564D">
        <w:trPr>
          <w:trHeight w:val="255"/>
        </w:trPr>
        <w:tc>
          <w:tcPr>
            <w:tcW w:w="2860" w:type="dxa"/>
            <w:tcBorders>
              <w:top w:val="nil"/>
              <w:left w:val="single" w:sz="4" w:space="0" w:color="auto"/>
              <w:bottom w:val="single" w:sz="4" w:space="0" w:color="auto"/>
              <w:right w:val="single" w:sz="4" w:space="0" w:color="auto"/>
            </w:tcBorders>
            <w:vAlign w:val="bottom"/>
            <w:hideMark/>
          </w:tcPr>
          <w:p w14:paraId="4CE0D882" w14:textId="77777777" w:rsidR="002607D6" w:rsidRDefault="002607D6" w:rsidP="00F0564D">
            <w:pPr>
              <w:rPr>
                <w:rFonts w:ascii="Arial" w:hAnsi="Arial" w:cs="Arial"/>
                <w:sz w:val="20"/>
                <w:szCs w:val="20"/>
              </w:rPr>
            </w:pPr>
            <w:r>
              <w:rPr>
                <w:rFonts w:ascii="Arial" w:hAnsi="Arial" w:cs="Arial"/>
                <w:sz w:val="20"/>
                <w:szCs w:val="20"/>
              </w:rPr>
              <w:t>entrate straordinarie</w:t>
            </w:r>
          </w:p>
        </w:tc>
        <w:tc>
          <w:tcPr>
            <w:tcW w:w="1320" w:type="dxa"/>
            <w:tcBorders>
              <w:top w:val="nil"/>
              <w:left w:val="nil"/>
              <w:bottom w:val="single" w:sz="4" w:space="0" w:color="auto"/>
              <w:right w:val="single" w:sz="4" w:space="0" w:color="auto"/>
            </w:tcBorders>
            <w:noWrap/>
            <w:vAlign w:val="bottom"/>
            <w:hideMark/>
          </w:tcPr>
          <w:p w14:paraId="68DED468" w14:textId="77777777" w:rsidR="002607D6" w:rsidRDefault="002607D6" w:rsidP="00F0564D">
            <w:pPr>
              <w:jc w:val="right"/>
              <w:rPr>
                <w:rFonts w:ascii="Arial" w:hAnsi="Arial" w:cs="Arial"/>
                <w:sz w:val="20"/>
                <w:szCs w:val="20"/>
              </w:rPr>
            </w:pPr>
            <w:r>
              <w:rPr>
                <w:rFonts w:ascii="Arial" w:hAnsi="Arial" w:cs="Arial"/>
                <w:sz w:val="20"/>
                <w:szCs w:val="20"/>
              </w:rPr>
              <w:t>16.464,02</w:t>
            </w:r>
          </w:p>
        </w:tc>
        <w:tc>
          <w:tcPr>
            <w:tcW w:w="1360" w:type="dxa"/>
            <w:tcBorders>
              <w:top w:val="nil"/>
              <w:left w:val="nil"/>
              <w:bottom w:val="single" w:sz="4" w:space="0" w:color="auto"/>
              <w:right w:val="single" w:sz="4" w:space="0" w:color="auto"/>
            </w:tcBorders>
            <w:noWrap/>
            <w:vAlign w:val="bottom"/>
            <w:hideMark/>
          </w:tcPr>
          <w:p w14:paraId="47878A2C" w14:textId="77777777" w:rsidR="002607D6" w:rsidRDefault="002607D6" w:rsidP="00F0564D">
            <w:pPr>
              <w:jc w:val="right"/>
              <w:rPr>
                <w:rFonts w:ascii="Arial" w:hAnsi="Arial" w:cs="Arial"/>
                <w:sz w:val="20"/>
                <w:szCs w:val="20"/>
              </w:rPr>
            </w:pPr>
            <w:r>
              <w:rPr>
                <w:rFonts w:ascii="Arial" w:hAnsi="Arial" w:cs="Arial"/>
                <w:sz w:val="20"/>
                <w:szCs w:val="20"/>
              </w:rPr>
              <w:t>1,95%</w:t>
            </w:r>
          </w:p>
        </w:tc>
      </w:tr>
      <w:tr w:rsidR="002607D6" w14:paraId="23F96E0B" w14:textId="77777777" w:rsidTr="00F0564D">
        <w:trPr>
          <w:trHeight w:val="255"/>
        </w:trPr>
        <w:tc>
          <w:tcPr>
            <w:tcW w:w="2860" w:type="dxa"/>
            <w:tcBorders>
              <w:top w:val="nil"/>
              <w:left w:val="single" w:sz="4" w:space="0" w:color="auto"/>
              <w:bottom w:val="single" w:sz="4" w:space="0" w:color="auto"/>
              <w:right w:val="single" w:sz="4" w:space="0" w:color="auto"/>
            </w:tcBorders>
            <w:noWrap/>
            <w:vAlign w:val="bottom"/>
            <w:hideMark/>
          </w:tcPr>
          <w:p w14:paraId="06F638CF" w14:textId="77777777" w:rsidR="002607D6" w:rsidRDefault="002607D6" w:rsidP="00F0564D">
            <w:pPr>
              <w:rPr>
                <w:rFonts w:ascii="Arial" w:hAnsi="Arial" w:cs="Arial"/>
                <w:sz w:val="20"/>
                <w:szCs w:val="20"/>
              </w:rPr>
            </w:pPr>
            <w:r>
              <w:rPr>
                <w:rFonts w:ascii="Arial" w:hAnsi="Arial" w:cs="Arial"/>
                <w:sz w:val="20"/>
                <w:szCs w:val="20"/>
              </w:rPr>
              <w:t>Totale</w:t>
            </w:r>
          </w:p>
        </w:tc>
        <w:tc>
          <w:tcPr>
            <w:tcW w:w="1320" w:type="dxa"/>
            <w:tcBorders>
              <w:top w:val="nil"/>
              <w:left w:val="nil"/>
              <w:bottom w:val="single" w:sz="4" w:space="0" w:color="auto"/>
              <w:right w:val="single" w:sz="4" w:space="0" w:color="auto"/>
            </w:tcBorders>
            <w:noWrap/>
            <w:vAlign w:val="bottom"/>
            <w:hideMark/>
          </w:tcPr>
          <w:p w14:paraId="2EEE02BD" w14:textId="77777777" w:rsidR="002607D6" w:rsidRDefault="002607D6" w:rsidP="00F0564D">
            <w:pPr>
              <w:jc w:val="right"/>
              <w:rPr>
                <w:rFonts w:ascii="Arial" w:hAnsi="Arial" w:cs="Arial"/>
                <w:sz w:val="20"/>
                <w:szCs w:val="20"/>
              </w:rPr>
            </w:pPr>
            <w:r>
              <w:rPr>
                <w:rFonts w:ascii="Arial" w:hAnsi="Arial" w:cs="Arial"/>
                <w:sz w:val="20"/>
                <w:szCs w:val="20"/>
              </w:rPr>
              <w:t>843.395,35</w:t>
            </w:r>
          </w:p>
        </w:tc>
        <w:tc>
          <w:tcPr>
            <w:tcW w:w="1360" w:type="dxa"/>
            <w:tcBorders>
              <w:top w:val="nil"/>
              <w:left w:val="nil"/>
              <w:bottom w:val="single" w:sz="4" w:space="0" w:color="auto"/>
              <w:right w:val="single" w:sz="4" w:space="0" w:color="auto"/>
            </w:tcBorders>
            <w:noWrap/>
            <w:vAlign w:val="bottom"/>
            <w:hideMark/>
          </w:tcPr>
          <w:p w14:paraId="7BEBE692" w14:textId="77777777" w:rsidR="002607D6" w:rsidRDefault="002607D6" w:rsidP="00F0564D">
            <w:pPr>
              <w:jc w:val="right"/>
              <w:rPr>
                <w:rFonts w:ascii="Arial" w:hAnsi="Arial" w:cs="Arial"/>
                <w:sz w:val="20"/>
                <w:szCs w:val="20"/>
              </w:rPr>
            </w:pPr>
            <w:r>
              <w:rPr>
                <w:rFonts w:ascii="Arial" w:hAnsi="Arial" w:cs="Arial"/>
                <w:sz w:val="20"/>
                <w:szCs w:val="20"/>
              </w:rPr>
              <w:t>100,00%</w:t>
            </w:r>
          </w:p>
        </w:tc>
      </w:tr>
    </w:tbl>
    <w:p w14:paraId="32FF7157" w14:textId="77777777" w:rsidR="002607D6" w:rsidRDefault="002607D6" w:rsidP="002607D6">
      <w:pPr>
        <w:jc w:val="both"/>
        <w:rPr>
          <w:color w:val="000000"/>
        </w:rPr>
      </w:pPr>
    </w:p>
    <w:p w14:paraId="0CABEC2D" w14:textId="77777777" w:rsidR="002607D6" w:rsidRDefault="002607D6" w:rsidP="002607D6">
      <w:pPr>
        <w:jc w:val="both"/>
        <w:rPr>
          <w:color w:val="000000"/>
        </w:rPr>
      </w:pPr>
    </w:p>
    <w:p w14:paraId="3A903E75" w14:textId="77777777" w:rsidR="002607D6" w:rsidRDefault="002607D6" w:rsidP="002607D6">
      <w:pPr>
        <w:jc w:val="both"/>
        <w:rPr>
          <w:color w:val="000000"/>
        </w:rPr>
      </w:pPr>
      <w:r w:rsidRPr="002F016D">
        <w:rPr>
          <w:noProof/>
        </w:rPr>
        <w:drawing>
          <wp:inline distT="0" distB="0" distL="0" distR="0" wp14:anchorId="2E6224B5" wp14:editId="06271158">
            <wp:extent cx="6120765" cy="3735070"/>
            <wp:effectExtent l="0" t="0" r="0" b="0"/>
            <wp:docPr id="2" name="Gra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1"/>
                    <pic:cNvPicPr>
                      <a:picLocks/>
                    </pic:cNvPicPr>
                  </pic:nvPicPr>
                  <pic:blipFill>
                    <a:blip r:embed="rId20">
                      <a:extLst>
                        <a:ext uri="{28A0092B-C50C-407E-A947-70E740481C1C}">
                          <a14:useLocalDpi xmlns:a14="http://schemas.microsoft.com/office/drawing/2010/main" val="0"/>
                        </a:ext>
                      </a:extLst>
                    </a:blip>
                    <a:srcRect l="-1518" t="-3218" r="-95" b="-832"/>
                    <a:stretch>
                      <a:fillRect/>
                    </a:stretch>
                  </pic:blipFill>
                  <pic:spPr bwMode="auto">
                    <a:xfrm>
                      <a:off x="0" y="0"/>
                      <a:ext cx="6120765" cy="3735070"/>
                    </a:xfrm>
                    <a:prstGeom prst="rect">
                      <a:avLst/>
                    </a:prstGeom>
                    <a:noFill/>
                    <a:ln>
                      <a:noFill/>
                    </a:ln>
                  </pic:spPr>
                </pic:pic>
              </a:graphicData>
            </a:graphic>
          </wp:inline>
        </w:drawing>
      </w:r>
    </w:p>
    <w:p w14:paraId="4AB8EC9D" w14:textId="77777777" w:rsidR="002607D6" w:rsidRDefault="002607D6" w:rsidP="002607D6">
      <w:pPr>
        <w:jc w:val="both"/>
        <w:rPr>
          <w:color w:val="000000"/>
        </w:rPr>
      </w:pPr>
    </w:p>
    <w:p w14:paraId="335A2245" w14:textId="77777777" w:rsidR="002607D6" w:rsidRDefault="002607D6" w:rsidP="002607D6">
      <w:pPr>
        <w:jc w:val="both"/>
        <w:rPr>
          <w:color w:val="000000"/>
        </w:rPr>
      </w:pPr>
    </w:p>
    <w:p w14:paraId="23E185BD" w14:textId="77777777" w:rsidR="002607D6" w:rsidRDefault="002607D6" w:rsidP="002607D6">
      <w:pPr>
        <w:jc w:val="both"/>
        <w:rPr>
          <w:color w:val="000000"/>
        </w:rPr>
      </w:pPr>
      <w:r w:rsidRPr="00461D39">
        <w:rPr>
          <w:color w:val="000000"/>
        </w:rPr>
        <w:t xml:space="preserve">Si </w:t>
      </w:r>
      <w:r>
        <w:rPr>
          <w:color w:val="000000"/>
        </w:rPr>
        <w:t xml:space="preserve">conferma </w:t>
      </w:r>
      <w:r w:rsidRPr="00461D39">
        <w:rPr>
          <w:color w:val="000000"/>
        </w:rPr>
        <w:t xml:space="preserve">un </w:t>
      </w:r>
      <w:r>
        <w:rPr>
          <w:color w:val="000000"/>
        </w:rPr>
        <w:t>de</w:t>
      </w:r>
      <w:r w:rsidRPr="001F2608">
        <w:t>cremento</w:t>
      </w:r>
      <w:r>
        <w:rPr>
          <w:color w:val="000000"/>
        </w:rPr>
        <w:t xml:space="preserve"> delle rendite patrimoniali legati in gran parte alla interruzione delle entrate derivanti dal contratto di locazione con il MPS Spa ed alla vertenza con una ditta agricola che ha portato a raddoppiare le rendite nel 2025 (la recente aggiudicazione del terreno agricolo ha più che recuperato le rendite inizialmente previste nel 2024). Detto decremento è </w:t>
      </w:r>
      <w:r w:rsidRPr="00461D39">
        <w:rPr>
          <w:color w:val="000000"/>
        </w:rPr>
        <w:t>riportato nella sottostante tabella:</w:t>
      </w:r>
    </w:p>
    <w:p w14:paraId="1DD460E1" w14:textId="77777777" w:rsidR="002607D6" w:rsidRDefault="002607D6" w:rsidP="002607D6">
      <w:pPr>
        <w:jc w:val="both"/>
        <w:rPr>
          <w:color w:val="000000"/>
        </w:rPr>
      </w:pPr>
    </w:p>
    <w:tbl>
      <w:tblPr>
        <w:tblW w:w="9453" w:type="dxa"/>
        <w:tblInd w:w="80" w:type="dxa"/>
        <w:tblCellMar>
          <w:left w:w="70" w:type="dxa"/>
          <w:right w:w="70" w:type="dxa"/>
        </w:tblCellMar>
        <w:tblLook w:val="04A0" w:firstRow="1" w:lastRow="0" w:firstColumn="1" w:lastColumn="0" w:noHBand="0" w:noVBand="1"/>
      </w:tblPr>
      <w:tblGrid>
        <w:gridCol w:w="3596"/>
        <w:gridCol w:w="1530"/>
        <w:gridCol w:w="1530"/>
        <w:gridCol w:w="1497"/>
        <w:gridCol w:w="1300"/>
      </w:tblGrid>
      <w:tr w:rsidR="002607D6" w14:paraId="49669EB0" w14:textId="77777777" w:rsidTr="00F0564D">
        <w:trPr>
          <w:trHeight w:val="330"/>
        </w:trPr>
        <w:tc>
          <w:tcPr>
            <w:tcW w:w="3596" w:type="dxa"/>
            <w:tcBorders>
              <w:top w:val="single" w:sz="8" w:space="0" w:color="auto"/>
              <w:left w:val="single" w:sz="8" w:space="0" w:color="auto"/>
              <w:bottom w:val="single" w:sz="8" w:space="0" w:color="auto"/>
              <w:right w:val="single" w:sz="8" w:space="0" w:color="auto"/>
            </w:tcBorders>
            <w:noWrap/>
            <w:vAlign w:val="center"/>
            <w:hideMark/>
          </w:tcPr>
          <w:p w14:paraId="77955A92" w14:textId="77777777" w:rsidR="002607D6" w:rsidRDefault="002607D6" w:rsidP="00F0564D">
            <w:pPr>
              <w:jc w:val="center"/>
              <w:rPr>
                <w:color w:val="000000"/>
              </w:rPr>
            </w:pPr>
            <w:r>
              <w:rPr>
                <w:color w:val="000000"/>
              </w:rPr>
              <w:t>Categ. 1: Rendite Patrimoniali</w:t>
            </w:r>
          </w:p>
        </w:tc>
        <w:tc>
          <w:tcPr>
            <w:tcW w:w="1530" w:type="dxa"/>
            <w:tcBorders>
              <w:top w:val="single" w:sz="8" w:space="0" w:color="auto"/>
              <w:left w:val="nil"/>
              <w:bottom w:val="single" w:sz="8" w:space="0" w:color="auto"/>
              <w:right w:val="single" w:sz="8" w:space="0" w:color="auto"/>
            </w:tcBorders>
            <w:vAlign w:val="center"/>
            <w:hideMark/>
          </w:tcPr>
          <w:p w14:paraId="37C09424" w14:textId="77777777" w:rsidR="002607D6" w:rsidRDefault="002607D6" w:rsidP="00F0564D">
            <w:pPr>
              <w:jc w:val="center"/>
              <w:rPr>
                <w:color w:val="000000"/>
              </w:rPr>
            </w:pPr>
            <w:r>
              <w:rPr>
                <w:color w:val="000000"/>
              </w:rPr>
              <w:t>2023</w:t>
            </w:r>
          </w:p>
        </w:tc>
        <w:tc>
          <w:tcPr>
            <w:tcW w:w="1530" w:type="dxa"/>
            <w:tcBorders>
              <w:top w:val="single" w:sz="8" w:space="0" w:color="auto"/>
              <w:left w:val="nil"/>
              <w:bottom w:val="single" w:sz="8" w:space="0" w:color="auto"/>
              <w:right w:val="single" w:sz="8" w:space="0" w:color="auto"/>
            </w:tcBorders>
            <w:vAlign w:val="center"/>
            <w:hideMark/>
          </w:tcPr>
          <w:p w14:paraId="720001B7" w14:textId="77777777" w:rsidR="002607D6" w:rsidRDefault="002607D6" w:rsidP="00F0564D">
            <w:pPr>
              <w:jc w:val="center"/>
              <w:rPr>
                <w:color w:val="000000"/>
              </w:rPr>
            </w:pPr>
            <w:r>
              <w:rPr>
                <w:color w:val="000000"/>
              </w:rPr>
              <w:t>2024</w:t>
            </w:r>
          </w:p>
        </w:tc>
        <w:tc>
          <w:tcPr>
            <w:tcW w:w="1497" w:type="dxa"/>
            <w:tcBorders>
              <w:top w:val="single" w:sz="8" w:space="0" w:color="auto"/>
              <w:left w:val="nil"/>
              <w:bottom w:val="single" w:sz="8" w:space="0" w:color="auto"/>
              <w:right w:val="single" w:sz="8" w:space="0" w:color="auto"/>
            </w:tcBorders>
            <w:noWrap/>
            <w:vAlign w:val="center"/>
            <w:hideMark/>
          </w:tcPr>
          <w:p w14:paraId="054EC51E" w14:textId="77777777" w:rsidR="002607D6" w:rsidRDefault="002607D6" w:rsidP="00F0564D">
            <w:pPr>
              <w:jc w:val="center"/>
              <w:rPr>
                <w:color w:val="000000"/>
              </w:rPr>
            </w:pPr>
            <w:r>
              <w:rPr>
                <w:color w:val="000000"/>
              </w:rPr>
              <w:t>var. v.a.</w:t>
            </w:r>
          </w:p>
        </w:tc>
        <w:tc>
          <w:tcPr>
            <w:tcW w:w="1300" w:type="dxa"/>
            <w:tcBorders>
              <w:top w:val="single" w:sz="8" w:space="0" w:color="auto"/>
              <w:left w:val="nil"/>
              <w:bottom w:val="single" w:sz="8" w:space="0" w:color="auto"/>
              <w:right w:val="single" w:sz="8" w:space="0" w:color="auto"/>
            </w:tcBorders>
            <w:noWrap/>
            <w:vAlign w:val="center"/>
            <w:hideMark/>
          </w:tcPr>
          <w:p w14:paraId="39ECB849" w14:textId="77777777" w:rsidR="002607D6" w:rsidRDefault="002607D6" w:rsidP="00F0564D">
            <w:pPr>
              <w:jc w:val="center"/>
              <w:rPr>
                <w:color w:val="000000"/>
              </w:rPr>
            </w:pPr>
            <w:r>
              <w:rPr>
                <w:color w:val="000000"/>
              </w:rPr>
              <w:t xml:space="preserve">var.% </w:t>
            </w:r>
          </w:p>
        </w:tc>
      </w:tr>
      <w:tr w:rsidR="002607D6" w14:paraId="74D0C9D0" w14:textId="77777777" w:rsidTr="00F0564D">
        <w:trPr>
          <w:trHeight w:val="330"/>
        </w:trPr>
        <w:tc>
          <w:tcPr>
            <w:tcW w:w="3596" w:type="dxa"/>
            <w:tcBorders>
              <w:top w:val="nil"/>
              <w:left w:val="single" w:sz="8" w:space="0" w:color="auto"/>
              <w:bottom w:val="single" w:sz="8" w:space="0" w:color="auto"/>
              <w:right w:val="single" w:sz="8" w:space="0" w:color="auto"/>
            </w:tcBorders>
            <w:noWrap/>
            <w:vAlign w:val="center"/>
            <w:hideMark/>
          </w:tcPr>
          <w:p w14:paraId="00E29B6F" w14:textId="77777777" w:rsidR="002607D6" w:rsidRDefault="002607D6" w:rsidP="00F0564D">
            <w:pPr>
              <w:rPr>
                <w:color w:val="000000"/>
              </w:rPr>
            </w:pPr>
            <w:r>
              <w:rPr>
                <w:color w:val="000000"/>
              </w:rPr>
              <w:t>Canoni Affitto Unità Poderali e varie</w:t>
            </w:r>
          </w:p>
        </w:tc>
        <w:tc>
          <w:tcPr>
            <w:tcW w:w="1530" w:type="dxa"/>
            <w:tcBorders>
              <w:top w:val="nil"/>
              <w:left w:val="nil"/>
              <w:bottom w:val="single" w:sz="8" w:space="0" w:color="auto"/>
              <w:right w:val="single" w:sz="8" w:space="0" w:color="auto"/>
            </w:tcBorders>
            <w:noWrap/>
            <w:vAlign w:val="center"/>
            <w:hideMark/>
          </w:tcPr>
          <w:p w14:paraId="1071AE78" w14:textId="77777777" w:rsidR="002607D6" w:rsidRDefault="002607D6" w:rsidP="00F0564D">
            <w:pPr>
              <w:jc w:val="right"/>
              <w:rPr>
                <w:color w:val="000000"/>
                <w:sz w:val="22"/>
                <w:szCs w:val="22"/>
              </w:rPr>
            </w:pPr>
            <w:r>
              <w:rPr>
                <w:color w:val="000000"/>
                <w:sz w:val="22"/>
                <w:szCs w:val="22"/>
              </w:rPr>
              <w:t xml:space="preserve">   339.960,97 € </w:t>
            </w:r>
          </w:p>
        </w:tc>
        <w:tc>
          <w:tcPr>
            <w:tcW w:w="1530" w:type="dxa"/>
            <w:tcBorders>
              <w:top w:val="nil"/>
              <w:left w:val="nil"/>
              <w:bottom w:val="single" w:sz="8" w:space="0" w:color="auto"/>
              <w:right w:val="single" w:sz="8" w:space="0" w:color="auto"/>
            </w:tcBorders>
            <w:noWrap/>
            <w:vAlign w:val="center"/>
            <w:hideMark/>
          </w:tcPr>
          <w:p w14:paraId="743EED76" w14:textId="77777777" w:rsidR="002607D6" w:rsidRDefault="002607D6" w:rsidP="00F0564D">
            <w:pPr>
              <w:jc w:val="right"/>
              <w:rPr>
                <w:color w:val="000000"/>
                <w:sz w:val="22"/>
                <w:szCs w:val="22"/>
              </w:rPr>
            </w:pPr>
            <w:r>
              <w:rPr>
                <w:color w:val="000000"/>
                <w:sz w:val="22"/>
                <w:szCs w:val="22"/>
              </w:rPr>
              <w:t xml:space="preserve">   318.522,66 € </w:t>
            </w:r>
          </w:p>
        </w:tc>
        <w:tc>
          <w:tcPr>
            <w:tcW w:w="1497" w:type="dxa"/>
            <w:tcBorders>
              <w:top w:val="nil"/>
              <w:left w:val="nil"/>
              <w:bottom w:val="single" w:sz="8" w:space="0" w:color="auto"/>
              <w:right w:val="single" w:sz="8" w:space="0" w:color="auto"/>
            </w:tcBorders>
            <w:noWrap/>
            <w:vAlign w:val="center"/>
            <w:hideMark/>
          </w:tcPr>
          <w:p w14:paraId="2D28B23B" w14:textId="77777777" w:rsidR="002607D6" w:rsidRDefault="002607D6" w:rsidP="00F0564D">
            <w:pPr>
              <w:jc w:val="right"/>
              <w:rPr>
                <w:color w:val="000000"/>
              </w:rPr>
            </w:pPr>
            <w:r>
              <w:rPr>
                <w:color w:val="000000"/>
              </w:rPr>
              <w:t xml:space="preserve">- 21.438,31 € </w:t>
            </w:r>
          </w:p>
        </w:tc>
        <w:tc>
          <w:tcPr>
            <w:tcW w:w="1300" w:type="dxa"/>
            <w:tcBorders>
              <w:top w:val="nil"/>
              <w:left w:val="nil"/>
              <w:bottom w:val="single" w:sz="8" w:space="0" w:color="auto"/>
              <w:right w:val="single" w:sz="8" w:space="0" w:color="auto"/>
            </w:tcBorders>
            <w:noWrap/>
            <w:vAlign w:val="center"/>
            <w:hideMark/>
          </w:tcPr>
          <w:p w14:paraId="0D4A41F3" w14:textId="77777777" w:rsidR="002607D6" w:rsidRDefault="002607D6" w:rsidP="00F0564D">
            <w:pPr>
              <w:jc w:val="right"/>
              <w:rPr>
                <w:color w:val="000000"/>
              </w:rPr>
            </w:pPr>
            <w:r>
              <w:rPr>
                <w:color w:val="000000"/>
              </w:rPr>
              <w:t>-6,31%</w:t>
            </w:r>
          </w:p>
        </w:tc>
      </w:tr>
      <w:tr w:rsidR="002607D6" w14:paraId="2822CB83" w14:textId="77777777" w:rsidTr="00F0564D">
        <w:trPr>
          <w:trHeight w:val="330"/>
        </w:trPr>
        <w:tc>
          <w:tcPr>
            <w:tcW w:w="3596" w:type="dxa"/>
            <w:tcBorders>
              <w:top w:val="nil"/>
              <w:left w:val="single" w:sz="8" w:space="0" w:color="auto"/>
              <w:bottom w:val="single" w:sz="8" w:space="0" w:color="auto"/>
              <w:right w:val="single" w:sz="8" w:space="0" w:color="auto"/>
            </w:tcBorders>
            <w:noWrap/>
            <w:vAlign w:val="center"/>
            <w:hideMark/>
          </w:tcPr>
          <w:p w14:paraId="08DB15CB" w14:textId="77777777" w:rsidR="002607D6" w:rsidRDefault="002607D6" w:rsidP="00F0564D">
            <w:pPr>
              <w:rPr>
                <w:color w:val="000000"/>
              </w:rPr>
            </w:pPr>
            <w:r>
              <w:rPr>
                <w:color w:val="000000"/>
              </w:rPr>
              <w:t>Canoni Locazione Fabbricati</w:t>
            </w:r>
          </w:p>
        </w:tc>
        <w:tc>
          <w:tcPr>
            <w:tcW w:w="1530" w:type="dxa"/>
            <w:tcBorders>
              <w:top w:val="nil"/>
              <w:left w:val="nil"/>
              <w:bottom w:val="single" w:sz="8" w:space="0" w:color="auto"/>
              <w:right w:val="single" w:sz="8" w:space="0" w:color="auto"/>
            </w:tcBorders>
            <w:noWrap/>
            <w:vAlign w:val="center"/>
            <w:hideMark/>
          </w:tcPr>
          <w:p w14:paraId="57DFCF82" w14:textId="77777777" w:rsidR="002607D6" w:rsidRDefault="002607D6" w:rsidP="00F0564D">
            <w:pPr>
              <w:jc w:val="right"/>
              <w:rPr>
                <w:color w:val="000000"/>
                <w:sz w:val="22"/>
                <w:szCs w:val="22"/>
              </w:rPr>
            </w:pPr>
            <w:r>
              <w:rPr>
                <w:color w:val="000000"/>
                <w:sz w:val="22"/>
                <w:szCs w:val="22"/>
              </w:rPr>
              <w:t xml:space="preserve">   432.656,58 € </w:t>
            </w:r>
          </w:p>
        </w:tc>
        <w:tc>
          <w:tcPr>
            <w:tcW w:w="1530" w:type="dxa"/>
            <w:tcBorders>
              <w:top w:val="nil"/>
              <w:left w:val="nil"/>
              <w:bottom w:val="single" w:sz="8" w:space="0" w:color="auto"/>
              <w:right w:val="single" w:sz="8" w:space="0" w:color="auto"/>
            </w:tcBorders>
            <w:noWrap/>
            <w:vAlign w:val="center"/>
            <w:hideMark/>
          </w:tcPr>
          <w:p w14:paraId="402881FF" w14:textId="77777777" w:rsidR="002607D6" w:rsidRDefault="002607D6" w:rsidP="00F0564D">
            <w:pPr>
              <w:jc w:val="right"/>
              <w:rPr>
                <w:color w:val="000000"/>
                <w:sz w:val="22"/>
                <w:szCs w:val="22"/>
              </w:rPr>
            </w:pPr>
            <w:r>
              <w:rPr>
                <w:color w:val="000000"/>
                <w:sz w:val="22"/>
                <w:szCs w:val="22"/>
              </w:rPr>
              <w:t xml:space="preserve">   429.920,87 € </w:t>
            </w:r>
          </w:p>
        </w:tc>
        <w:tc>
          <w:tcPr>
            <w:tcW w:w="1497" w:type="dxa"/>
            <w:tcBorders>
              <w:top w:val="nil"/>
              <w:left w:val="nil"/>
              <w:bottom w:val="single" w:sz="8" w:space="0" w:color="auto"/>
              <w:right w:val="single" w:sz="8" w:space="0" w:color="auto"/>
            </w:tcBorders>
            <w:noWrap/>
            <w:vAlign w:val="center"/>
            <w:hideMark/>
          </w:tcPr>
          <w:p w14:paraId="6D0FF052" w14:textId="77777777" w:rsidR="002607D6" w:rsidRDefault="002607D6" w:rsidP="00F0564D">
            <w:pPr>
              <w:jc w:val="right"/>
              <w:rPr>
                <w:color w:val="000000"/>
              </w:rPr>
            </w:pPr>
            <w:r>
              <w:rPr>
                <w:color w:val="000000"/>
              </w:rPr>
              <w:t xml:space="preserve">-   2.735,71 € </w:t>
            </w:r>
          </w:p>
        </w:tc>
        <w:tc>
          <w:tcPr>
            <w:tcW w:w="1300" w:type="dxa"/>
            <w:tcBorders>
              <w:top w:val="nil"/>
              <w:left w:val="nil"/>
              <w:bottom w:val="single" w:sz="8" w:space="0" w:color="auto"/>
              <w:right w:val="single" w:sz="8" w:space="0" w:color="auto"/>
            </w:tcBorders>
            <w:noWrap/>
            <w:vAlign w:val="center"/>
            <w:hideMark/>
          </w:tcPr>
          <w:p w14:paraId="17836E15" w14:textId="77777777" w:rsidR="002607D6" w:rsidRDefault="002607D6" w:rsidP="00F0564D">
            <w:pPr>
              <w:jc w:val="right"/>
              <w:rPr>
                <w:color w:val="000000"/>
              </w:rPr>
            </w:pPr>
            <w:r>
              <w:rPr>
                <w:color w:val="000000"/>
              </w:rPr>
              <w:t>-0,63%</w:t>
            </w:r>
          </w:p>
        </w:tc>
      </w:tr>
      <w:tr w:rsidR="002607D6" w14:paraId="68A22A77" w14:textId="77777777" w:rsidTr="00F0564D">
        <w:trPr>
          <w:trHeight w:val="330"/>
        </w:trPr>
        <w:tc>
          <w:tcPr>
            <w:tcW w:w="3596" w:type="dxa"/>
            <w:tcBorders>
              <w:top w:val="nil"/>
              <w:left w:val="single" w:sz="8" w:space="0" w:color="auto"/>
              <w:bottom w:val="single" w:sz="8" w:space="0" w:color="auto"/>
              <w:right w:val="single" w:sz="8" w:space="0" w:color="auto"/>
            </w:tcBorders>
            <w:noWrap/>
            <w:vAlign w:val="center"/>
            <w:hideMark/>
          </w:tcPr>
          <w:p w14:paraId="59E616B0" w14:textId="77777777" w:rsidR="002607D6" w:rsidRDefault="002607D6" w:rsidP="00F0564D">
            <w:pPr>
              <w:rPr>
                <w:color w:val="000000"/>
              </w:rPr>
            </w:pPr>
            <w:r>
              <w:rPr>
                <w:color w:val="000000"/>
              </w:rPr>
              <w:t>Totale</w:t>
            </w:r>
          </w:p>
        </w:tc>
        <w:tc>
          <w:tcPr>
            <w:tcW w:w="1530" w:type="dxa"/>
            <w:tcBorders>
              <w:top w:val="nil"/>
              <w:left w:val="nil"/>
              <w:bottom w:val="single" w:sz="8" w:space="0" w:color="auto"/>
              <w:right w:val="single" w:sz="8" w:space="0" w:color="auto"/>
            </w:tcBorders>
            <w:noWrap/>
            <w:vAlign w:val="bottom"/>
            <w:hideMark/>
          </w:tcPr>
          <w:p w14:paraId="6B013D52" w14:textId="77777777" w:rsidR="002607D6" w:rsidRDefault="002607D6" w:rsidP="00F0564D">
            <w:pPr>
              <w:rPr>
                <w:sz w:val="20"/>
                <w:szCs w:val="20"/>
              </w:rPr>
            </w:pPr>
            <w:r>
              <w:rPr>
                <w:sz w:val="20"/>
                <w:szCs w:val="20"/>
              </w:rPr>
              <w:t xml:space="preserve">         774.640,55 € </w:t>
            </w:r>
          </w:p>
        </w:tc>
        <w:tc>
          <w:tcPr>
            <w:tcW w:w="1530" w:type="dxa"/>
            <w:tcBorders>
              <w:top w:val="nil"/>
              <w:left w:val="nil"/>
              <w:bottom w:val="single" w:sz="8" w:space="0" w:color="auto"/>
              <w:right w:val="single" w:sz="8" w:space="0" w:color="auto"/>
            </w:tcBorders>
            <w:noWrap/>
            <w:vAlign w:val="bottom"/>
            <w:hideMark/>
          </w:tcPr>
          <w:p w14:paraId="299A5565" w14:textId="77777777" w:rsidR="002607D6" w:rsidRDefault="002607D6" w:rsidP="00F0564D">
            <w:pPr>
              <w:rPr>
                <w:sz w:val="20"/>
                <w:szCs w:val="20"/>
              </w:rPr>
            </w:pPr>
            <w:r>
              <w:rPr>
                <w:sz w:val="20"/>
                <w:szCs w:val="20"/>
              </w:rPr>
              <w:t xml:space="preserve">         750.467,53 € </w:t>
            </w:r>
          </w:p>
        </w:tc>
        <w:tc>
          <w:tcPr>
            <w:tcW w:w="1497" w:type="dxa"/>
            <w:tcBorders>
              <w:top w:val="nil"/>
              <w:left w:val="nil"/>
              <w:bottom w:val="single" w:sz="8" w:space="0" w:color="auto"/>
              <w:right w:val="single" w:sz="8" w:space="0" w:color="auto"/>
            </w:tcBorders>
            <w:noWrap/>
            <w:vAlign w:val="bottom"/>
            <w:hideMark/>
          </w:tcPr>
          <w:p w14:paraId="20CADF08" w14:textId="77777777" w:rsidR="002607D6" w:rsidRDefault="002607D6" w:rsidP="00F0564D">
            <w:pPr>
              <w:rPr>
                <w:sz w:val="20"/>
                <w:szCs w:val="20"/>
              </w:rPr>
            </w:pPr>
            <w:r>
              <w:rPr>
                <w:sz w:val="20"/>
                <w:szCs w:val="20"/>
              </w:rPr>
              <w:t xml:space="preserve">-         24.174,02 € </w:t>
            </w:r>
          </w:p>
        </w:tc>
        <w:tc>
          <w:tcPr>
            <w:tcW w:w="1300" w:type="dxa"/>
            <w:tcBorders>
              <w:top w:val="nil"/>
              <w:left w:val="nil"/>
              <w:bottom w:val="single" w:sz="8" w:space="0" w:color="auto"/>
              <w:right w:val="single" w:sz="8" w:space="0" w:color="auto"/>
            </w:tcBorders>
            <w:noWrap/>
            <w:vAlign w:val="center"/>
            <w:hideMark/>
          </w:tcPr>
          <w:p w14:paraId="21DAF97E" w14:textId="77777777" w:rsidR="002607D6" w:rsidRDefault="002607D6" w:rsidP="00F0564D">
            <w:pPr>
              <w:jc w:val="right"/>
              <w:rPr>
                <w:color w:val="000000"/>
              </w:rPr>
            </w:pPr>
            <w:r>
              <w:rPr>
                <w:color w:val="000000"/>
              </w:rPr>
              <w:t>-3,12%</w:t>
            </w:r>
          </w:p>
        </w:tc>
      </w:tr>
    </w:tbl>
    <w:p w14:paraId="30441350" w14:textId="77777777" w:rsidR="002607D6" w:rsidRDefault="002607D6" w:rsidP="002607D6">
      <w:pPr>
        <w:jc w:val="both"/>
        <w:rPr>
          <w:color w:val="000000"/>
        </w:rPr>
      </w:pPr>
    </w:p>
    <w:p w14:paraId="3EA5B61C" w14:textId="77777777" w:rsidR="002607D6" w:rsidRDefault="002607D6" w:rsidP="002607D6">
      <w:pPr>
        <w:jc w:val="both"/>
      </w:pPr>
      <w:r w:rsidRPr="0004781B">
        <w:t>Dato anni precedenti:</w:t>
      </w:r>
    </w:p>
    <w:tbl>
      <w:tblPr>
        <w:tblW w:w="8860" w:type="dxa"/>
        <w:tblInd w:w="75" w:type="dxa"/>
        <w:tblCellMar>
          <w:left w:w="70" w:type="dxa"/>
          <w:right w:w="70" w:type="dxa"/>
        </w:tblCellMar>
        <w:tblLook w:val="04A0" w:firstRow="1" w:lastRow="0" w:firstColumn="1" w:lastColumn="0" w:noHBand="0" w:noVBand="1"/>
      </w:tblPr>
      <w:tblGrid>
        <w:gridCol w:w="3420"/>
        <w:gridCol w:w="1360"/>
        <w:gridCol w:w="1360"/>
        <w:gridCol w:w="1360"/>
        <w:gridCol w:w="1360"/>
      </w:tblGrid>
      <w:tr w:rsidR="002607D6" w14:paraId="342F83F2" w14:textId="77777777" w:rsidTr="00F0564D">
        <w:trPr>
          <w:trHeight w:val="300"/>
        </w:trPr>
        <w:tc>
          <w:tcPr>
            <w:tcW w:w="3420" w:type="dxa"/>
            <w:tcBorders>
              <w:top w:val="single" w:sz="4" w:space="0" w:color="auto"/>
              <w:left w:val="single" w:sz="4" w:space="0" w:color="auto"/>
              <w:bottom w:val="single" w:sz="4" w:space="0" w:color="auto"/>
              <w:right w:val="single" w:sz="4" w:space="0" w:color="auto"/>
            </w:tcBorders>
            <w:noWrap/>
            <w:vAlign w:val="bottom"/>
            <w:hideMark/>
          </w:tcPr>
          <w:p w14:paraId="76482609" w14:textId="77777777" w:rsidR="002607D6" w:rsidRDefault="002607D6" w:rsidP="00F0564D">
            <w:pPr>
              <w:jc w:val="center"/>
              <w:rPr>
                <w:color w:val="000000"/>
                <w:sz w:val="22"/>
                <w:szCs w:val="22"/>
              </w:rPr>
            </w:pPr>
            <w:r>
              <w:rPr>
                <w:color w:val="000000"/>
                <w:sz w:val="22"/>
                <w:szCs w:val="22"/>
              </w:rPr>
              <w:t>Categ. 1: Rendite Patrimoniali</w:t>
            </w:r>
          </w:p>
        </w:tc>
        <w:tc>
          <w:tcPr>
            <w:tcW w:w="1360" w:type="dxa"/>
            <w:tcBorders>
              <w:top w:val="single" w:sz="4" w:space="0" w:color="auto"/>
              <w:left w:val="nil"/>
              <w:bottom w:val="single" w:sz="4" w:space="0" w:color="auto"/>
              <w:right w:val="single" w:sz="4" w:space="0" w:color="auto"/>
            </w:tcBorders>
            <w:vAlign w:val="center"/>
            <w:hideMark/>
          </w:tcPr>
          <w:p w14:paraId="48E82D9E" w14:textId="77777777" w:rsidR="002607D6" w:rsidRDefault="002607D6" w:rsidP="00F0564D">
            <w:pPr>
              <w:jc w:val="center"/>
              <w:rPr>
                <w:color w:val="000000"/>
                <w:sz w:val="22"/>
                <w:szCs w:val="22"/>
              </w:rPr>
            </w:pPr>
            <w:r>
              <w:rPr>
                <w:color w:val="000000"/>
                <w:sz w:val="22"/>
                <w:szCs w:val="22"/>
              </w:rPr>
              <w:t>2019</w:t>
            </w:r>
          </w:p>
        </w:tc>
        <w:tc>
          <w:tcPr>
            <w:tcW w:w="1360" w:type="dxa"/>
            <w:tcBorders>
              <w:top w:val="single" w:sz="4" w:space="0" w:color="auto"/>
              <w:left w:val="nil"/>
              <w:bottom w:val="single" w:sz="4" w:space="0" w:color="auto"/>
              <w:right w:val="single" w:sz="4" w:space="0" w:color="auto"/>
            </w:tcBorders>
            <w:vAlign w:val="center"/>
            <w:hideMark/>
          </w:tcPr>
          <w:p w14:paraId="0E2AD41A" w14:textId="77777777" w:rsidR="002607D6" w:rsidRDefault="002607D6" w:rsidP="00F0564D">
            <w:pPr>
              <w:jc w:val="center"/>
              <w:rPr>
                <w:color w:val="000000"/>
                <w:sz w:val="22"/>
                <w:szCs w:val="22"/>
              </w:rPr>
            </w:pPr>
            <w:r>
              <w:rPr>
                <w:color w:val="000000"/>
                <w:sz w:val="22"/>
                <w:szCs w:val="22"/>
              </w:rPr>
              <w:t>2020</w:t>
            </w:r>
          </w:p>
        </w:tc>
        <w:tc>
          <w:tcPr>
            <w:tcW w:w="1360" w:type="dxa"/>
            <w:tcBorders>
              <w:top w:val="single" w:sz="4" w:space="0" w:color="auto"/>
              <w:left w:val="nil"/>
              <w:bottom w:val="single" w:sz="4" w:space="0" w:color="auto"/>
              <w:right w:val="single" w:sz="4" w:space="0" w:color="auto"/>
            </w:tcBorders>
            <w:vAlign w:val="center"/>
            <w:hideMark/>
          </w:tcPr>
          <w:p w14:paraId="1C17AAC9" w14:textId="77777777" w:rsidR="002607D6" w:rsidRDefault="002607D6" w:rsidP="00F0564D">
            <w:pPr>
              <w:jc w:val="center"/>
              <w:rPr>
                <w:color w:val="000000"/>
                <w:sz w:val="22"/>
                <w:szCs w:val="22"/>
              </w:rPr>
            </w:pPr>
            <w:r>
              <w:rPr>
                <w:color w:val="000000"/>
                <w:sz w:val="22"/>
                <w:szCs w:val="22"/>
              </w:rPr>
              <w:t>2021</w:t>
            </w:r>
          </w:p>
        </w:tc>
        <w:tc>
          <w:tcPr>
            <w:tcW w:w="1360" w:type="dxa"/>
            <w:tcBorders>
              <w:top w:val="single" w:sz="4" w:space="0" w:color="auto"/>
              <w:left w:val="nil"/>
              <w:bottom w:val="single" w:sz="4" w:space="0" w:color="auto"/>
              <w:right w:val="single" w:sz="4" w:space="0" w:color="auto"/>
            </w:tcBorders>
            <w:vAlign w:val="center"/>
            <w:hideMark/>
          </w:tcPr>
          <w:p w14:paraId="52FFA37B" w14:textId="77777777" w:rsidR="002607D6" w:rsidRDefault="002607D6" w:rsidP="00F0564D">
            <w:pPr>
              <w:jc w:val="center"/>
              <w:rPr>
                <w:color w:val="000000"/>
                <w:sz w:val="22"/>
                <w:szCs w:val="22"/>
              </w:rPr>
            </w:pPr>
            <w:r>
              <w:rPr>
                <w:color w:val="000000"/>
                <w:sz w:val="22"/>
                <w:szCs w:val="22"/>
              </w:rPr>
              <w:t>2022</w:t>
            </w:r>
          </w:p>
        </w:tc>
      </w:tr>
      <w:tr w:rsidR="002607D6" w14:paraId="4279A572" w14:textId="77777777" w:rsidTr="00F0564D">
        <w:trPr>
          <w:trHeight w:val="300"/>
        </w:trPr>
        <w:tc>
          <w:tcPr>
            <w:tcW w:w="3420" w:type="dxa"/>
            <w:tcBorders>
              <w:top w:val="nil"/>
              <w:left w:val="single" w:sz="4" w:space="0" w:color="auto"/>
              <w:bottom w:val="single" w:sz="4" w:space="0" w:color="auto"/>
              <w:right w:val="single" w:sz="4" w:space="0" w:color="auto"/>
            </w:tcBorders>
            <w:noWrap/>
            <w:vAlign w:val="bottom"/>
            <w:hideMark/>
          </w:tcPr>
          <w:p w14:paraId="1DE5A1B9" w14:textId="77777777" w:rsidR="002607D6" w:rsidRDefault="002607D6" w:rsidP="00F0564D">
            <w:pPr>
              <w:rPr>
                <w:color w:val="000000"/>
                <w:sz w:val="22"/>
                <w:szCs w:val="22"/>
              </w:rPr>
            </w:pPr>
            <w:r>
              <w:rPr>
                <w:color w:val="000000"/>
                <w:sz w:val="22"/>
                <w:szCs w:val="22"/>
              </w:rPr>
              <w:t>Canoni Affitto Unità Poderali e varie</w:t>
            </w:r>
          </w:p>
        </w:tc>
        <w:tc>
          <w:tcPr>
            <w:tcW w:w="1360" w:type="dxa"/>
            <w:tcBorders>
              <w:top w:val="nil"/>
              <w:left w:val="nil"/>
              <w:bottom w:val="single" w:sz="4" w:space="0" w:color="auto"/>
              <w:right w:val="single" w:sz="4" w:space="0" w:color="auto"/>
            </w:tcBorders>
            <w:noWrap/>
            <w:vAlign w:val="center"/>
            <w:hideMark/>
          </w:tcPr>
          <w:p w14:paraId="0D7A02A3" w14:textId="77777777" w:rsidR="002607D6" w:rsidRDefault="002607D6" w:rsidP="00F0564D">
            <w:pPr>
              <w:jc w:val="right"/>
              <w:rPr>
                <w:color w:val="000000"/>
                <w:sz w:val="22"/>
                <w:szCs w:val="22"/>
              </w:rPr>
            </w:pPr>
            <w:r>
              <w:rPr>
                <w:color w:val="000000"/>
                <w:sz w:val="22"/>
                <w:szCs w:val="22"/>
              </w:rPr>
              <w:t>320.299,07</w:t>
            </w:r>
          </w:p>
        </w:tc>
        <w:tc>
          <w:tcPr>
            <w:tcW w:w="1360" w:type="dxa"/>
            <w:tcBorders>
              <w:top w:val="nil"/>
              <w:left w:val="nil"/>
              <w:bottom w:val="single" w:sz="4" w:space="0" w:color="auto"/>
              <w:right w:val="single" w:sz="4" w:space="0" w:color="auto"/>
            </w:tcBorders>
            <w:noWrap/>
            <w:vAlign w:val="center"/>
            <w:hideMark/>
          </w:tcPr>
          <w:p w14:paraId="1CC3E52F" w14:textId="77777777" w:rsidR="002607D6" w:rsidRDefault="002607D6" w:rsidP="00F0564D">
            <w:pPr>
              <w:jc w:val="right"/>
              <w:rPr>
                <w:color w:val="000000"/>
                <w:sz w:val="22"/>
                <w:szCs w:val="22"/>
              </w:rPr>
            </w:pPr>
            <w:r>
              <w:rPr>
                <w:color w:val="000000"/>
                <w:sz w:val="22"/>
                <w:szCs w:val="22"/>
              </w:rPr>
              <w:t>325.433,95</w:t>
            </w:r>
          </w:p>
        </w:tc>
        <w:tc>
          <w:tcPr>
            <w:tcW w:w="1360" w:type="dxa"/>
            <w:tcBorders>
              <w:top w:val="nil"/>
              <w:left w:val="nil"/>
              <w:bottom w:val="single" w:sz="4" w:space="0" w:color="auto"/>
              <w:right w:val="single" w:sz="4" w:space="0" w:color="auto"/>
            </w:tcBorders>
            <w:noWrap/>
            <w:vAlign w:val="center"/>
            <w:hideMark/>
          </w:tcPr>
          <w:p w14:paraId="223BF7DF" w14:textId="77777777" w:rsidR="002607D6" w:rsidRDefault="002607D6" w:rsidP="00F0564D">
            <w:pPr>
              <w:jc w:val="right"/>
              <w:rPr>
                <w:color w:val="000000"/>
                <w:sz w:val="22"/>
                <w:szCs w:val="22"/>
              </w:rPr>
            </w:pPr>
            <w:r>
              <w:rPr>
                <w:color w:val="000000"/>
                <w:sz w:val="22"/>
                <w:szCs w:val="22"/>
              </w:rPr>
              <w:t>306.274,57</w:t>
            </w:r>
          </w:p>
        </w:tc>
        <w:tc>
          <w:tcPr>
            <w:tcW w:w="1360" w:type="dxa"/>
            <w:tcBorders>
              <w:top w:val="nil"/>
              <w:left w:val="nil"/>
              <w:bottom w:val="single" w:sz="4" w:space="0" w:color="auto"/>
              <w:right w:val="single" w:sz="4" w:space="0" w:color="auto"/>
            </w:tcBorders>
            <w:noWrap/>
            <w:vAlign w:val="center"/>
            <w:hideMark/>
          </w:tcPr>
          <w:p w14:paraId="71A0D789" w14:textId="77777777" w:rsidR="002607D6" w:rsidRDefault="002607D6" w:rsidP="00F0564D">
            <w:pPr>
              <w:jc w:val="right"/>
              <w:rPr>
                <w:color w:val="000000"/>
                <w:sz w:val="22"/>
                <w:szCs w:val="22"/>
              </w:rPr>
            </w:pPr>
            <w:r>
              <w:rPr>
                <w:color w:val="000000"/>
                <w:sz w:val="22"/>
                <w:szCs w:val="22"/>
              </w:rPr>
              <w:t>330.640,10</w:t>
            </w:r>
          </w:p>
        </w:tc>
      </w:tr>
      <w:tr w:rsidR="002607D6" w14:paraId="74E143D8" w14:textId="77777777" w:rsidTr="00F0564D">
        <w:trPr>
          <w:trHeight w:val="300"/>
        </w:trPr>
        <w:tc>
          <w:tcPr>
            <w:tcW w:w="3420" w:type="dxa"/>
            <w:tcBorders>
              <w:top w:val="nil"/>
              <w:left w:val="single" w:sz="4" w:space="0" w:color="auto"/>
              <w:bottom w:val="single" w:sz="4" w:space="0" w:color="auto"/>
              <w:right w:val="single" w:sz="4" w:space="0" w:color="auto"/>
            </w:tcBorders>
            <w:noWrap/>
            <w:vAlign w:val="bottom"/>
            <w:hideMark/>
          </w:tcPr>
          <w:p w14:paraId="4FCCD7DC" w14:textId="77777777" w:rsidR="002607D6" w:rsidRDefault="002607D6" w:rsidP="00F0564D">
            <w:pPr>
              <w:rPr>
                <w:color w:val="000000"/>
                <w:sz w:val="22"/>
                <w:szCs w:val="22"/>
              </w:rPr>
            </w:pPr>
            <w:r>
              <w:rPr>
                <w:color w:val="000000"/>
                <w:sz w:val="22"/>
                <w:szCs w:val="22"/>
              </w:rPr>
              <w:lastRenderedPageBreak/>
              <w:t xml:space="preserve">Canoni Locazione </w:t>
            </w:r>
            <w:proofErr w:type="spellStart"/>
            <w:r>
              <w:rPr>
                <w:color w:val="000000"/>
                <w:sz w:val="22"/>
                <w:szCs w:val="22"/>
              </w:rPr>
              <w:t>Fabbbricati</w:t>
            </w:r>
            <w:proofErr w:type="spellEnd"/>
          </w:p>
        </w:tc>
        <w:tc>
          <w:tcPr>
            <w:tcW w:w="1360" w:type="dxa"/>
            <w:tcBorders>
              <w:top w:val="nil"/>
              <w:left w:val="nil"/>
              <w:bottom w:val="single" w:sz="4" w:space="0" w:color="auto"/>
              <w:right w:val="single" w:sz="4" w:space="0" w:color="auto"/>
            </w:tcBorders>
            <w:noWrap/>
            <w:vAlign w:val="center"/>
            <w:hideMark/>
          </w:tcPr>
          <w:p w14:paraId="0081FDC6" w14:textId="77777777" w:rsidR="002607D6" w:rsidRDefault="002607D6" w:rsidP="00F0564D">
            <w:pPr>
              <w:jc w:val="right"/>
              <w:rPr>
                <w:color w:val="000000"/>
                <w:sz w:val="22"/>
                <w:szCs w:val="22"/>
              </w:rPr>
            </w:pPr>
            <w:r>
              <w:rPr>
                <w:color w:val="000000"/>
                <w:sz w:val="22"/>
                <w:szCs w:val="22"/>
              </w:rPr>
              <w:t>329.738,93</w:t>
            </w:r>
          </w:p>
        </w:tc>
        <w:tc>
          <w:tcPr>
            <w:tcW w:w="1360" w:type="dxa"/>
            <w:tcBorders>
              <w:top w:val="nil"/>
              <w:left w:val="nil"/>
              <w:bottom w:val="single" w:sz="4" w:space="0" w:color="auto"/>
              <w:right w:val="single" w:sz="4" w:space="0" w:color="auto"/>
            </w:tcBorders>
            <w:noWrap/>
            <w:vAlign w:val="center"/>
            <w:hideMark/>
          </w:tcPr>
          <w:p w14:paraId="15F14928" w14:textId="77777777" w:rsidR="002607D6" w:rsidRDefault="002607D6" w:rsidP="00F0564D">
            <w:pPr>
              <w:jc w:val="right"/>
              <w:rPr>
                <w:color w:val="000000"/>
                <w:sz w:val="22"/>
                <w:szCs w:val="22"/>
              </w:rPr>
            </w:pPr>
            <w:r>
              <w:rPr>
                <w:color w:val="000000"/>
                <w:sz w:val="22"/>
                <w:szCs w:val="22"/>
              </w:rPr>
              <w:t>312.942,26</w:t>
            </w:r>
          </w:p>
        </w:tc>
        <w:tc>
          <w:tcPr>
            <w:tcW w:w="1360" w:type="dxa"/>
            <w:tcBorders>
              <w:top w:val="nil"/>
              <w:left w:val="nil"/>
              <w:bottom w:val="single" w:sz="4" w:space="0" w:color="auto"/>
              <w:right w:val="single" w:sz="4" w:space="0" w:color="auto"/>
            </w:tcBorders>
            <w:noWrap/>
            <w:vAlign w:val="center"/>
            <w:hideMark/>
          </w:tcPr>
          <w:p w14:paraId="64904E29" w14:textId="77777777" w:rsidR="002607D6" w:rsidRDefault="002607D6" w:rsidP="00F0564D">
            <w:pPr>
              <w:jc w:val="right"/>
              <w:rPr>
                <w:color w:val="000000"/>
                <w:sz w:val="22"/>
                <w:szCs w:val="22"/>
              </w:rPr>
            </w:pPr>
            <w:r>
              <w:rPr>
                <w:color w:val="000000"/>
                <w:sz w:val="22"/>
                <w:szCs w:val="22"/>
              </w:rPr>
              <w:t>359.496,42</w:t>
            </w:r>
          </w:p>
        </w:tc>
        <w:tc>
          <w:tcPr>
            <w:tcW w:w="1360" w:type="dxa"/>
            <w:tcBorders>
              <w:top w:val="nil"/>
              <w:left w:val="nil"/>
              <w:bottom w:val="single" w:sz="4" w:space="0" w:color="auto"/>
              <w:right w:val="single" w:sz="4" w:space="0" w:color="auto"/>
            </w:tcBorders>
            <w:noWrap/>
            <w:vAlign w:val="center"/>
            <w:hideMark/>
          </w:tcPr>
          <w:p w14:paraId="0F135CF1" w14:textId="77777777" w:rsidR="002607D6" w:rsidRDefault="002607D6" w:rsidP="00F0564D">
            <w:pPr>
              <w:jc w:val="right"/>
              <w:rPr>
                <w:color w:val="000000"/>
                <w:sz w:val="22"/>
                <w:szCs w:val="22"/>
              </w:rPr>
            </w:pPr>
            <w:r>
              <w:rPr>
                <w:color w:val="000000"/>
                <w:sz w:val="22"/>
                <w:szCs w:val="22"/>
              </w:rPr>
              <w:t>372.647,06</w:t>
            </w:r>
          </w:p>
        </w:tc>
      </w:tr>
      <w:tr w:rsidR="002607D6" w14:paraId="0F211CA1" w14:textId="77777777" w:rsidTr="00F0564D">
        <w:trPr>
          <w:trHeight w:val="300"/>
        </w:trPr>
        <w:tc>
          <w:tcPr>
            <w:tcW w:w="3420" w:type="dxa"/>
            <w:tcBorders>
              <w:top w:val="nil"/>
              <w:left w:val="single" w:sz="4" w:space="0" w:color="auto"/>
              <w:bottom w:val="single" w:sz="4" w:space="0" w:color="auto"/>
              <w:right w:val="single" w:sz="4" w:space="0" w:color="auto"/>
            </w:tcBorders>
            <w:noWrap/>
            <w:vAlign w:val="bottom"/>
            <w:hideMark/>
          </w:tcPr>
          <w:p w14:paraId="00F49B73" w14:textId="77777777" w:rsidR="002607D6" w:rsidRDefault="002607D6" w:rsidP="00F0564D">
            <w:pPr>
              <w:rPr>
                <w:sz w:val="22"/>
                <w:szCs w:val="22"/>
              </w:rPr>
            </w:pPr>
            <w:r>
              <w:rPr>
                <w:sz w:val="22"/>
                <w:szCs w:val="22"/>
              </w:rPr>
              <w:t>Totale</w:t>
            </w:r>
          </w:p>
        </w:tc>
        <w:tc>
          <w:tcPr>
            <w:tcW w:w="1360" w:type="dxa"/>
            <w:tcBorders>
              <w:top w:val="nil"/>
              <w:left w:val="nil"/>
              <w:bottom w:val="single" w:sz="4" w:space="0" w:color="auto"/>
              <w:right w:val="single" w:sz="4" w:space="0" w:color="auto"/>
            </w:tcBorders>
            <w:noWrap/>
            <w:vAlign w:val="bottom"/>
            <w:hideMark/>
          </w:tcPr>
          <w:p w14:paraId="42FC467F" w14:textId="77777777" w:rsidR="002607D6" w:rsidRDefault="002607D6" w:rsidP="00F0564D">
            <w:pPr>
              <w:jc w:val="right"/>
              <w:rPr>
                <w:sz w:val="22"/>
                <w:szCs w:val="22"/>
              </w:rPr>
            </w:pPr>
            <w:r>
              <w:rPr>
                <w:sz w:val="22"/>
                <w:szCs w:val="22"/>
              </w:rPr>
              <w:t>650.038,00</w:t>
            </w:r>
          </w:p>
        </w:tc>
        <w:tc>
          <w:tcPr>
            <w:tcW w:w="1360" w:type="dxa"/>
            <w:tcBorders>
              <w:top w:val="nil"/>
              <w:left w:val="nil"/>
              <w:bottom w:val="single" w:sz="4" w:space="0" w:color="auto"/>
              <w:right w:val="single" w:sz="4" w:space="0" w:color="auto"/>
            </w:tcBorders>
            <w:noWrap/>
            <w:vAlign w:val="bottom"/>
            <w:hideMark/>
          </w:tcPr>
          <w:p w14:paraId="6329470F" w14:textId="77777777" w:rsidR="002607D6" w:rsidRDefault="002607D6" w:rsidP="00F0564D">
            <w:pPr>
              <w:jc w:val="right"/>
              <w:rPr>
                <w:sz w:val="22"/>
                <w:szCs w:val="22"/>
              </w:rPr>
            </w:pPr>
            <w:r>
              <w:rPr>
                <w:sz w:val="22"/>
                <w:szCs w:val="22"/>
              </w:rPr>
              <w:t>638.376,21</w:t>
            </w:r>
          </w:p>
        </w:tc>
        <w:tc>
          <w:tcPr>
            <w:tcW w:w="1360" w:type="dxa"/>
            <w:tcBorders>
              <w:top w:val="nil"/>
              <w:left w:val="nil"/>
              <w:bottom w:val="single" w:sz="4" w:space="0" w:color="auto"/>
              <w:right w:val="single" w:sz="4" w:space="0" w:color="auto"/>
            </w:tcBorders>
            <w:noWrap/>
            <w:vAlign w:val="bottom"/>
            <w:hideMark/>
          </w:tcPr>
          <w:p w14:paraId="4197F659" w14:textId="77777777" w:rsidR="002607D6" w:rsidRDefault="002607D6" w:rsidP="00F0564D">
            <w:pPr>
              <w:jc w:val="right"/>
              <w:rPr>
                <w:sz w:val="22"/>
                <w:szCs w:val="22"/>
              </w:rPr>
            </w:pPr>
            <w:r>
              <w:rPr>
                <w:sz w:val="22"/>
                <w:szCs w:val="22"/>
              </w:rPr>
              <w:t>665.770,99</w:t>
            </w:r>
          </w:p>
        </w:tc>
        <w:tc>
          <w:tcPr>
            <w:tcW w:w="1360" w:type="dxa"/>
            <w:tcBorders>
              <w:top w:val="nil"/>
              <w:left w:val="nil"/>
              <w:bottom w:val="single" w:sz="4" w:space="0" w:color="auto"/>
              <w:right w:val="single" w:sz="4" w:space="0" w:color="auto"/>
            </w:tcBorders>
            <w:noWrap/>
            <w:vAlign w:val="bottom"/>
            <w:hideMark/>
          </w:tcPr>
          <w:p w14:paraId="7DD27D62" w14:textId="77777777" w:rsidR="002607D6" w:rsidRDefault="002607D6" w:rsidP="00F0564D">
            <w:pPr>
              <w:jc w:val="right"/>
              <w:rPr>
                <w:sz w:val="22"/>
                <w:szCs w:val="22"/>
              </w:rPr>
            </w:pPr>
            <w:r>
              <w:rPr>
                <w:sz w:val="22"/>
                <w:szCs w:val="22"/>
              </w:rPr>
              <w:t>703.287,16</w:t>
            </w:r>
          </w:p>
        </w:tc>
      </w:tr>
    </w:tbl>
    <w:p w14:paraId="04540211" w14:textId="77777777" w:rsidR="002607D6" w:rsidRPr="0004781B" w:rsidRDefault="002607D6" w:rsidP="002607D6">
      <w:pPr>
        <w:jc w:val="both"/>
      </w:pPr>
    </w:p>
    <w:p w14:paraId="30ACD7CB" w14:textId="6B5BACC8" w:rsidR="002607D6" w:rsidRDefault="002607D6" w:rsidP="002607D6">
      <w:pPr>
        <w:jc w:val="both"/>
      </w:pPr>
      <w:r w:rsidRPr="00461D39">
        <w:t xml:space="preserve">Gli interessi attivi sono stati accertati </w:t>
      </w:r>
      <w:r>
        <w:t xml:space="preserve">nella somma </w:t>
      </w:r>
      <w:r w:rsidRPr="00461D39">
        <w:t>di</w:t>
      </w:r>
      <w:r>
        <w:t xml:space="preserve"> Euro 22.787,43 oltre il doppio rispetto all’esercizio precedente di Euro 10.143,09 </w:t>
      </w:r>
      <w:r w:rsidRPr="00461D39">
        <w:t>(</w:t>
      </w:r>
      <w:r>
        <w:t>contro Euro 1.229,82</w:t>
      </w:r>
      <w:r w:rsidRPr="00461D39">
        <w:t xml:space="preserve"> </w:t>
      </w:r>
      <w:r>
        <w:t xml:space="preserve">nel 2022, Euro 268,82 nel 2021 </w:t>
      </w:r>
      <w:r w:rsidRPr="00461D39">
        <w:t>contro</w:t>
      </w:r>
      <w:r>
        <w:t xml:space="preserve"> Euro </w:t>
      </w:r>
      <w:r w:rsidRPr="00461D39">
        <w:t>1.</w:t>
      </w:r>
      <w:r>
        <w:t>342</w:t>
      </w:r>
      <w:r w:rsidRPr="00461D39">
        <w:t>,</w:t>
      </w:r>
      <w:r>
        <w:t>89</w:t>
      </w:r>
      <w:r w:rsidRPr="00461D39">
        <w:t xml:space="preserve"> </w:t>
      </w:r>
      <w:r>
        <w:t xml:space="preserve"> nel 2020</w:t>
      </w:r>
      <w:r w:rsidRPr="00461D39">
        <w:t>)</w:t>
      </w:r>
      <w:r>
        <w:t xml:space="preserve">. </w:t>
      </w:r>
    </w:p>
    <w:p w14:paraId="71DF5BA3" w14:textId="77777777" w:rsidR="002607D6" w:rsidRDefault="002607D6" w:rsidP="002607D6">
      <w:pPr>
        <w:jc w:val="both"/>
      </w:pPr>
      <w:r>
        <w:t>Passando all’esame del titolo II del Consuntivo (Movimenti di Capitale) si registrano le entrare derivanti dalle riconversioni patrimoniali sopra richiamate ed a cui si fa rinvio.</w:t>
      </w:r>
    </w:p>
    <w:p w14:paraId="20CB74B4" w14:textId="77777777" w:rsidR="002607D6" w:rsidRDefault="002607D6" w:rsidP="002607D6">
      <w:pPr>
        <w:jc w:val="both"/>
      </w:pPr>
      <w:r>
        <w:t>Nel 2024 è stato, tuttavia, adottato e confermato un importante piano di investimenti (casa delle associazioni, archivio storico, CPI Istituto Einaudi, restauro Statua e dell’affresco) oltre al progetto complessivo sulla Consolazione stimato in circa 2 milioni di Euro.</w:t>
      </w:r>
    </w:p>
    <w:p w14:paraId="3848D3DD" w14:textId="77777777" w:rsidR="002607D6" w:rsidRDefault="002607D6" w:rsidP="002607D6">
      <w:pPr>
        <w:jc w:val="both"/>
      </w:pPr>
      <w:r>
        <w:t>Passando alla seconda parte del Conto Consuntivo (Uscite), t</w:t>
      </w:r>
      <w:r w:rsidRPr="00461D39">
        <w:t xml:space="preserve">ra le voci principali di spesa </w:t>
      </w:r>
      <w:r>
        <w:t>patrimoniali/</w:t>
      </w:r>
      <w:r w:rsidRPr="00461D39">
        <w:t>amministrativ</w:t>
      </w:r>
      <w:r>
        <w:t>e</w:t>
      </w:r>
      <w:r w:rsidRPr="00461D39">
        <w:t xml:space="preserve"> spiccano:</w:t>
      </w:r>
    </w:p>
    <w:p w14:paraId="5CF4A125" w14:textId="77777777" w:rsidR="002607D6" w:rsidRPr="00461D39" w:rsidRDefault="002607D6" w:rsidP="002607D6">
      <w:pPr>
        <w:numPr>
          <w:ilvl w:val="0"/>
          <w:numId w:val="10"/>
        </w:numPr>
        <w:suppressAutoHyphens w:val="0"/>
        <w:jc w:val="both"/>
      </w:pPr>
      <w:r w:rsidRPr="00461D39">
        <w:t>le uscite per imposte (IMU, imposta di registro e IRES) per Euro</w:t>
      </w:r>
      <w:r>
        <w:t xml:space="preserve"> 147.924,07 rispetto al dato del 2023 127.088,30   </w:t>
      </w:r>
      <w:r w:rsidRPr="00461D39">
        <w:t>(</w:t>
      </w:r>
      <w:r>
        <w:t>Euro</w:t>
      </w:r>
      <w:r w:rsidRPr="00461D39">
        <w:t xml:space="preserve"> </w:t>
      </w:r>
      <w:r>
        <w:t xml:space="preserve">120.822,56 nel 2022, </w:t>
      </w:r>
      <w:r w:rsidRPr="00461D39">
        <w:t>Euro</w:t>
      </w:r>
      <w:r>
        <w:t xml:space="preserve"> 124.524,10 nel 2021, Euro 145.788,59 nel 2020</w:t>
      </w:r>
      <w:r w:rsidRPr="00461D39">
        <w:t>);</w:t>
      </w:r>
      <w:r>
        <w:t xml:space="preserve"> la variabilità delle imposte dipende, in larga parte, dalla quantità di detrazioni di cui è possibile fruire nell’anno con particolare riferimento agli interventi su beni di interesse storico ed artistico ex D.lgs 42.2004. </w:t>
      </w:r>
    </w:p>
    <w:p w14:paraId="2FD6FCCE" w14:textId="77777777" w:rsidR="002607D6" w:rsidRDefault="002607D6" w:rsidP="002607D6">
      <w:pPr>
        <w:numPr>
          <w:ilvl w:val="0"/>
          <w:numId w:val="10"/>
        </w:numPr>
        <w:suppressAutoHyphens w:val="0"/>
        <w:jc w:val="both"/>
      </w:pPr>
      <w:r w:rsidRPr="00461D39">
        <w:t xml:space="preserve">spese per assicurazione rischi gravanti sul patrimonio </w:t>
      </w:r>
      <w:r>
        <w:t xml:space="preserve">che si confermano nello stesso importo dello scorso anno </w:t>
      </w:r>
      <w:r w:rsidRPr="00461D39">
        <w:t>per</w:t>
      </w:r>
      <w:r>
        <w:t xml:space="preserve"> Euro 16849,57 </w:t>
      </w:r>
      <w:r w:rsidRPr="00461D39">
        <w:t xml:space="preserve"> </w:t>
      </w:r>
      <w:r>
        <w:t xml:space="preserve">contro </w:t>
      </w:r>
      <w:r w:rsidRPr="00461D39">
        <w:t xml:space="preserve">Euro </w:t>
      </w:r>
      <w:r>
        <w:t>15.992,31 dell’anno 2023</w:t>
      </w:r>
      <w:r w:rsidRPr="00461D39">
        <w:t xml:space="preserve">; </w:t>
      </w:r>
    </w:p>
    <w:p w14:paraId="65AD480B" w14:textId="77777777" w:rsidR="002607D6" w:rsidRPr="00461D39" w:rsidRDefault="002607D6" w:rsidP="002607D6">
      <w:pPr>
        <w:numPr>
          <w:ilvl w:val="0"/>
          <w:numId w:val="10"/>
        </w:numPr>
        <w:suppressAutoHyphens w:val="0"/>
        <w:jc w:val="both"/>
      </w:pPr>
      <w:r w:rsidRPr="00461D39">
        <w:t xml:space="preserve">spese varie patrimoniali in gran parte riferite agli oneri necessari per garantire il decoro all’accesso cittadino e nei pressi della Consolazione per Euro </w:t>
      </w:r>
      <w:r>
        <w:t>8.701,71 (in linea con l’anno 2023)</w:t>
      </w:r>
      <w:r w:rsidRPr="00461D39">
        <w:t>;</w:t>
      </w:r>
    </w:p>
    <w:p w14:paraId="43B1CCB3" w14:textId="77777777" w:rsidR="002607D6" w:rsidRPr="00461D39" w:rsidRDefault="002607D6" w:rsidP="002607D6">
      <w:pPr>
        <w:numPr>
          <w:ilvl w:val="0"/>
          <w:numId w:val="10"/>
        </w:numPr>
        <w:suppressAutoHyphens w:val="0"/>
        <w:jc w:val="both"/>
      </w:pPr>
      <w:r w:rsidRPr="00461D39">
        <w:t xml:space="preserve">spese dell’azienda agraria </w:t>
      </w:r>
      <w:r>
        <w:t xml:space="preserve">Euro 19.741,37    </w:t>
      </w:r>
      <w:r w:rsidRPr="00461D39">
        <w:t>(</w:t>
      </w:r>
      <w:r>
        <w:t>Euro 19.445,68 nel 2013, Euro 18.461,22 nel 2022, Euro 19.234,96 nel 2021; Euro 18.770,10 nel 2020)</w:t>
      </w:r>
      <w:r w:rsidRPr="00461D39">
        <w:t xml:space="preserve"> riferite in gran parte al rimborso di passività consolidate</w:t>
      </w:r>
      <w:r>
        <w:t xml:space="preserve"> – prestito impianto vigneto</w:t>
      </w:r>
      <w:r w:rsidRPr="00461D39">
        <w:t>;</w:t>
      </w:r>
    </w:p>
    <w:p w14:paraId="1706CECA" w14:textId="77777777" w:rsidR="002607D6" w:rsidRDefault="002607D6" w:rsidP="002607D6">
      <w:pPr>
        <w:numPr>
          <w:ilvl w:val="0"/>
          <w:numId w:val="10"/>
        </w:numPr>
        <w:suppressAutoHyphens w:val="0"/>
        <w:jc w:val="both"/>
      </w:pPr>
      <w:r w:rsidRPr="00461D39">
        <w:t xml:space="preserve">spese per il personale per </w:t>
      </w:r>
      <w:r>
        <w:t xml:space="preserve">Euro  € 136.036,09 di cui € 98.499,24 per </w:t>
      </w:r>
      <w:r w:rsidRPr="00461D39">
        <w:t>stipendi lordi</w:t>
      </w:r>
      <w:r>
        <w:t xml:space="preserve"> ed euro € 37.536,85 per contributi e oneri indiretti; nel 2023 si registravano </w:t>
      </w:r>
      <w:r w:rsidRPr="00461D39">
        <w:t xml:space="preserve">stipendi lordi Euro </w:t>
      </w:r>
      <w:r>
        <w:t>107.777,27 (123</w:t>
      </w:r>
      <w:r w:rsidRPr="00461D39">
        <w:t>.</w:t>
      </w:r>
      <w:r>
        <w:t>912</w:t>
      </w:r>
      <w:r w:rsidRPr="00461D39">
        <w:t>,</w:t>
      </w:r>
      <w:r>
        <w:t>11  nel 2022) e</w:t>
      </w:r>
      <w:r w:rsidRPr="00461D39">
        <w:t xml:space="preserve"> contributi </w:t>
      </w:r>
      <w:r>
        <w:t xml:space="preserve">per </w:t>
      </w:r>
      <w:r w:rsidRPr="00461D39">
        <w:t xml:space="preserve">Euro </w:t>
      </w:r>
      <w:r>
        <w:t>40.454,49 (Euro 46</w:t>
      </w:r>
      <w:r w:rsidRPr="00461D39">
        <w:t>.</w:t>
      </w:r>
      <w:r>
        <w:t>781</w:t>
      </w:r>
      <w:r w:rsidRPr="00461D39">
        <w:t>,</w:t>
      </w:r>
      <w:r>
        <w:t xml:space="preserve">60 nel 2022); negli anni precedenti si registravano i seguenti totali Euro 170.693,71 nel 2022, </w:t>
      </w:r>
      <w:r w:rsidRPr="00461D39">
        <w:t xml:space="preserve">Euro </w:t>
      </w:r>
      <w:r>
        <w:t>143.696,25 nel 2021;  Euro 158.669,37 nel 2020.</w:t>
      </w:r>
    </w:p>
    <w:p w14:paraId="7B37D41A" w14:textId="77777777" w:rsidR="002607D6" w:rsidRPr="00461D39" w:rsidRDefault="002607D6" w:rsidP="002607D6">
      <w:pPr>
        <w:numPr>
          <w:ilvl w:val="0"/>
          <w:numId w:val="10"/>
        </w:numPr>
        <w:suppressAutoHyphens w:val="0"/>
        <w:jc w:val="both"/>
      </w:pPr>
      <w:r>
        <w:t>S</w:t>
      </w:r>
      <w:r w:rsidRPr="00461D39">
        <w:t>pese per amministratori Euro</w:t>
      </w:r>
      <w:r>
        <w:t xml:space="preserve"> 42.166,81</w:t>
      </w:r>
      <w:r w:rsidRPr="00461D39">
        <w:t xml:space="preserve"> </w:t>
      </w:r>
      <w:r>
        <w:t xml:space="preserve">contro euro 29.373,12 nel 2023    </w:t>
      </w:r>
      <w:r w:rsidRPr="00461D39">
        <w:t>(</w:t>
      </w:r>
      <w:r>
        <w:t>Euro 31.705,32 nel 2022; Euro 34.330,22 nel 2021: Euro 34.569,31 nel 2020</w:t>
      </w:r>
      <w:r w:rsidRPr="00461D39">
        <w:t>)</w:t>
      </w:r>
      <w:r>
        <w:t xml:space="preserve">.  </w:t>
      </w:r>
    </w:p>
    <w:p w14:paraId="656A4A5A" w14:textId="1D2919C5" w:rsidR="002607D6" w:rsidRPr="002607D6" w:rsidRDefault="002607D6" w:rsidP="002607D6">
      <w:pPr>
        <w:numPr>
          <w:ilvl w:val="0"/>
          <w:numId w:val="10"/>
        </w:numPr>
        <w:tabs>
          <w:tab w:val="clear" w:pos="720"/>
        </w:tabs>
        <w:suppressAutoHyphens w:val="0"/>
        <w:ind w:left="0" w:firstLine="0"/>
        <w:jc w:val="both"/>
        <w:rPr>
          <w:color w:val="C00000"/>
        </w:rPr>
      </w:pPr>
      <w:r w:rsidRPr="00461D39">
        <w:t xml:space="preserve">spese per consulenze esterne </w:t>
      </w:r>
      <w:r>
        <w:t xml:space="preserve">Euro </w:t>
      </w:r>
      <w:r w:rsidRPr="00570912">
        <w:t xml:space="preserve">€ 24.521,51 </w:t>
      </w:r>
      <w:r>
        <w:t xml:space="preserve">contro Euro 33.661,25 del 2023  </w:t>
      </w:r>
      <w:r w:rsidRPr="00461D39">
        <w:t>(</w:t>
      </w:r>
      <w:r>
        <w:t xml:space="preserve">Euro 27.732,76  nel 2022, Euro 21,778,75 nel 2021, </w:t>
      </w:r>
      <w:r w:rsidRPr="00461D39">
        <w:t xml:space="preserve">Euro </w:t>
      </w:r>
      <w:r>
        <w:t>30.976,61 nel 2020</w:t>
      </w:r>
      <w:r w:rsidRPr="00461D39">
        <w:t>); si precisa, al fine di dare una informazione veritiera e corretta che</w:t>
      </w:r>
      <w:r>
        <w:t xml:space="preserve"> sono escluse (salvo </w:t>
      </w:r>
      <w:r w:rsidRPr="00461D39">
        <w:t>le spese di parte corrente</w:t>
      </w:r>
      <w:r>
        <w:t>)</w:t>
      </w:r>
      <w:r w:rsidRPr="00461D39">
        <w:t xml:space="preserve"> le spese “patrimonializzate” già inserite nei quadri economici di opere pubbliche.</w:t>
      </w:r>
      <w:r>
        <w:t xml:space="preserve"> La riduzione registrata è legata all’assunzione di personale in pianta stabile già da giugno 2024.</w:t>
      </w:r>
    </w:p>
    <w:p w14:paraId="38ED9653" w14:textId="77777777" w:rsidR="00262666" w:rsidRPr="003B0F48" w:rsidRDefault="00262666" w:rsidP="00262666">
      <w:pPr>
        <w:pStyle w:val="Standard"/>
        <w:rPr>
          <w:sz w:val="24"/>
          <w:szCs w:val="24"/>
        </w:rPr>
      </w:pPr>
    </w:p>
    <w:p w14:paraId="6BFE1957" w14:textId="1C9B18E8" w:rsidR="00F43051" w:rsidRPr="003B0F48" w:rsidRDefault="00F43051" w:rsidP="00F43051">
      <w:pPr>
        <w:pStyle w:val="Standard"/>
        <w:jc w:val="both"/>
        <w:rPr>
          <w:sz w:val="24"/>
          <w:szCs w:val="24"/>
        </w:rPr>
      </w:pPr>
      <w:r w:rsidRPr="003B0F48">
        <w:rPr>
          <w:sz w:val="24"/>
          <w:szCs w:val="24"/>
        </w:rPr>
        <w:t xml:space="preserve">Nel giugno 2024 è stata indetta licitazione privata per tutti i vigneti di proprietà ETAB concessi in affitto alla Società Terre De La Custodia con affitto al 2026; detta operazione ha consentito alla parte conduttrice di poter effettuare investimenti e scelte colturali favorevoli in primis alla proprietà che vedrà prolungare la “vita utile” dei vigneti che a fine affitto (31.12.2036) in ogni caso si dovrà effettuare una scelta nel merito. </w:t>
      </w:r>
    </w:p>
    <w:p w14:paraId="0A44D8E3" w14:textId="77777777" w:rsidR="00D35643" w:rsidRPr="003B0F48" w:rsidRDefault="00D35643" w:rsidP="00F43051">
      <w:pPr>
        <w:pStyle w:val="Standard"/>
        <w:jc w:val="both"/>
        <w:rPr>
          <w:sz w:val="24"/>
          <w:szCs w:val="24"/>
        </w:rPr>
      </w:pPr>
    </w:p>
    <w:p w14:paraId="001F60F3" w14:textId="4DCD183F" w:rsidR="00D35643" w:rsidRPr="003B0F48" w:rsidRDefault="00D35643" w:rsidP="00D35643">
      <w:pPr>
        <w:pStyle w:val="Standard"/>
        <w:jc w:val="both"/>
        <w:rPr>
          <w:sz w:val="24"/>
          <w:szCs w:val="24"/>
        </w:rPr>
      </w:pPr>
      <w:r w:rsidRPr="003B0F48">
        <w:rPr>
          <w:sz w:val="24"/>
          <w:szCs w:val="24"/>
        </w:rPr>
        <w:t xml:space="preserve">Nella prima metà del 2025 è stato completato, come sopra accennato, l’acquisto della parte di proprietà ETAB del MPS Spa: </w:t>
      </w:r>
      <w:r w:rsidRPr="003B0F48">
        <w:rPr>
          <w:sz w:val="24"/>
          <w:szCs w:val="24"/>
        </w:rPr>
        <w:t>un</w:t>
      </w:r>
      <w:r w:rsidRPr="003B0F48">
        <w:rPr>
          <w:sz w:val="24"/>
          <w:szCs w:val="24"/>
        </w:rPr>
        <w:t>’</w:t>
      </w:r>
      <w:r w:rsidRPr="003B0F48">
        <w:rPr>
          <w:sz w:val="24"/>
          <w:szCs w:val="24"/>
        </w:rPr>
        <w:t>acquisizione di grande pregio immobiliare</w:t>
      </w:r>
      <w:r w:rsidRPr="003B0F48">
        <w:rPr>
          <w:sz w:val="24"/>
          <w:szCs w:val="24"/>
        </w:rPr>
        <w:t xml:space="preserve"> con </w:t>
      </w:r>
      <w:r w:rsidRPr="003B0F48">
        <w:rPr>
          <w:sz w:val="24"/>
          <w:szCs w:val="24"/>
        </w:rPr>
        <w:t>circa 150 metri quadrati al piano terra del medievale Palazzo dei Priori, superficie contigua a quella già di proprietà di Etab, un tempo botteghe di proprietà del Monte dell'Onestà e dell'Opera Pia della Misericordia con affaccio sulle centralissime Piazza del Popolo e Piazza Garibaldi.</w:t>
      </w:r>
      <w:r w:rsidRPr="003B0F48">
        <w:rPr>
          <w:sz w:val="24"/>
          <w:szCs w:val="24"/>
        </w:rPr>
        <w:t xml:space="preserve">  </w:t>
      </w:r>
      <w:r w:rsidRPr="003B0F48">
        <w:rPr>
          <w:sz w:val="24"/>
          <w:szCs w:val="24"/>
        </w:rPr>
        <w:t xml:space="preserve">Ambienti di cui l'ente è rientrato in possesso dopo il rilascio dei locali da parte del Monte dei Paschi di Siena, che aveva aggiunto alle </w:t>
      </w:r>
      <w:r w:rsidRPr="003B0F48">
        <w:rPr>
          <w:sz w:val="24"/>
          <w:szCs w:val="24"/>
        </w:rPr>
        <w:lastRenderedPageBreak/>
        <w:t xml:space="preserve">vetrine in affitto da più di settanta anni degli ampi locali retrostanti con ingressi in Corso Cavour e Via Giuseppe Cocchi. </w:t>
      </w:r>
    </w:p>
    <w:p w14:paraId="55EE9692" w14:textId="0EE1DF50" w:rsidR="00F43051" w:rsidRPr="003B0F48" w:rsidRDefault="00D35643" w:rsidP="00D35643">
      <w:pPr>
        <w:pStyle w:val="Standard"/>
        <w:jc w:val="both"/>
        <w:rPr>
          <w:sz w:val="24"/>
          <w:szCs w:val="24"/>
        </w:rPr>
      </w:pPr>
      <w:r w:rsidRPr="003B0F48">
        <w:rPr>
          <w:sz w:val="24"/>
          <w:szCs w:val="24"/>
        </w:rPr>
        <w:t xml:space="preserve">Si tratta di un'operazione importantissima sia da un punto di vista economico e immobiliare che da quello simbolico e di prestigio: dopo un periodo lunghissimo, di sicuro oltre un secolo, le antichissime Opere Pie, ex Istituzioni Riunite di Beneficenza, oggi ETAB, ritornano in possesso di locali che facevano parte del patrimonio dell'Ente. Quello di cui si parla è uno spazio molto ambìto dal punto di vista commerciale e di rappresentanza, seppur nella normale necessità di riadattare i quasi 300 metri quadrati complessivi </w:t>
      </w:r>
      <w:r w:rsidRPr="003B0F48">
        <w:rPr>
          <w:sz w:val="24"/>
          <w:szCs w:val="24"/>
        </w:rPr>
        <w:t>(mq 220 netti).</w:t>
      </w:r>
    </w:p>
    <w:p w14:paraId="1E7879B5" w14:textId="77777777" w:rsidR="00D35643" w:rsidRPr="007F200B" w:rsidRDefault="00D35643" w:rsidP="00D35643">
      <w:pPr>
        <w:pStyle w:val="Standard"/>
        <w:jc w:val="both"/>
        <w:rPr>
          <w:color w:val="C00000"/>
          <w:sz w:val="24"/>
          <w:szCs w:val="24"/>
        </w:rPr>
      </w:pPr>
    </w:p>
    <w:p w14:paraId="4D12E3BC" w14:textId="2963DF2B" w:rsidR="00772E8C" w:rsidRDefault="00E171D0" w:rsidP="00DD3C54">
      <w:pPr>
        <w:jc w:val="both"/>
      </w:pPr>
      <w:r w:rsidRPr="00F34B6A">
        <w:t>Com’è noto i proventi della gestione del patrimonio vanno a finanziare l'assolvimento delle finalità statutarie di Etab "La Consolazione", suddivise tradizionalmente nelle due attività solidali e culturali.  Per le attività solidali ci sarà un crescente impegno nell’investire sul futuro dei giovani; ma anche nell’ambito culturale.</w:t>
      </w:r>
      <w:r w:rsidR="00F9566F">
        <w:t xml:space="preserve"> </w:t>
      </w:r>
      <w:r w:rsidRPr="00F34B6A">
        <w:t xml:space="preserve">I proventi realizzati renderanno </w:t>
      </w:r>
      <w:r w:rsidR="00672734" w:rsidRPr="00F34B6A">
        <w:t>più</w:t>
      </w:r>
      <w:r w:rsidRPr="00F34B6A">
        <w:t xml:space="preserve"> agevole il mantenimento dell’importante patrimonio artistico di cui l’Ente è proprietario, tra cui spicca per magnificenza il bramantesco Tempio della Consolazione. L'Ente vanta, oltre a complessi immobiliari importanti, una proprietà agricola di oltre 1.000 ettari, di cui quasi 600 di superficie utilizzabile concessi in affitto e 350 di bosco in conduzione </w:t>
      </w:r>
      <w:r w:rsidRPr="00A050D6">
        <w:t xml:space="preserve">diretta. </w:t>
      </w:r>
      <w:r w:rsidRPr="00F34B6A">
        <w:t>Il Patrimonio</w:t>
      </w:r>
      <w:r w:rsidR="00563666" w:rsidRPr="00F34B6A">
        <w:t xml:space="preserve"> immobiliare</w:t>
      </w:r>
      <w:r w:rsidRPr="00F34B6A">
        <w:t xml:space="preserve"> è </w:t>
      </w:r>
      <w:r w:rsidR="00563666" w:rsidRPr="00F34B6A">
        <w:t xml:space="preserve">stato </w:t>
      </w:r>
      <w:r w:rsidRPr="00F34B6A">
        <w:t>assicurato, a seguito di opportuni approfondimenti legali e analisi dei rischi, con nuove polizze assicurative per la tutela del patrimonio dell’Ente, compreso quello di interesse storico ed artistico, secondo i principi di buona amministrazione di cui all’art. 97 della Costituzione.</w:t>
      </w:r>
    </w:p>
    <w:p w14:paraId="76781228" w14:textId="31ED1608" w:rsidR="00DD3C54" w:rsidRPr="00F34B6A" w:rsidRDefault="00DD3C54" w:rsidP="00DD3C54">
      <w:pPr>
        <w:jc w:val="both"/>
      </w:pPr>
    </w:p>
    <w:p w14:paraId="574D1776" w14:textId="7A1A0271" w:rsidR="00166D67" w:rsidRPr="00F34B6A" w:rsidRDefault="00166D67" w:rsidP="00173837">
      <w:pPr>
        <w:rPr>
          <w:b/>
          <w:bCs/>
        </w:rPr>
      </w:pPr>
      <w:r w:rsidRPr="00F34B6A">
        <w:rPr>
          <w:b/>
          <w:bCs/>
        </w:rPr>
        <w:t>PERSONALE</w:t>
      </w:r>
      <w:r w:rsidR="00173837">
        <w:rPr>
          <w:b/>
          <w:bCs/>
        </w:rPr>
        <w:t xml:space="preserve"> DIPENDENTE </w:t>
      </w:r>
    </w:p>
    <w:p w14:paraId="31B67D80" w14:textId="244F802E" w:rsidR="004F364B" w:rsidRDefault="006A35FB" w:rsidP="00F34B6A">
      <w:pPr>
        <w:jc w:val="both"/>
      </w:pPr>
      <w:r>
        <w:t xml:space="preserve">In data 1.6.2024 è stato assunto un funzionario tecnico. </w:t>
      </w:r>
      <w:r w:rsidR="00D2681C">
        <w:t>L’architetto ha già stabilito un ottimo e proficuo dialogo con la Soprintendenza</w:t>
      </w:r>
      <w:r>
        <w:t xml:space="preserve"> ed è stato possibile avviare un vero e proprio servizio tecnico dedicato alle opere pubbliche ai sensi del D.lgs 36/2023 (ivi compreso l’avvio e l’utilizzo di software specifici per la progettazione CAD e per il controllo di computi e documenti di cantiere)</w:t>
      </w:r>
      <w:r w:rsidR="00D2681C">
        <w:t>.</w:t>
      </w:r>
    </w:p>
    <w:p w14:paraId="40F975C3" w14:textId="77777777" w:rsidR="00166D67" w:rsidRPr="00F34B6A" w:rsidRDefault="00166D67" w:rsidP="00F34B6A">
      <w:pPr>
        <w:jc w:val="both"/>
      </w:pPr>
    </w:p>
    <w:p w14:paraId="3D2780A6" w14:textId="77777777" w:rsidR="00416552" w:rsidRPr="00F34B6A" w:rsidRDefault="00416552" w:rsidP="00F34B6A">
      <w:pPr>
        <w:jc w:val="both"/>
        <w:rPr>
          <w:b/>
          <w:bCs/>
        </w:rPr>
      </w:pPr>
      <w:r w:rsidRPr="00F34B6A">
        <w:rPr>
          <w:b/>
          <w:bCs/>
        </w:rPr>
        <w:t>Sicurezza</w:t>
      </w:r>
      <w:r w:rsidR="00EB5CE2" w:rsidRPr="00F34B6A">
        <w:rPr>
          <w:b/>
          <w:bCs/>
        </w:rPr>
        <w:t xml:space="preserve"> negli ambienti di lavoro</w:t>
      </w:r>
    </w:p>
    <w:p w14:paraId="0E057A80" w14:textId="7DE59422" w:rsidR="00416552" w:rsidRPr="00F34B6A" w:rsidRDefault="004A4EE9" w:rsidP="002607D6">
      <w:pPr>
        <w:ind w:right="-54"/>
        <w:jc w:val="both"/>
      </w:pPr>
      <w:r w:rsidRPr="00F34B6A">
        <w:t xml:space="preserve">Per le funzioni di RSPP è stato </w:t>
      </w:r>
      <w:r w:rsidR="004F364B">
        <w:t>confermato, a seguito di gara, per il periodo di 3 anni</w:t>
      </w:r>
      <w:r w:rsidRPr="00F34B6A">
        <w:t xml:space="preserve"> il consulente esterno Ing. Massimiliano Angelo Patriarca.</w:t>
      </w:r>
      <w:r w:rsidR="002607D6">
        <w:t xml:space="preserve"> </w:t>
      </w:r>
      <w:r w:rsidRPr="00F34B6A">
        <w:t xml:space="preserve">Per le funzioni di Medico Competente è stato nominato </w:t>
      </w:r>
      <w:r w:rsidR="006A35FB">
        <w:t xml:space="preserve">confermato </w:t>
      </w:r>
      <w:r w:rsidRPr="00F34B6A">
        <w:t>il consulente esterno Dr.ssa Ida Elena Sapia</w:t>
      </w:r>
      <w:r w:rsidR="004F364B">
        <w:t xml:space="preserve"> </w:t>
      </w:r>
      <w:r w:rsidR="006A35FB">
        <w:t>a seguito di rinuncia del vincitore Dr. Ernesto Carbone</w:t>
      </w:r>
      <w:r w:rsidRPr="00F34B6A">
        <w:t>.</w:t>
      </w:r>
      <w:r w:rsidR="002607D6">
        <w:t xml:space="preserve"> </w:t>
      </w:r>
      <w:r w:rsidR="004F364B">
        <w:t>In relazione all’assunzione di cui sopra</w:t>
      </w:r>
      <w:r w:rsidR="00416552" w:rsidRPr="00F34B6A">
        <w:t xml:space="preserve"> è stato aggiornato il Documento di Valutazione dei Rischi acquisito al protocollo dell’Ente. </w:t>
      </w:r>
    </w:p>
    <w:p w14:paraId="03393208" w14:textId="77777777" w:rsidR="00416552" w:rsidRPr="00F34B6A" w:rsidRDefault="00416552" w:rsidP="00F34B6A">
      <w:pPr>
        <w:jc w:val="center"/>
        <w:rPr>
          <w:b/>
          <w:bCs/>
        </w:rPr>
      </w:pPr>
    </w:p>
    <w:p w14:paraId="2B16162B" w14:textId="77777777" w:rsidR="00E171D0" w:rsidRPr="00752713" w:rsidRDefault="00E171D0" w:rsidP="00F34B6A">
      <w:pPr>
        <w:rPr>
          <w:b/>
          <w:bCs/>
        </w:rPr>
      </w:pPr>
      <w:r w:rsidRPr="00752713">
        <w:rPr>
          <w:b/>
          <w:bCs/>
        </w:rPr>
        <w:t>INSOLUTI E CONTENZIOSI</w:t>
      </w:r>
    </w:p>
    <w:p w14:paraId="095D48F0" w14:textId="0B60972E" w:rsidR="00C514FC" w:rsidRPr="008243B7" w:rsidRDefault="00C514FC" w:rsidP="00C514FC">
      <w:pPr>
        <w:jc w:val="both"/>
      </w:pPr>
      <w:r w:rsidRPr="00752713">
        <w:t>Il numero degli insoluti e</w:t>
      </w:r>
      <w:r w:rsidR="00DC4BCE" w:rsidRPr="00752713">
        <w:t xml:space="preserve"> dei </w:t>
      </w:r>
      <w:r w:rsidRPr="00752713">
        <w:t>contenziosi legali in merito agli impegni dell'Ente è piuttosto limitato. Una considerevole parte di essi è stata risolta in modo conciliante, mentre alcuni attendono ancora le decisioni dei tribunali. Tuttavia, è importante sottolineare che queste situazioni non rappresentano una criticità significativa per il bilancio dell'Ente.</w:t>
      </w:r>
    </w:p>
    <w:p w14:paraId="5AC3E671" w14:textId="77777777" w:rsidR="000708CF" w:rsidRPr="008243B7" w:rsidRDefault="000708CF" w:rsidP="00F34B6A">
      <w:pPr>
        <w:jc w:val="both"/>
      </w:pPr>
    </w:p>
    <w:p w14:paraId="286C734A" w14:textId="139475F6" w:rsidR="00E171D0" w:rsidRPr="008808D6" w:rsidRDefault="00F07E0B" w:rsidP="00F34B6A">
      <w:pPr>
        <w:jc w:val="center"/>
        <w:rPr>
          <w:b/>
          <w:bCs/>
          <w:color w:val="C00000"/>
        </w:rPr>
      </w:pPr>
      <w:r w:rsidRPr="008808D6">
        <w:rPr>
          <w:b/>
          <w:bCs/>
          <w:color w:val="C00000"/>
          <w:highlight w:val="yellow"/>
        </w:rPr>
        <w:t xml:space="preserve">- </w:t>
      </w:r>
      <w:r w:rsidR="00E171D0" w:rsidRPr="008808D6">
        <w:rPr>
          <w:b/>
          <w:bCs/>
          <w:color w:val="C00000"/>
          <w:highlight w:val="yellow"/>
        </w:rPr>
        <w:t>CONCLUSIONI -</w:t>
      </w:r>
    </w:p>
    <w:p w14:paraId="1965DE74" w14:textId="77777777" w:rsidR="008E56F7" w:rsidRDefault="00E171D0" w:rsidP="00F34B6A">
      <w:pPr>
        <w:jc w:val="both"/>
      </w:pPr>
      <w:r w:rsidRPr="008243B7">
        <w:t xml:space="preserve">Nonostante la persistente e grave congiuntura economica questo Consiglio ritiene di </w:t>
      </w:r>
      <w:r w:rsidR="00672734" w:rsidRPr="008243B7">
        <w:t>essersi fortemente</w:t>
      </w:r>
      <w:r w:rsidRPr="008243B7">
        <w:t xml:space="preserve"> impegnato per una gestione improntata al raggiungimento </w:t>
      </w:r>
      <w:r w:rsidR="00672734" w:rsidRPr="008243B7">
        <w:t>della massima</w:t>
      </w:r>
      <w:r w:rsidRPr="008243B7">
        <w:t xml:space="preserve"> efficienza e </w:t>
      </w:r>
      <w:r w:rsidR="00672734" w:rsidRPr="008243B7">
        <w:t>del miglior</w:t>
      </w:r>
      <w:r w:rsidRPr="008243B7">
        <w:t xml:space="preserve"> risultato, sia dal punto </w:t>
      </w:r>
      <w:r w:rsidR="00672734" w:rsidRPr="008243B7">
        <w:t>amministrativo che</w:t>
      </w:r>
      <w:r w:rsidRPr="008243B7">
        <w:t xml:space="preserve"> per </w:t>
      </w:r>
      <w:r w:rsidR="00672734" w:rsidRPr="008243B7">
        <w:t>il puntuale</w:t>
      </w:r>
      <w:r w:rsidRPr="008243B7">
        <w:t xml:space="preserve"> raggiungimento degli obiettivi statutari.   </w:t>
      </w:r>
      <w:r w:rsidR="00672734" w:rsidRPr="008243B7">
        <w:t>Il risultato appare</w:t>
      </w:r>
      <w:r w:rsidR="00430A7C">
        <w:t xml:space="preserve"> </w:t>
      </w:r>
      <w:r w:rsidR="00672734" w:rsidRPr="008243B7">
        <w:t>tangibile dalla</w:t>
      </w:r>
      <w:r w:rsidRPr="008243B7">
        <w:t xml:space="preserve"> verifica di quanto è stato messo in </w:t>
      </w:r>
      <w:r w:rsidR="00672734" w:rsidRPr="008243B7">
        <w:t>atto nello studio</w:t>
      </w:r>
      <w:r w:rsidRPr="008243B7">
        <w:t xml:space="preserve">, nella ricerca e </w:t>
      </w:r>
      <w:r w:rsidR="00672734" w:rsidRPr="008243B7">
        <w:t>nell’applicazione di</w:t>
      </w:r>
      <w:r w:rsidRPr="008243B7">
        <w:t xml:space="preserve"> soluzioni </w:t>
      </w:r>
      <w:r w:rsidR="00517727" w:rsidRPr="008243B7">
        <w:t xml:space="preserve">in grado di assicurare effettivi positivi prolungati </w:t>
      </w:r>
      <w:r w:rsidRPr="008243B7">
        <w:t xml:space="preserve">nel tempo. L’esito di tali scelte e di tali </w:t>
      </w:r>
      <w:r w:rsidR="00672734" w:rsidRPr="008243B7">
        <w:t>percorsi si</w:t>
      </w:r>
      <w:r w:rsidRPr="008243B7">
        <w:t xml:space="preserve"> evidenzia nella </w:t>
      </w:r>
      <w:r w:rsidR="00672734" w:rsidRPr="008243B7">
        <w:t>generale valorizzazione</w:t>
      </w:r>
      <w:r w:rsidRPr="008243B7">
        <w:t xml:space="preserve"> del </w:t>
      </w:r>
      <w:r w:rsidR="00672734" w:rsidRPr="008243B7">
        <w:t>patrimonio, nel</w:t>
      </w:r>
      <w:r w:rsidRPr="008243B7">
        <w:t xml:space="preserve"> sensibile incremento degli interventi di solidarietà a favore dei cittadini in condizione di </w:t>
      </w:r>
      <w:r w:rsidR="00672734" w:rsidRPr="008243B7">
        <w:t>fragilità e</w:t>
      </w:r>
      <w:r w:rsidRPr="008243B7">
        <w:t xml:space="preserve"> disagio, </w:t>
      </w:r>
      <w:r w:rsidR="00672734" w:rsidRPr="008243B7">
        <w:t>nell’eccellente promozione e</w:t>
      </w:r>
      <w:r w:rsidR="00430A7C">
        <w:t xml:space="preserve"> </w:t>
      </w:r>
      <w:r w:rsidR="00672734" w:rsidRPr="008243B7">
        <w:t>valorizzazione dell’importante</w:t>
      </w:r>
      <w:r w:rsidRPr="008243B7">
        <w:t xml:space="preserve"> patrimonio storico-artistico dell’Ente tra cui il Tempio della Consolazione. </w:t>
      </w:r>
    </w:p>
    <w:p w14:paraId="7413CAE6" w14:textId="77777777" w:rsidR="00430A7C" w:rsidRDefault="00430A7C" w:rsidP="00C514FC">
      <w:pPr>
        <w:jc w:val="both"/>
      </w:pPr>
      <w:r>
        <w:lastRenderedPageBreak/>
        <w:t>Il rinnovato staff dell’ente sarà nel prossimo futuro un valore aggiunto rispetto al conseguimento di obiettivi ambiziosi che intendiamo convintamente raggiungere.</w:t>
      </w:r>
    </w:p>
    <w:p w14:paraId="365BD3B0" w14:textId="77777777" w:rsidR="00C514FC" w:rsidRDefault="00C514FC" w:rsidP="00C514FC">
      <w:pPr>
        <w:jc w:val="both"/>
      </w:pPr>
      <w:r>
        <w:t>Questo Consiglio intende proseguire il percorso già avviato, rendendo conto dei risultati ottenuti alla comunità tuderte e alle istituzioni. Con queste ultime</w:t>
      </w:r>
      <w:r w:rsidR="00430A7C">
        <w:t>, vale la pena di ricordarlo,</w:t>
      </w:r>
      <w:r>
        <w:t xml:space="preserve"> si è instaurato un solido rapporto di sinergia e collaborazione, favorito da una politica di ascolto e comunicazione attenta. Nonostante le sfide diffuse, il Consiglio di Amministrazione di ETAB si impegna a adottare misure atte a mitigare, nei limiti delle proprie possibilità, gli effetti negativi delle crisi in corso sulla comunità locale.</w:t>
      </w:r>
    </w:p>
    <w:p w14:paraId="3132FECB" w14:textId="6A471C73" w:rsidR="00E171D0" w:rsidRPr="008243B7" w:rsidRDefault="00E171D0" w:rsidP="00F34B6A">
      <w:pPr>
        <w:rPr>
          <w:i/>
          <w:iCs/>
        </w:rPr>
      </w:pPr>
      <w:r w:rsidRPr="008243B7">
        <w:rPr>
          <w:i/>
        </w:rPr>
        <w:t xml:space="preserve">Todi, </w:t>
      </w:r>
      <w:r w:rsidR="002607D6">
        <w:rPr>
          <w:i/>
        </w:rPr>
        <w:t>luglio</w:t>
      </w:r>
      <w:r w:rsidR="006A35FB">
        <w:rPr>
          <w:i/>
        </w:rPr>
        <w:t xml:space="preserve"> 2025</w:t>
      </w:r>
    </w:p>
    <w:p w14:paraId="699E5CB4" w14:textId="77777777" w:rsidR="00C514FC" w:rsidRPr="00752713" w:rsidRDefault="00C514FC" w:rsidP="003574C8">
      <w:pPr>
        <w:jc w:val="right"/>
        <w:rPr>
          <w:b/>
          <w:bCs/>
          <w:i/>
          <w:iCs/>
        </w:rPr>
      </w:pPr>
      <w:r w:rsidRPr="00752713">
        <w:rPr>
          <w:b/>
          <w:bCs/>
          <w:i/>
          <w:iCs/>
        </w:rPr>
        <w:t>Il C.d.A. di ETAB</w:t>
      </w:r>
    </w:p>
    <w:p w14:paraId="5E216098" w14:textId="015F765B" w:rsidR="00C514FC" w:rsidRPr="00752713" w:rsidRDefault="00C514FC" w:rsidP="003574C8">
      <w:pPr>
        <w:jc w:val="right"/>
        <w:rPr>
          <w:b/>
          <w:bCs/>
          <w:i/>
          <w:iCs/>
        </w:rPr>
      </w:pPr>
      <w:r w:rsidRPr="00752713">
        <w:rPr>
          <w:b/>
          <w:bCs/>
          <w:i/>
          <w:iCs/>
        </w:rPr>
        <w:t>Leonardo Mallozzi – Presidente</w:t>
      </w:r>
    </w:p>
    <w:p w14:paraId="4183918B" w14:textId="732F4CF5" w:rsidR="00C514FC" w:rsidRPr="00752713" w:rsidRDefault="00C514FC" w:rsidP="003574C8">
      <w:pPr>
        <w:jc w:val="right"/>
        <w:rPr>
          <w:b/>
          <w:bCs/>
          <w:i/>
          <w:iCs/>
        </w:rPr>
      </w:pPr>
      <w:r w:rsidRPr="00752713">
        <w:rPr>
          <w:b/>
          <w:bCs/>
          <w:i/>
          <w:iCs/>
        </w:rPr>
        <w:t>Rachele Prosperi – Vice Presidente</w:t>
      </w:r>
    </w:p>
    <w:p w14:paraId="6F7351AB" w14:textId="77777777" w:rsidR="00C514FC" w:rsidRPr="00752713" w:rsidRDefault="00C514FC" w:rsidP="003574C8">
      <w:pPr>
        <w:jc w:val="right"/>
        <w:rPr>
          <w:b/>
          <w:bCs/>
          <w:i/>
          <w:iCs/>
        </w:rPr>
      </w:pPr>
      <w:r w:rsidRPr="00752713">
        <w:rPr>
          <w:b/>
          <w:bCs/>
          <w:i/>
          <w:iCs/>
        </w:rPr>
        <w:t>Annalisa Aluigi</w:t>
      </w:r>
    </w:p>
    <w:p w14:paraId="3610F499" w14:textId="77777777" w:rsidR="00C514FC" w:rsidRPr="00752713" w:rsidRDefault="00C514FC" w:rsidP="003574C8">
      <w:pPr>
        <w:jc w:val="right"/>
        <w:rPr>
          <w:b/>
          <w:bCs/>
          <w:i/>
          <w:iCs/>
        </w:rPr>
      </w:pPr>
      <w:r w:rsidRPr="00752713">
        <w:rPr>
          <w:b/>
          <w:bCs/>
          <w:i/>
          <w:iCs/>
        </w:rPr>
        <w:t>Agnese Buccione</w:t>
      </w:r>
    </w:p>
    <w:p w14:paraId="43846594" w14:textId="77777777" w:rsidR="00C514FC" w:rsidRPr="00752713" w:rsidRDefault="00C514FC" w:rsidP="003574C8">
      <w:pPr>
        <w:jc w:val="right"/>
        <w:rPr>
          <w:b/>
          <w:bCs/>
          <w:i/>
          <w:iCs/>
        </w:rPr>
      </w:pPr>
      <w:r w:rsidRPr="00752713">
        <w:rPr>
          <w:b/>
          <w:bCs/>
          <w:i/>
          <w:iCs/>
        </w:rPr>
        <w:t>Nazzareno Menghini</w:t>
      </w:r>
    </w:p>
    <w:p w14:paraId="443B5D33" w14:textId="77777777" w:rsidR="00C514FC" w:rsidRPr="00C514FC" w:rsidRDefault="00C514FC" w:rsidP="00C514FC">
      <w:pPr>
        <w:rPr>
          <w:b/>
          <w:bCs/>
          <w:i/>
          <w:iCs/>
          <w:color w:val="FF0000"/>
        </w:rPr>
      </w:pPr>
    </w:p>
    <w:bookmarkEnd w:id="3"/>
    <w:p w14:paraId="347344E5" w14:textId="77777777" w:rsidR="001F0049" w:rsidRDefault="00430A7C" w:rsidP="00752713">
      <w:proofErr w:type="spellStart"/>
      <w:r>
        <w:t>All.ti</w:t>
      </w:r>
      <w:proofErr w:type="spellEnd"/>
    </w:p>
    <w:p w14:paraId="642CA156" w14:textId="455D11C8" w:rsidR="00430A7C" w:rsidRDefault="00430A7C" w:rsidP="006A35FB">
      <w:pPr>
        <w:pStyle w:val="Paragrafoelenco"/>
        <w:numPr>
          <w:ilvl w:val="0"/>
          <w:numId w:val="42"/>
        </w:numPr>
        <w:rPr>
          <w:rFonts w:ascii="Times New Roman" w:hAnsi="Times New Roman"/>
          <w:sz w:val="24"/>
          <w:szCs w:val="24"/>
        </w:rPr>
      </w:pPr>
      <w:r w:rsidRPr="00473F15">
        <w:rPr>
          <w:rFonts w:ascii="Times New Roman" w:hAnsi="Times New Roman"/>
          <w:sz w:val="24"/>
          <w:szCs w:val="24"/>
        </w:rPr>
        <w:t>Relazione anno 202</w:t>
      </w:r>
      <w:r w:rsidR="002607D6">
        <w:rPr>
          <w:rFonts w:ascii="Times New Roman" w:hAnsi="Times New Roman"/>
          <w:sz w:val="24"/>
          <w:szCs w:val="24"/>
        </w:rPr>
        <w:t>4</w:t>
      </w:r>
      <w:r w:rsidRPr="00473F15">
        <w:rPr>
          <w:rFonts w:ascii="Times New Roman" w:hAnsi="Times New Roman"/>
          <w:sz w:val="24"/>
          <w:szCs w:val="24"/>
        </w:rPr>
        <w:t xml:space="preserve"> DCA Todi</w:t>
      </w:r>
    </w:p>
    <w:p w14:paraId="40CAEF4B" w14:textId="0609D8D0" w:rsidR="00446FBC" w:rsidRPr="006A35FB" w:rsidRDefault="00446FBC" w:rsidP="006A35FB">
      <w:pPr>
        <w:pStyle w:val="Paragrafoelenco"/>
        <w:numPr>
          <w:ilvl w:val="0"/>
          <w:numId w:val="42"/>
        </w:numPr>
        <w:rPr>
          <w:rFonts w:ascii="Times New Roman" w:hAnsi="Times New Roman"/>
          <w:sz w:val="24"/>
          <w:szCs w:val="24"/>
        </w:rPr>
      </w:pPr>
      <w:r>
        <w:rPr>
          <w:rFonts w:ascii="Times New Roman" w:hAnsi="Times New Roman"/>
          <w:sz w:val="24"/>
          <w:szCs w:val="24"/>
        </w:rPr>
        <w:t>Rassegna stampa</w:t>
      </w:r>
    </w:p>
    <w:sectPr w:rsidR="00446FBC" w:rsidRPr="006A35FB" w:rsidSect="00E30F44">
      <w:footerReference w:type="even" r:id="rId21"/>
      <w:footerReference w:type="default" r:id="rId22"/>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B10F" w14:textId="77777777" w:rsidR="00E54520" w:rsidRDefault="00E54520">
      <w:r>
        <w:separator/>
      </w:r>
    </w:p>
  </w:endnote>
  <w:endnote w:type="continuationSeparator" w:id="0">
    <w:p w14:paraId="22BA9F6C" w14:textId="77777777" w:rsidR="00E54520" w:rsidRDefault="00E5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mbria"/>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9EA9" w14:textId="77777777" w:rsidR="00427CDF" w:rsidRDefault="00427CDF" w:rsidP="00FE35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199388" w14:textId="77777777" w:rsidR="00427CDF" w:rsidRDefault="00427C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1AB2" w14:textId="77777777" w:rsidR="00427CDF" w:rsidRDefault="00427CDF" w:rsidP="00FE35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6D68">
      <w:rPr>
        <w:rStyle w:val="Numeropagina"/>
        <w:noProof/>
      </w:rPr>
      <w:t>18</w:t>
    </w:r>
    <w:r>
      <w:rPr>
        <w:rStyle w:val="Numeropagina"/>
      </w:rPr>
      <w:fldChar w:fldCharType="end"/>
    </w:r>
  </w:p>
  <w:p w14:paraId="615EFC53" w14:textId="77777777" w:rsidR="00427CDF" w:rsidRDefault="00427C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14AE" w14:textId="77777777" w:rsidR="00E54520" w:rsidRDefault="00E54520">
      <w:r>
        <w:separator/>
      </w:r>
    </w:p>
  </w:footnote>
  <w:footnote w:type="continuationSeparator" w:id="0">
    <w:p w14:paraId="67B3E964" w14:textId="77777777" w:rsidR="00E54520" w:rsidRDefault="00E5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510"/>
        </w:tabs>
        <w:ind w:left="510" w:hanging="170"/>
      </w:pPr>
      <w:rPr>
        <w:rFonts w:ascii="Symbol" w:hAnsi="Symbol" w:cs="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FB388D"/>
    <w:multiLevelType w:val="hybridMultilevel"/>
    <w:tmpl w:val="5956D4BA"/>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273E66"/>
    <w:multiLevelType w:val="multilevel"/>
    <w:tmpl w:val="1D2EB0C6"/>
    <w:lvl w:ilvl="0">
      <w:start w:val="5"/>
      <w:numFmt w:val="bullet"/>
      <w:lvlText w:val=""/>
      <w:lvlJc w:val="left"/>
      <w:pPr>
        <w:tabs>
          <w:tab w:val="num" w:pos="552"/>
        </w:tabs>
        <w:ind w:left="476" w:hanging="284"/>
      </w:pPr>
      <w:rPr>
        <w:rFonts w:ascii="Symbol" w:hAnsi="Symbol" w:cs="Times New Roman" w:hint="default"/>
        <w:sz w:val="22"/>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5" w15:restartNumberingAfterBreak="0">
    <w:nsid w:val="076B4656"/>
    <w:multiLevelType w:val="multilevel"/>
    <w:tmpl w:val="0A0E3E98"/>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311C4B"/>
    <w:multiLevelType w:val="multilevel"/>
    <w:tmpl w:val="30DA991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A702108"/>
    <w:multiLevelType w:val="hybridMultilevel"/>
    <w:tmpl w:val="C172ED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9F17BA"/>
    <w:multiLevelType w:val="hybridMultilevel"/>
    <w:tmpl w:val="6BBA291A"/>
    <w:lvl w:ilvl="0" w:tplc="631A3FD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237A2C"/>
    <w:multiLevelType w:val="hybridMultilevel"/>
    <w:tmpl w:val="8ADA6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960911"/>
    <w:multiLevelType w:val="hybridMultilevel"/>
    <w:tmpl w:val="7E90BD8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C23024"/>
    <w:multiLevelType w:val="hybridMultilevel"/>
    <w:tmpl w:val="1436D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685FC9"/>
    <w:multiLevelType w:val="hybridMultilevel"/>
    <w:tmpl w:val="406E40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29441F"/>
    <w:multiLevelType w:val="hybridMultilevel"/>
    <w:tmpl w:val="46BA9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A23F4F"/>
    <w:multiLevelType w:val="hybridMultilevel"/>
    <w:tmpl w:val="D47E601E"/>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D5A3B"/>
    <w:multiLevelType w:val="hybridMultilevel"/>
    <w:tmpl w:val="BDA84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9AC1C57"/>
    <w:multiLevelType w:val="hybridMultilevel"/>
    <w:tmpl w:val="BC6CF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D6F6B1A"/>
    <w:multiLevelType w:val="hybridMultilevel"/>
    <w:tmpl w:val="114CE61E"/>
    <w:lvl w:ilvl="0" w:tplc="34B6802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1C11125"/>
    <w:multiLevelType w:val="hybridMultilevel"/>
    <w:tmpl w:val="7C8CA38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23CD2652"/>
    <w:multiLevelType w:val="hybridMultilevel"/>
    <w:tmpl w:val="8D0202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4923932"/>
    <w:multiLevelType w:val="hybridMultilevel"/>
    <w:tmpl w:val="3E84C1D2"/>
    <w:lvl w:ilvl="0" w:tplc="56E4C1C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4A91390"/>
    <w:multiLevelType w:val="hybridMultilevel"/>
    <w:tmpl w:val="59241A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64975B5"/>
    <w:multiLevelType w:val="multilevel"/>
    <w:tmpl w:val="DA7C6A08"/>
    <w:lvl w:ilvl="0">
      <w:start w:val="1"/>
      <w:numFmt w:val="bullet"/>
      <w:lvlText w:val=""/>
      <w:lvlJc w:val="left"/>
      <w:pPr>
        <w:ind w:left="1080" w:hanging="360"/>
      </w:pPr>
      <w:rPr>
        <w:rFonts w:ascii="Wingdings" w:hAnsi="Wingdings" w:cs="Wingdings"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29A30D36"/>
    <w:multiLevelType w:val="hybridMultilevel"/>
    <w:tmpl w:val="94D2BE64"/>
    <w:lvl w:ilvl="0" w:tplc="04100001">
      <w:start w:val="1"/>
      <w:numFmt w:val="bullet"/>
      <w:lvlText w:val=""/>
      <w:lvlJc w:val="left"/>
      <w:pPr>
        <w:ind w:left="720" w:hanging="360"/>
      </w:pPr>
      <w:rPr>
        <w:rFonts w:ascii="Symbol" w:hAnsi="Symbol" w:hint="default"/>
      </w:rPr>
    </w:lvl>
    <w:lvl w:ilvl="1" w:tplc="B5B8E4FE">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D525422"/>
    <w:multiLevelType w:val="hybridMultilevel"/>
    <w:tmpl w:val="B44A0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EE2628E"/>
    <w:multiLevelType w:val="hybridMultilevel"/>
    <w:tmpl w:val="7D0C9EEE"/>
    <w:lvl w:ilvl="0" w:tplc="B7C82BFE">
      <w:start w:val="4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BA2D9E"/>
    <w:multiLevelType w:val="hybridMultilevel"/>
    <w:tmpl w:val="898AF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4A26457"/>
    <w:multiLevelType w:val="hybridMultilevel"/>
    <w:tmpl w:val="641AC59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5DA2698"/>
    <w:multiLevelType w:val="hybridMultilevel"/>
    <w:tmpl w:val="8F706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DE48F3"/>
    <w:multiLevelType w:val="hybridMultilevel"/>
    <w:tmpl w:val="8DD0CA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35E13A51"/>
    <w:multiLevelType w:val="hybridMultilevel"/>
    <w:tmpl w:val="C9822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6B737C1"/>
    <w:multiLevelType w:val="hybridMultilevel"/>
    <w:tmpl w:val="3348BA26"/>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E02E1D"/>
    <w:multiLevelType w:val="hybridMultilevel"/>
    <w:tmpl w:val="9AFAE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98307D4"/>
    <w:multiLevelType w:val="hybridMultilevel"/>
    <w:tmpl w:val="2FF889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A9E6EA3"/>
    <w:multiLevelType w:val="hybridMultilevel"/>
    <w:tmpl w:val="80A488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3AFB6C5A"/>
    <w:multiLevelType w:val="hybridMultilevel"/>
    <w:tmpl w:val="E86E7B3E"/>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A613DB"/>
    <w:multiLevelType w:val="hybridMultilevel"/>
    <w:tmpl w:val="3962D832"/>
    <w:lvl w:ilvl="0" w:tplc="683C2E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4676A60"/>
    <w:multiLevelType w:val="hybridMultilevel"/>
    <w:tmpl w:val="46941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75A0439"/>
    <w:multiLevelType w:val="hybridMultilevel"/>
    <w:tmpl w:val="620852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DE1FBC"/>
    <w:multiLevelType w:val="hybridMultilevel"/>
    <w:tmpl w:val="601A3C1A"/>
    <w:lvl w:ilvl="0" w:tplc="F9C0CB4C">
      <w:start w:val="1"/>
      <w:numFmt w:val="decimal"/>
      <w:lvlText w:val="%1."/>
      <w:lvlJc w:val="left"/>
      <w:pPr>
        <w:tabs>
          <w:tab w:val="num" w:pos="720"/>
        </w:tabs>
        <w:ind w:left="720" w:hanging="360"/>
      </w:pPr>
      <w:rPr>
        <w:lang w:val="it-I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15:restartNumberingAfterBreak="0">
    <w:nsid w:val="4BFB302F"/>
    <w:multiLevelType w:val="hybridMultilevel"/>
    <w:tmpl w:val="B37C222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E1368EB"/>
    <w:multiLevelType w:val="hybridMultilevel"/>
    <w:tmpl w:val="B9F45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E611CBE"/>
    <w:multiLevelType w:val="hybridMultilevel"/>
    <w:tmpl w:val="DB3665B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3" w15:restartNumberingAfterBreak="0">
    <w:nsid w:val="54785658"/>
    <w:multiLevelType w:val="hybridMultilevel"/>
    <w:tmpl w:val="868C5088"/>
    <w:lvl w:ilvl="0" w:tplc="C06ECF00">
      <w:start w:val="1"/>
      <w:numFmt w:val="bullet"/>
      <w:lvlText w:val=""/>
      <w:lvlJc w:val="left"/>
      <w:pPr>
        <w:tabs>
          <w:tab w:val="num" w:pos="510"/>
        </w:tabs>
        <w:ind w:left="51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6E070D"/>
    <w:multiLevelType w:val="hybridMultilevel"/>
    <w:tmpl w:val="7F6A6B5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CA2A37"/>
    <w:multiLevelType w:val="hybridMultilevel"/>
    <w:tmpl w:val="26CA957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8F62138"/>
    <w:multiLevelType w:val="hybridMultilevel"/>
    <w:tmpl w:val="3CD66F02"/>
    <w:lvl w:ilvl="0" w:tplc="FFFFFFF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B050BDF"/>
    <w:multiLevelType w:val="hybridMultilevel"/>
    <w:tmpl w:val="42A2C7B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EB10064"/>
    <w:multiLevelType w:val="hybridMultilevel"/>
    <w:tmpl w:val="CD967CDC"/>
    <w:lvl w:ilvl="0" w:tplc="C6FE7778">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5EB8155F"/>
    <w:multiLevelType w:val="hybridMultilevel"/>
    <w:tmpl w:val="3EE2B5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63E77138"/>
    <w:multiLevelType w:val="hybridMultilevel"/>
    <w:tmpl w:val="9A30B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5FA036F"/>
    <w:multiLevelType w:val="hybridMultilevel"/>
    <w:tmpl w:val="ACACE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8DD26BF"/>
    <w:multiLevelType w:val="hybridMultilevel"/>
    <w:tmpl w:val="DB1E9AE4"/>
    <w:lvl w:ilvl="0" w:tplc="FFFFFFF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BBA0AD0"/>
    <w:multiLevelType w:val="hybridMultilevel"/>
    <w:tmpl w:val="E5767B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96070D"/>
    <w:multiLevelType w:val="multilevel"/>
    <w:tmpl w:val="442E25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CEF5345"/>
    <w:multiLevelType w:val="hybridMultilevel"/>
    <w:tmpl w:val="A398A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D4F2F44"/>
    <w:multiLevelType w:val="multilevel"/>
    <w:tmpl w:val="FED030F8"/>
    <w:lvl w:ilvl="0">
      <w:start w:val="5"/>
      <w:numFmt w:val="bullet"/>
      <w:lvlText w:val=""/>
      <w:lvlJc w:val="left"/>
      <w:pPr>
        <w:tabs>
          <w:tab w:val="num" w:pos="432"/>
        </w:tabs>
        <w:ind w:left="356" w:hanging="284"/>
      </w:pPr>
      <w:rPr>
        <w:rFonts w:ascii="Symbol" w:hAnsi="Symbol" w:cs="Times New Roman"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313"/>
        </w:tabs>
        <w:ind w:left="2313"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44B2E22"/>
    <w:multiLevelType w:val="hybridMultilevel"/>
    <w:tmpl w:val="3258AA3A"/>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52979F6"/>
    <w:multiLevelType w:val="multilevel"/>
    <w:tmpl w:val="408A502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6317522"/>
    <w:multiLevelType w:val="hybridMultilevel"/>
    <w:tmpl w:val="593CB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6C778A6"/>
    <w:multiLevelType w:val="hybridMultilevel"/>
    <w:tmpl w:val="AB4E7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9BB6086"/>
    <w:multiLevelType w:val="hybridMultilevel"/>
    <w:tmpl w:val="9D46235A"/>
    <w:lvl w:ilvl="0" w:tplc="C06ECF00">
      <w:start w:val="1"/>
      <w:numFmt w:val="bullet"/>
      <w:lvlText w:val=""/>
      <w:lvlJc w:val="left"/>
      <w:pPr>
        <w:tabs>
          <w:tab w:val="num" w:pos="510"/>
        </w:tabs>
        <w:ind w:left="51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536966"/>
    <w:multiLevelType w:val="hybridMultilevel"/>
    <w:tmpl w:val="6184A2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15:restartNumberingAfterBreak="0">
    <w:nsid w:val="7D2C4C5E"/>
    <w:multiLevelType w:val="hybridMultilevel"/>
    <w:tmpl w:val="B8122C3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876188872">
    <w:abstractNumId w:val="0"/>
  </w:num>
  <w:num w:numId="2" w16cid:durableId="1624580929">
    <w:abstractNumId w:val="1"/>
  </w:num>
  <w:num w:numId="3" w16cid:durableId="415983378">
    <w:abstractNumId w:val="2"/>
  </w:num>
  <w:num w:numId="4" w16cid:durableId="964846422">
    <w:abstractNumId w:val="14"/>
  </w:num>
  <w:num w:numId="5" w16cid:durableId="2029258879">
    <w:abstractNumId w:val="17"/>
  </w:num>
  <w:num w:numId="6" w16cid:durableId="2144619424">
    <w:abstractNumId w:val="15"/>
  </w:num>
  <w:num w:numId="7" w16cid:durableId="1616137545">
    <w:abstractNumId w:val="57"/>
  </w:num>
  <w:num w:numId="8" w16cid:durableId="835726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5888993">
    <w:abstractNumId w:val="43"/>
  </w:num>
  <w:num w:numId="10" w16cid:durableId="1077478972">
    <w:abstractNumId w:val="25"/>
  </w:num>
  <w:num w:numId="11" w16cid:durableId="11019506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172157">
    <w:abstractNumId w:val="1"/>
    <w:lvlOverride w:ilvl="0">
      <w:startOverride w:val="1"/>
    </w:lvlOverride>
  </w:num>
  <w:num w:numId="13" w16cid:durableId="1861772829">
    <w:abstractNumId w:val="61"/>
  </w:num>
  <w:num w:numId="14" w16cid:durableId="15137666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64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688618">
    <w:abstractNumId w:val="20"/>
  </w:num>
  <w:num w:numId="17" w16cid:durableId="443886494">
    <w:abstractNumId w:val="63"/>
  </w:num>
  <w:num w:numId="18" w16cid:durableId="1695494444">
    <w:abstractNumId w:val="19"/>
  </w:num>
  <w:num w:numId="19" w16cid:durableId="2018146773">
    <w:abstractNumId w:val="59"/>
  </w:num>
  <w:num w:numId="20" w16cid:durableId="153958108">
    <w:abstractNumId w:val="22"/>
  </w:num>
  <w:num w:numId="21" w16cid:durableId="1398942669">
    <w:abstractNumId w:val="5"/>
  </w:num>
  <w:num w:numId="22" w16cid:durableId="1809123365">
    <w:abstractNumId w:val="54"/>
  </w:num>
  <w:num w:numId="23" w16cid:durableId="201017419">
    <w:abstractNumId w:val="58"/>
  </w:num>
  <w:num w:numId="24" w16cid:durableId="184446256">
    <w:abstractNumId w:val="56"/>
  </w:num>
  <w:num w:numId="25" w16cid:durableId="1634171852">
    <w:abstractNumId w:val="4"/>
  </w:num>
  <w:num w:numId="26" w16cid:durableId="1890335329">
    <w:abstractNumId w:val="6"/>
  </w:num>
  <w:num w:numId="27" w16cid:durableId="128323944">
    <w:abstractNumId w:val="37"/>
  </w:num>
  <w:num w:numId="28" w16cid:durableId="214127525">
    <w:abstractNumId w:val="41"/>
  </w:num>
  <w:num w:numId="29" w16cid:durableId="1817455828">
    <w:abstractNumId w:val="24"/>
  </w:num>
  <w:num w:numId="30" w16cid:durableId="842356038">
    <w:abstractNumId w:val="30"/>
  </w:num>
  <w:num w:numId="31" w16cid:durableId="563757581">
    <w:abstractNumId w:val="36"/>
  </w:num>
  <w:num w:numId="32" w16cid:durableId="1661618523">
    <w:abstractNumId w:val="25"/>
  </w:num>
  <w:num w:numId="33" w16cid:durableId="883100136">
    <w:abstractNumId w:val="28"/>
  </w:num>
  <w:num w:numId="34" w16cid:durableId="63770828">
    <w:abstractNumId w:val="7"/>
  </w:num>
  <w:num w:numId="35" w16cid:durableId="589584654">
    <w:abstractNumId w:val="47"/>
  </w:num>
  <w:num w:numId="36" w16cid:durableId="727194159">
    <w:abstractNumId w:val="23"/>
  </w:num>
  <w:num w:numId="37" w16cid:durableId="928777351">
    <w:abstractNumId w:val="51"/>
  </w:num>
  <w:num w:numId="38" w16cid:durableId="1004283522">
    <w:abstractNumId w:val="11"/>
  </w:num>
  <w:num w:numId="39" w16cid:durableId="566646551">
    <w:abstractNumId w:val="9"/>
  </w:num>
  <w:num w:numId="40" w16cid:durableId="148402944">
    <w:abstractNumId w:val="12"/>
  </w:num>
  <w:num w:numId="41" w16cid:durableId="629941885">
    <w:abstractNumId w:val="8"/>
  </w:num>
  <w:num w:numId="42" w16cid:durableId="258876254">
    <w:abstractNumId w:val="60"/>
  </w:num>
  <w:num w:numId="43" w16cid:durableId="1375304846">
    <w:abstractNumId w:val="62"/>
  </w:num>
  <w:num w:numId="44" w16cid:durableId="1770273814">
    <w:abstractNumId w:val="33"/>
  </w:num>
  <w:num w:numId="45" w16cid:durableId="977027621">
    <w:abstractNumId w:val="44"/>
  </w:num>
  <w:num w:numId="46" w16cid:durableId="1942031321">
    <w:abstractNumId w:val="10"/>
  </w:num>
  <w:num w:numId="47" w16cid:durableId="1053845691">
    <w:abstractNumId w:val="45"/>
  </w:num>
  <w:num w:numId="48" w16cid:durableId="1068382920">
    <w:abstractNumId w:val="40"/>
  </w:num>
  <w:num w:numId="49" w16cid:durableId="316569545">
    <w:abstractNumId w:val="46"/>
  </w:num>
  <w:num w:numId="50" w16cid:durableId="901675565">
    <w:abstractNumId w:val="52"/>
  </w:num>
  <w:num w:numId="51" w16cid:durableId="849835732">
    <w:abstractNumId w:val="50"/>
  </w:num>
  <w:num w:numId="52" w16cid:durableId="1347443109">
    <w:abstractNumId w:val="21"/>
  </w:num>
  <w:num w:numId="53" w16cid:durableId="1684938115">
    <w:abstractNumId w:val="26"/>
  </w:num>
  <w:num w:numId="54" w16cid:durableId="205140501">
    <w:abstractNumId w:val="13"/>
  </w:num>
  <w:num w:numId="55" w16cid:durableId="1157112108">
    <w:abstractNumId w:val="42"/>
  </w:num>
  <w:num w:numId="56" w16cid:durableId="1562013032">
    <w:abstractNumId w:val="38"/>
  </w:num>
  <w:num w:numId="57" w16cid:durableId="1843083052">
    <w:abstractNumId w:val="53"/>
  </w:num>
  <w:num w:numId="58" w16cid:durableId="1257860956">
    <w:abstractNumId w:val="34"/>
  </w:num>
  <w:num w:numId="59" w16cid:durableId="1842164291">
    <w:abstractNumId w:val="49"/>
  </w:num>
  <w:num w:numId="60" w16cid:durableId="1706904404">
    <w:abstractNumId w:val="27"/>
  </w:num>
  <w:num w:numId="61" w16cid:durableId="665324948">
    <w:abstractNumId w:val="48"/>
  </w:num>
  <w:num w:numId="62" w16cid:durableId="486629627">
    <w:abstractNumId w:val="35"/>
  </w:num>
  <w:num w:numId="63" w16cid:durableId="1650330092">
    <w:abstractNumId w:val="3"/>
  </w:num>
  <w:num w:numId="64" w16cid:durableId="844049791">
    <w:abstractNumId w:val="31"/>
  </w:num>
  <w:num w:numId="65" w16cid:durableId="463543406">
    <w:abstractNumId w:val="16"/>
  </w:num>
  <w:num w:numId="66" w16cid:durableId="1379474103">
    <w:abstractNumId w:val="55"/>
  </w:num>
  <w:num w:numId="67" w16cid:durableId="972098646">
    <w:abstractNumId w:val="29"/>
  </w:num>
  <w:num w:numId="68" w16cid:durableId="5589810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77"/>
    <w:rsid w:val="00000AB5"/>
    <w:rsid w:val="00001BE6"/>
    <w:rsid w:val="000025E1"/>
    <w:rsid w:val="000029D0"/>
    <w:rsid w:val="000045A8"/>
    <w:rsid w:val="000051DB"/>
    <w:rsid w:val="00005221"/>
    <w:rsid w:val="00006236"/>
    <w:rsid w:val="00007036"/>
    <w:rsid w:val="000122DB"/>
    <w:rsid w:val="00012318"/>
    <w:rsid w:val="00013346"/>
    <w:rsid w:val="000141FE"/>
    <w:rsid w:val="0001564C"/>
    <w:rsid w:val="00016D23"/>
    <w:rsid w:val="00016E20"/>
    <w:rsid w:val="00017B26"/>
    <w:rsid w:val="00017CAE"/>
    <w:rsid w:val="00024152"/>
    <w:rsid w:val="000245BB"/>
    <w:rsid w:val="000311A3"/>
    <w:rsid w:val="00032EC9"/>
    <w:rsid w:val="00034AA7"/>
    <w:rsid w:val="00037F07"/>
    <w:rsid w:val="000400E2"/>
    <w:rsid w:val="00040541"/>
    <w:rsid w:val="0004249A"/>
    <w:rsid w:val="000425B2"/>
    <w:rsid w:val="0004348C"/>
    <w:rsid w:val="0004427A"/>
    <w:rsid w:val="00044EA9"/>
    <w:rsid w:val="00045A60"/>
    <w:rsid w:val="00046272"/>
    <w:rsid w:val="000500C0"/>
    <w:rsid w:val="000532EC"/>
    <w:rsid w:val="000539B5"/>
    <w:rsid w:val="00054435"/>
    <w:rsid w:val="000547AA"/>
    <w:rsid w:val="00054DCA"/>
    <w:rsid w:val="00056891"/>
    <w:rsid w:val="000573B2"/>
    <w:rsid w:val="00057DFA"/>
    <w:rsid w:val="00060D98"/>
    <w:rsid w:val="0006395B"/>
    <w:rsid w:val="000642D1"/>
    <w:rsid w:val="0006693B"/>
    <w:rsid w:val="0006754D"/>
    <w:rsid w:val="00067759"/>
    <w:rsid w:val="000708CF"/>
    <w:rsid w:val="0007115D"/>
    <w:rsid w:val="00071E5C"/>
    <w:rsid w:val="00073597"/>
    <w:rsid w:val="00073BD6"/>
    <w:rsid w:val="00074DE1"/>
    <w:rsid w:val="00074E8B"/>
    <w:rsid w:val="00074EA3"/>
    <w:rsid w:val="00076095"/>
    <w:rsid w:val="00077C5B"/>
    <w:rsid w:val="00080DC5"/>
    <w:rsid w:val="000817E8"/>
    <w:rsid w:val="00084EC4"/>
    <w:rsid w:val="00084F85"/>
    <w:rsid w:val="000859EC"/>
    <w:rsid w:val="00085C31"/>
    <w:rsid w:val="00085EBA"/>
    <w:rsid w:val="000870E5"/>
    <w:rsid w:val="00092B74"/>
    <w:rsid w:val="00093806"/>
    <w:rsid w:val="000949D4"/>
    <w:rsid w:val="0009708B"/>
    <w:rsid w:val="00097CF4"/>
    <w:rsid w:val="000A477D"/>
    <w:rsid w:val="000A4BDB"/>
    <w:rsid w:val="000A4FCA"/>
    <w:rsid w:val="000A5468"/>
    <w:rsid w:val="000A6528"/>
    <w:rsid w:val="000A6F0A"/>
    <w:rsid w:val="000B0266"/>
    <w:rsid w:val="000B04BB"/>
    <w:rsid w:val="000B0C79"/>
    <w:rsid w:val="000B1087"/>
    <w:rsid w:val="000B1D02"/>
    <w:rsid w:val="000B1D3F"/>
    <w:rsid w:val="000B4808"/>
    <w:rsid w:val="000B4E9B"/>
    <w:rsid w:val="000B6778"/>
    <w:rsid w:val="000B723D"/>
    <w:rsid w:val="000B74E1"/>
    <w:rsid w:val="000B7B17"/>
    <w:rsid w:val="000C0C49"/>
    <w:rsid w:val="000C2229"/>
    <w:rsid w:val="000C260C"/>
    <w:rsid w:val="000C3C3A"/>
    <w:rsid w:val="000C44B5"/>
    <w:rsid w:val="000C4B8B"/>
    <w:rsid w:val="000C59EA"/>
    <w:rsid w:val="000D19CA"/>
    <w:rsid w:val="000D212D"/>
    <w:rsid w:val="000D293F"/>
    <w:rsid w:val="000D49D7"/>
    <w:rsid w:val="000E0517"/>
    <w:rsid w:val="000E0D51"/>
    <w:rsid w:val="000E2BFE"/>
    <w:rsid w:val="000E3DC0"/>
    <w:rsid w:val="000E5142"/>
    <w:rsid w:val="000E6B30"/>
    <w:rsid w:val="000E7A6F"/>
    <w:rsid w:val="000F1148"/>
    <w:rsid w:val="000F16F4"/>
    <w:rsid w:val="000F1BFD"/>
    <w:rsid w:val="000F31B8"/>
    <w:rsid w:val="000F477A"/>
    <w:rsid w:val="000F648A"/>
    <w:rsid w:val="001014F6"/>
    <w:rsid w:val="00101C7E"/>
    <w:rsid w:val="00102202"/>
    <w:rsid w:val="00102789"/>
    <w:rsid w:val="001029A4"/>
    <w:rsid w:val="00107717"/>
    <w:rsid w:val="0011033F"/>
    <w:rsid w:val="00110D32"/>
    <w:rsid w:val="00113763"/>
    <w:rsid w:val="0011484A"/>
    <w:rsid w:val="00114EA5"/>
    <w:rsid w:val="001152C0"/>
    <w:rsid w:val="00117A54"/>
    <w:rsid w:val="00117CB9"/>
    <w:rsid w:val="001203FB"/>
    <w:rsid w:val="00120AC7"/>
    <w:rsid w:val="0012189F"/>
    <w:rsid w:val="0012291C"/>
    <w:rsid w:val="00124652"/>
    <w:rsid w:val="00126836"/>
    <w:rsid w:val="00127B52"/>
    <w:rsid w:val="00130AB8"/>
    <w:rsid w:val="001333B4"/>
    <w:rsid w:val="00135445"/>
    <w:rsid w:val="0013785E"/>
    <w:rsid w:val="001378CE"/>
    <w:rsid w:val="001427BE"/>
    <w:rsid w:val="00143352"/>
    <w:rsid w:val="00144D77"/>
    <w:rsid w:val="001451E4"/>
    <w:rsid w:val="001506F4"/>
    <w:rsid w:val="00150E7E"/>
    <w:rsid w:val="00151630"/>
    <w:rsid w:val="00151663"/>
    <w:rsid w:val="00154E5C"/>
    <w:rsid w:val="00155F93"/>
    <w:rsid w:val="001573E6"/>
    <w:rsid w:val="00160895"/>
    <w:rsid w:val="00164AB7"/>
    <w:rsid w:val="00164EEA"/>
    <w:rsid w:val="00165231"/>
    <w:rsid w:val="0016547D"/>
    <w:rsid w:val="0016568A"/>
    <w:rsid w:val="0016683E"/>
    <w:rsid w:val="00166D67"/>
    <w:rsid w:val="001672E9"/>
    <w:rsid w:val="0017054C"/>
    <w:rsid w:val="0017189C"/>
    <w:rsid w:val="00172E6A"/>
    <w:rsid w:val="00173562"/>
    <w:rsid w:val="00173837"/>
    <w:rsid w:val="00176913"/>
    <w:rsid w:val="001828DC"/>
    <w:rsid w:val="001832D6"/>
    <w:rsid w:val="00185BC0"/>
    <w:rsid w:val="001867FC"/>
    <w:rsid w:val="00187781"/>
    <w:rsid w:val="00190D81"/>
    <w:rsid w:val="00193138"/>
    <w:rsid w:val="0019315C"/>
    <w:rsid w:val="001A06B0"/>
    <w:rsid w:val="001A1E22"/>
    <w:rsid w:val="001A36C6"/>
    <w:rsid w:val="001A570F"/>
    <w:rsid w:val="001A5EE4"/>
    <w:rsid w:val="001A6808"/>
    <w:rsid w:val="001B0B7A"/>
    <w:rsid w:val="001B0E9E"/>
    <w:rsid w:val="001B650B"/>
    <w:rsid w:val="001B6D42"/>
    <w:rsid w:val="001C0349"/>
    <w:rsid w:val="001C04C1"/>
    <w:rsid w:val="001C0565"/>
    <w:rsid w:val="001C0F0A"/>
    <w:rsid w:val="001C1522"/>
    <w:rsid w:val="001C263B"/>
    <w:rsid w:val="001C2CC5"/>
    <w:rsid w:val="001C37B3"/>
    <w:rsid w:val="001C498E"/>
    <w:rsid w:val="001C64B7"/>
    <w:rsid w:val="001D0B70"/>
    <w:rsid w:val="001D1606"/>
    <w:rsid w:val="001D1627"/>
    <w:rsid w:val="001D31E3"/>
    <w:rsid w:val="001D642A"/>
    <w:rsid w:val="001D6D72"/>
    <w:rsid w:val="001D7244"/>
    <w:rsid w:val="001D7ADC"/>
    <w:rsid w:val="001E1269"/>
    <w:rsid w:val="001E395B"/>
    <w:rsid w:val="001E3A3A"/>
    <w:rsid w:val="001E6FB0"/>
    <w:rsid w:val="001F0049"/>
    <w:rsid w:val="001F1DCA"/>
    <w:rsid w:val="001F267E"/>
    <w:rsid w:val="001F2E94"/>
    <w:rsid w:val="001F4CF0"/>
    <w:rsid w:val="001F4E49"/>
    <w:rsid w:val="001F6F49"/>
    <w:rsid w:val="001F7EB1"/>
    <w:rsid w:val="0020233E"/>
    <w:rsid w:val="002052BA"/>
    <w:rsid w:val="0020747B"/>
    <w:rsid w:val="00212D57"/>
    <w:rsid w:val="002135B2"/>
    <w:rsid w:val="00214AB2"/>
    <w:rsid w:val="00220F7C"/>
    <w:rsid w:val="00221ADE"/>
    <w:rsid w:val="0022294F"/>
    <w:rsid w:val="00223498"/>
    <w:rsid w:val="0022604A"/>
    <w:rsid w:val="002264CD"/>
    <w:rsid w:val="0022661C"/>
    <w:rsid w:val="002307E2"/>
    <w:rsid w:val="00230E87"/>
    <w:rsid w:val="002311B3"/>
    <w:rsid w:val="0023388A"/>
    <w:rsid w:val="00233E28"/>
    <w:rsid w:val="0024311E"/>
    <w:rsid w:val="00243C25"/>
    <w:rsid w:val="00244B80"/>
    <w:rsid w:val="00244C41"/>
    <w:rsid w:val="002513B1"/>
    <w:rsid w:val="00251CF3"/>
    <w:rsid w:val="00251FE7"/>
    <w:rsid w:val="00253800"/>
    <w:rsid w:val="00256134"/>
    <w:rsid w:val="00256E84"/>
    <w:rsid w:val="002607D6"/>
    <w:rsid w:val="002610B9"/>
    <w:rsid w:val="0026234C"/>
    <w:rsid w:val="0026242B"/>
    <w:rsid w:val="0026256A"/>
    <w:rsid w:val="00262666"/>
    <w:rsid w:val="002626A5"/>
    <w:rsid w:val="00262AA6"/>
    <w:rsid w:val="00265AFC"/>
    <w:rsid w:val="00266BF6"/>
    <w:rsid w:val="00272971"/>
    <w:rsid w:val="0027419E"/>
    <w:rsid w:val="002756BF"/>
    <w:rsid w:val="00275BEA"/>
    <w:rsid w:val="00275FC3"/>
    <w:rsid w:val="00277FB2"/>
    <w:rsid w:val="00281384"/>
    <w:rsid w:val="00281612"/>
    <w:rsid w:val="002834C8"/>
    <w:rsid w:val="00283C08"/>
    <w:rsid w:val="00284F5E"/>
    <w:rsid w:val="002902C4"/>
    <w:rsid w:val="002911D9"/>
    <w:rsid w:val="00291B4D"/>
    <w:rsid w:val="00293382"/>
    <w:rsid w:val="00294997"/>
    <w:rsid w:val="002958AD"/>
    <w:rsid w:val="002A0A6F"/>
    <w:rsid w:val="002A3460"/>
    <w:rsid w:val="002A48F7"/>
    <w:rsid w:val="002A50CF"/>
    <w:rsid w:val="002B0ECB"/>
    <w:rsid w:val="002B1521"/>
    <w:rsid w:val="002B299B"/>
    <w:rsid w:val="002B34EE"/>
    <w:rsid w:val="002B3DAD"/>
    <w:rsid w:val="002B411F"/>
    <w:rsid w:val="002B6AF0"/>
    <w:rsid w:val="002B705B"/>
    <w:rsid w:val="002B7508"/>
    <w:rsid w:val="002C01E3"/>
    <w:rsid w:val="002C17BD"/>
    <w:rsid w:val="002C20CC"/>
    <w:rsid w:val="002C76FB"/>
    <w:rsid w:val="002C7E45"/>
    <w:rsid w:val="002D0619"/>
    <w:rsid w:val="002D0B91"/>
    <w:rsid w:val="002D0E1E"/>
    <w:rsid w:val="002D0FFF"/>
    <w:rsid w:val="002D176A"/>
    <w:rsid w:val="002D2767"/>
    <w:rsid w:val="002D354B"/>
    <w:rsid w:val="002D3BAD"/>
    <w:rsid w:val="002D59D5"/>
    <w:rsid w:val="002D6723"/>
    <w:rsid w:val="002D7808"/>
    <w:rsid w:val="002E2B77"/>
    <w:rsid w:val="002E33AF"/>
    <w:rsid w:val="002E3E1A"/>
    <w:rsid w:val="002E62BB"/>
    <w:rsid w:val="002F067B"/>
    <w:rsid w:val="002F1785"/>
    <w:rsid w:val="002F25B9"/>
    <w:rsid w:val="002F5090"/>
    <w:rsid w:val="002F52EB"/>
    <w:rsid w:val="002F69CB"/>
    <w:rsid w:val="002F77FC"/>
    <w:rsid w:val="0030018C"/>
    <w:rsid w:val="0030155F"/>
    <w:rsid w:val="003050E4"/>
    <w:rsid w:val="00305B91"/>
    <w:rsid w:val="003062BB"/>
    <w:rsid w:val="00310227"/>
    <w:rsid w:val="00310D81"/>
    <w:rsid w:val="00313933"/>
    <w:rsid w:val="00313A8E"/>
    <w:rsid w:val="00314C29"/>
    <w:rsid w:val="00315AA3"/>
    <w:rsid w:val="0032081B"/>
    <w:rsid w:val="003223EE"/>
    <w:rsid w:val="00322811"/>
    <w:rsid w:val="00325F55"/>
    <w:rsid w:val="003265EB"/>
    <w:rsid w:val="00326EA0"/>
    <w:rsid w:val="00331F90"/>
    <w:rsid w:val="003334C2"/>
    <w:rsid w:val="0033473D"/>
    <w:rsid w:val="00334B53"/>
    <w:rsid w:val="003367E4"/>
    <w:rsid w:val="00341B67"/>
    <w:rsid w:val="003431A3"/>
    <w:rsid w:val="0034547E"/>
    <w:rsid w:val="00347342"/>
    <w:rsid w:val="0035032D"/>
    <w:rsid w:val="003514B5"/>
    <w:rsid w:val="003514C6"/>
    <w:rsid w:val="00353A22"/>
    <w:rsid w:val="00354D5A"/>
    <w:rsid w:val="00356886"/>
    <w:rsid w:val="00356DFA"/>
    <w:rsid w:val="003574C8"/>
    <w:rsid w:val="003577A8"/>
    <w:rsid w:val="0036161B"/>
    <w:rsid w:val="00362CD3"/>
    <w:rsid w:val="003636CB"/>
    <w:rsid w:val="00363B27"/>
    <w:rsid w:val="00363E0A"/>
    <w:rsid w:val="00366D6F"/>
    <w:rsid w:val="00370391"/>
    <w:rsid w:val="0037083B"/>
    <w:rsid w:val="00370E52"/>
    <w:rsid w:val="00372895"/>
    <w:rsid w:val="003732B9"/>
    <w:rsid w:val="00374BC0"/>
    <w:rsid w:val="00374C8D"/>
    <w:rsid w:val="00376D91"/>
    <w:rsid w:val="00382AE1"/>
    <w:rsid w:val="0038356C"/>
    <w:rsid w:val="0038513E"/>
    <w:rsid w:val="00385556"/>
    <w:rsid w:val="0038578A"/>
    <w:rsid w:val="00385E97"/>
    <w:rsid w:val="003862EF"/>
    <w:rsid w:val="003869CE"/>
    <w:rsid w:val="00386D68"/>
    <w:rsid w:val="00387A5E"/>
    <w:rsid w:val="0039009E"/>
    <w:rsid w:val="00390865"/>
    <w:rsid w:val="0039313F"/>
    <w:rsid w:val="00393DCF"/>
    <w:rsid w:val="00395715"/>
    <w:rsid w:val="0039605A"/>
    <w:rsid w:val="00396109"/>
    <w:rsid w:val="003A07E7"/>
    <w:rsid w:val="003A0BEF"/>
    <w:rsid w:val="003A135B"/>
    <w:rsid w:val="003A28A8"/>
    <w:rsid w:val="003A474B"/>
    <w:rsid w:val="003A499E"/>
    <w:rsid w:val="003A50AA"/>
    <w:rsid w:val="003B0DB0"/>
    <w:rsid w:val="003B0EE7"/>
    <w:rsid w:val="003B0F48"/>
    <w:rsid w:val="003B44EA"/>
    <w:rsid w:val="003B71C1"/>
    <w:rsid w:val="003B7E8F"/>
    <w:rsid w:val="003C3E66"/>
    <w:rsid w:val="003C4CE4"/>
    <w:rsid w:val="003C5A76"/>
    <w:rsid w:val="003C754F"/>
    <w:rsid w:val="003D0737"/>
    <w:rsid w:val="003D0F33"/>
    <w:rsid w:val="003D4703"/>
    <w:rsid w:val="003D5E70"/>
    <w:rsid w:val="003E1CA6"/>
    <w:rsid w:val="003E25AF"/>
    <w:rsid w:val="003E2720"/>
    <w:rsid w:val="003E3FF3"/>
    <w:rsid w:val="003E655A"/>
    <w:rsid w:val="003E7703"/>
    <w:rsid w:val="003F0249"/>
    <w:rsid w:val="003F1974"/>
    <w:rsid w:val="003F2306"/>
    <w:rsid w:val="003F348D"/>
    <w:rsid w:val="003F371A"/>
    <w:rsid w:val="003F3867"/>
    <w:rsid w:val="003F44BC"/>
    <w:rsid w:val="003F49A4"/>
    <w:rsid w:val="003F5377"/>
    <w:rsid w:val="003F5531"/>
    <w:rsid w:val="003F6C4E"/>
    <w:rsid w:val="00400F92"/>
    <w:rsid w:val="004021A1"/>
    <w:rsid w:val="00403E49"/>
    <w:rsid w:val="00404CCF"/>
    <w:rsid w:val="00406747"/>
    <w:rsid w:val="004074FD"/>
    <w:rsid w:val="004119AE"/>
    <w:rsid w:val="00413140"/>
    <w:rsid w:val="00415159"/>
    <w:rsid w:val="00416552"/>
    <w:rsid w:val="00422893"/>
    <w:rsid w:val="0042296D"/>
    <w:rsid w:val="00422BA3"/>
    <w:rsid w:val="004233B6"/>
    <w:rsid w:val="00423550"/>
    <w:rsid w:val="00424C1C"/>
    <w:rsid w:val="004253EA"/>
    <w:rsid w:val="00426341"/>
    <w:rsid w:val="00426ACC"/>
    <w:rsid w:val="00427CDF"/>
    <w:rsid w:val="00430A7C"/>
    <w:rsid w:val="0043572C"/>
    <w:rsid w:val="00436E61"/>
    <w:rsid w:val="00436F07"/>
    <w:rsid w:val="00437E61"/>
    <w:rsid w:val="00440FDA"/>
    <w:rsid w:val="00442EE8"/>
    <w:rsid w:val="00443473"/>
    <w:rsid w:val="004440EC"/>
    <w:rsid w:val="004451B4"/>
    <w:rsid w:val="00446FBC"/>
    <w:rsid w:val="00450131"/>
    <w:rsid w:val="00452767"/>
    <w:rsid w:val="0045305D"/>
    <w:rsid w:val="004544F1"/>
    <w:rsid w:val="004545F4"/>
    <w:rsid w:val="00454B6B"/>
    <w:rsid w:val="00455F5C"/>
    <w:rsid w:val="004618CD"/>
    <w:rsid w:val="00462738"/>
    <w:rsid w:val="00462E3A"/>
    <w:rsid w:val="004637E1"/>
    <w:rsid w:val="0046591C"/>
    <w:rsid w:val="0047017F"/>
    <w:rsid w:val="00472ACB"/>
    <w:rsid w:val="00472B24"/>
    <w:rsid w:val="00472E4C"/>
    <w:rsid w:val="00473F15"/>
    <w:rsid w:val="004772B4"/>
    <w:rsid w:val="00477C74"/>
    <w:rsid w:val="00480C77"/>
    <w:rsid w:val="00482041"/>
    <w:rsid w:val="0048237A"/>
    <w:rsid w:val="004836C0"/>
    <w:rsid w:val="004837B5"/>
    <w:rsid w:val="004850BD"/>
    <w:rsid w:val="004903B0"/>
    <w:rsid w:val="00491B58"/>
    <w:rsid w:val="00493DC6"/>
    <w:rsid w:val="004972EA"/>
    <w:rsid w:val="004A1BA0"/>
    <w:rsid w:val="004A2B0C"/>
    <w:rsid w:val="004A330B"/>
    <w:rsid w:val="004A371E"/>
    <w:rsid w:val="004A3BFE"/>
    <w:rsid w:val="004A4EE9"/>
    <w:rsid w:val="004A6113"/>
    <w:rsid w:val="004A78E0"/>
    <w:rsid w:val="004A7D44"/>
    <w:rsid w:val="004B3965"/>
    <w:rsid w:val="004B3A26"/>
    <w:rsid w:val="004B3C9E"/>
    <w:rsid w:val="004B422A"/>
    <w:rsid w:val="004B4A33"/>
    <w:rsid w:val="004B5DD9"/>
    <w:rsid w:val="004C0C82"/>
    <w:rsid w:val="004C12D1"/>
    <w:rsid w:val="004C15C7"/>
    <w:rsid w:val="004C1B71"/>
    <w:rsid w:val="004C2B2B"/>
    <w:rsid w:val="004C3865"/>
    <w:rsid w:val="004C4BAD"/>
    <w:rsid w:val="004D00D4"/>
    <w:rsid w:val="004D0E74"/>
    <w:rsid w:val="004D1114"/>
    <w:rsid w:val="004D122A"/>
    <w:rsid w:val="004D16CD"/>
    <w:rsid w:val="004D675B"/>
    <w:rsid w:val="004D73A5"/>
    <w:rsid w:val="004D75A1"/>
    <w:rsid w:val="004E0F4E"/>
    <w:rsid w:val="004E2681"/>
    <w:rsid w:val="004E33E6"/>
    <w:rsid w:val="004E42FC"/>
    <w:rsid w:val="004E4B6C"/>
    <w:rsid w:val="004E6583"/>
    <w:rsid w:val="004E7D68"/>
    <w:rsid w:val="004E7EF8"/>
    <w:rsid w:val="004F1B80"/>
    <w:rsid w:val="004F31B4"/>
    <w:rsid w:val="004F364B"/>
    <w:rsid w:val="004F4C4E"/>
    <w:rsid w:val="004F5A73"/>
    <w:rsid w:val="004F6772"/>
    <w:rsid w:val="00500102"/>
    <w:rsid w:val="005027D1"/>
    <w:rsid w:val="00502B17"/>
    <w:rsid w:val="00503BBB"/>
    <w:rsid w:val="00504262"/>
    <w:rsid w:val="00504988"/>
    <w:rsid w:val="00506106"/>
    <w:rsid w:val="00507C68"/>
    <w:rsid w:val="00507DBA"/>
    <w:rsid w:val="00510D06"/>
    <w:rsid w:val="005110C7"/>
    <w:rsid w:val="00512DCD"/>
    <w:rsid w:val="00512EC5"/>
    <w:rsid w:val="00513E10"/>
    <w:rsid w:val="00517727"/>
    <w:rsid w:val="00522504"/>
    <w:rsid w:val="0052283F"/>
    <w:rsid w:val="0052440D"/>
    <w:rsid w:val="005244DF"/>
    <w:rsid w:val="00525F87"/>
    <w:rsid w:val="00527B94"/>
    <w:rsid w:val="00527D95"/>
    <w:rsid w:val="00530B57"/>
    <w:rsid w:val="00531256"/>
    <w:rsid w:val="00532548"/>
    <w:rsid w:val="00532771"/>
    <w:rsid w:val="005328EA"/>
    <w:rsid w:val="00532CBB"/>
    <w:rsid w:val="00533201"/>
    <w:rsid w:val="00533788"/>
    <w:rsid w:val="00534412"/>
    <w:rsid w:val="00534B54"/>
    <w:rsid w:val="00535905"/>
    <w:rsid w:val="0053637E"/>
    <w:rsid w:val="005376BC"/>
    <w:rsid w:val="00540457"/>
    <w:rsid w:val="0054059F"/>
    <w:rsid w:val="005412FF"/>
    <w:rsid w:val="00543E1F"/>
    <w:rsid w:val="00544375"/>
    <w:rsid w:val="00546339"/>
    <w:rsid w:val="00546D0B"/>
    <w:rsid w:val="00551B67"/>
    <w:rsid w:val="00551E92"/>
    <w:rsid w:val="00556309"/>
    <w:rsid w:val="005571FC"/>
    <w:rsid w:val="0055736B"/>
    <w:rsid w:val="0056156A"/>
    <w:rsid w:val="00563666"/>
    <w:rsid w:val="00563C28"/>
    <w:rsid w:val="00564974"/>
    <w:rsid w:val="00564FC2"/>
    <w:rsid w:val="005657D6"/>
    <w:rsid w:val="005679DF"/>
    <w:rsid w:val="0057059B"/>
    <w:rsid w:val="00572BBF"/>
    <w:rsid w:val="00573554"/>
    <w:rsid w:val="0057422A"/>
    <w:rsid w:val="00574AA3"/>
    <w:rsid w:val="00575836"/>
    <w:rsid w:val="0058031C"/>
    <w:rsid w:val="00580B4C"/>
    <w:rsid w:val="005822A3"/>
    <w:rsid w:val="005831A8"/>
    <w:rsid w:val="005833A3"/>
    <w:rsid w:val="00583DC2"/>
    <w:rsid w:val="00585814"/>
    <w:rsid w:val="00586E23"/>
    <w:rsid w:val="00587FFC"/>
    <w:rsid w:val="00592ABE"/>
    <w:rsid w:val="00593537"/>
    <w:rsid w:val="0059540C"/>
    <w:rsid w:val="0059621E"/>
    <w:rsid w:val="00597674"/>
    <w:rsid w:val="00597C17"/>
    <w:rsid w:val="005A50E6"/>
    <w:rsid w:val="005A6829"/>
    <w:rsid w:val="005A6961"/>
    <w:rsid w:val="005A787A"/>
    <w:rsid w:val="005B1E71"/>
    <w:rsid w:val="005B2987"/>
    <w:rsid w:val="005B2BFD"/>
    <w:rsid w:val="005B3211"/>
    <w:rsid w:val="005B3BA8"/>
    <w:rsid w:val="005B5726"/>
    <w:rsid w:val="005B687D"/>
    <w:rsid w:val="005C0246"/>
    <w:rsid w:val="005C1912"/>
    <w:rsid w:val="005C3BD3"/>
    <w:rsid w:val="005C53FE"/>
    <w:rsid w:val="005C71C8"/>
    <w:rsid w:val="005D023F"/>
    <w:rsid w:val="005D0F15"/>
    <w:rsid w:val="005D2233"/>
    <w:rsid w:val="005D2A66"/>
    <w:rsid w:val="005D40BB"/>
    <w:rsid w:val="005D5452"/>
    <w:rsid w:val="005D5804"/>
    <w:rsid w:val="005E17EE"/>
    <w:rsid w:val="005E1989"/>
    <w:rsid w:val="005E33CD"/>
    <w:rsid w:val="005E3E98"/>
    <w:rsid w:val="005E4480"/>
    <w:rsid w:val="005E5556"/>
    <w:rsid w:val="005E5D1F"/>
    <w:rsid w:val="005F6775"/>
    <w:rsid w:val="005F719C"/>
    <w:rsid w:val="006009E4"/>
    <w:rsid w:val="00601EEE"/>
    <w:rsid w:val="006025F8"/>
    <w:rsid w:val="00603988"/>
    <w:rsid w:val="00604174"/>
    <w:rsid w:val="006047CE"/>
    <w:rsid w:val="0060500D"/>
    <w:rsid w:val="00605DBE"/>
    <w:rsid w:val="00606B6F"/>
    <w:rsid w:val="006072DD"/>
    <w:rsid w:val="00607537"/>
    <w:rsid w:val="00610A03"/>
    <w:rsid w:val="00611528"/>
    <w:rsid w:val="00617244"/>
    <w:rsid w:val="00620F24"/>
    <w:rsid w:val="00622C39"/>
    <w:rsid w:val="006237C0"/>
    <w:rsid w:val="00623C17"/>
    <w:rsid w:val="00623C9C"/>
    <w:rsid w:val="00624002"/>
    <w:rsid w:val="00626936"/>
    <w:rsid w:val="006278C4"/>
    <w:rsid w:val="00630A3F"/>
    <w:rsid w:val="006311F8"/>
    <w:rsid w:val="00631F6B"/>
    <w:rsid w:val="00633246"/>
    <w:rsid w:val="0063332C"/>
    <w:rsid w:val="0064076C"/>
    <w:rsid w:val="00642A61"/>
    <w:rsid w:val="006432EE"/>
    <w:rsid w:val="00644460"/>
    <w:rsid w:val="0064594B"/>
    <w:rsid w:val="00646F7F"/>
    <w:rsid w:val="006478AC"/>
    <w:rsid w:val="00650629"/>
    <w:rsid w:val="006518A6"/>
    <w:rsid w:val="00652B41"/>
    <w:rsid w:val="006534C9"/>
    <w:rsid w:val="006540DE"/>
    <w:rsid w:val="00654164"/>
    <w:rsid w:val="00655808"/>
    <w:rsid w:val="006560C6"/>
    <w:rsid w:val="0065689C"/>
    <w:rsid w:val="006574EC"/>
    <w:rsid w:val="00657D19"/>
    <w:rsid w:val="00660184"/>
    <w:rsid w:val="00662E37"/>
    <w:rsid w:val="00663FBB"/>
    <w:rsid w:val="00664079"/>
    <w:rsid w:val="0066429B"/>
    <w:rsid w:val="00664F64"/>
    <w:rsid w:val="00665BA3"/>
    <w:rsid w:val="0067126D"/>
    <w:rsid w:val="00672734"/>
    <w:rsid w:val="006753F4"/>
    <w:rsid w:val="00675FE4"/>
    <w:rsid w:val="00676341"/>
    <w:rsid w:val="006854D4"/>
    <w:rsid w:val="006927A9"/>
    <w:rsid w:val="006951CD"/>
    <w:rsid w:val="0069533D"/>
    <w:rsid w:val="0069569D"/>
    <w:rsid w:val="00697348"/>
    <w:rsid w:val="006A050B"/>
    <w:rsid w:val="006A1F60"/>
    <w:rsid w:val="006A2A7F"/>
    <w:rsid w:val="006A35FB"/>
    <w:rsid w:val="006A3E0D"/>
    <w:rsid w:val="006A5175"/>
    <w:rsid w:val="006B104B"/>
    <w:rsid w:val="006B3C27"/>
    <w:rsid w:val="006B436C"/>
    <w:rsid w:val="006B5063"/>
    <w:rsid w:val="006B68EC"/>
    <w:rsid w:val="006B70DA"/>
    <w:rsid w:val="006C0FA6"/>
    <w:rsid w:val="006C157C"/>
    <w:rsid w:val="006C221D"/>
    <w:rsid w:val="006C4DCE"/>
    <w:rsid w:val="006C545D"/>
    <w:rsid w:val="006C5DA4"/>
    <w:rsid w:val="006C669F"/>
    <w:rsid w:val="006C7C30"/>
    <w:rsid w:val="006D0563"/>
    <w:rsid w:val="006D1A10"/>
    <w:rsid w:val="006D245D"/>
    <w:rsid w:val="006D24FF"/>
    <w:rsid w:val="006D351C"/>
    <w:rsid w:val="006D3633"/>
    <w:rsid w:val="006D4B20"/>
    <w:rsid w:val="006D6146"/>
    <w:rsid w:val="006E0884"/>
    <w:rsid w:val="006E08A8"/>
    <w:rsid w:val="006E15AF"/>
    <w:rsid w:val="006E2012"/>
    <w:rsid w:val="006E3DC0"/>
    <w:rsid w:val="006E3E70"/>
    <w:rsid w:val="006E4F83"/>
    <w:rsid w:val="006E60BC"/>
    <w:rsid w:val="006E61DE"/>
    <w:rsid w:val="006E6368"/>
    <w:rsid w:val="006E6545"/>
    <w:rsid w:val="006E7DF5"/>
    <w:rsid w:val="006F07BE"/>
    <w:rsid w:val="006F0BE2"/>
    <w:rsid w:val="006F1B97"/>
    <w:rsid w:val="006F2EA3"/>
    <w:rsid w:val="006F3309"/>
    <w:rsid w:val="006F3A57"/>
    <w:rsid w:val="006F3F71"/>
    <w:rsid w:val="006F5025"/>
    <w:rsid w:val="006F6523"/>
    <w:rsid w:val="00701783"/>
    <w:rsid w:val="00702166"/>
    <w:rsid w:val="0070253F"/>
    <w:rsid w:val="0070261D"/>
    <w:rsid w:val="00703673"/>
    <w:rsid w:val="00706BFE"/>
    <w:rsid w:val="0070749F"/>
    <w:rsid w:val="00707696"/>
    <w:rsid w:val="007109BB"/>
    <w:rsid w:val="0071275D"/>
    <w:rsid w:val="00713E2E"/>
    <w:rsid w:val="007168A7"/>
    <w:rsid w:val="00717E89"/>
    <w:rsid w:val="00723A57"/>
    <w:rsid w:val="00723EE4"/>
    <w:rsid w:val="007243F7"/>
    <w:rsid w:val="00725CEA"/>
    <w:rsid w:val="00731053"/>
    <w:rsid w:val="00733072"/>
    <w:rsid w:val="00735CC5"/>
    <w:rsid w:val="00735D66"/>
    <w:rsid w:val="00740001"/>
    <w:rsid w:val="00740990"/>
    <w:rsid w:val="00742253"/>
    <w:rsid w:val="0074343E"/>
    <w:rsid w:val="00746859"/>
    <w:rsid w:val="00752322"/>
    <w:rsid w:val="00752713"/>
    <w:rsid w:val="00753191"/>
    <w:rsid w:val="00755554"/>
    <w:rsid w:val="00761E49"/>
    <w:rsid w:val="00762289"/>
    <w:rsid w:val="00763983"/>
    <w:rsid w:val="00763C46"/>
    <w:rsid w:val="00764432"/>
    <w:rsid w:val="00764734"/>
    <w:rsid w:val="00764BEB"/>
    <w:rsid w:val="00765197"/>
    <w:rsid w:val="0076532F"/>
    <w:rsid w:val="00765D1B"/>
    <w:rsid w:val="00766D76"/>
    <w:rsid w:val="007708AC"/>
    <w:rsid w:val="00772E8C"/>
    <w:rsid w:val="00773FDE"/>
    <w:rsid w:val="007759B7"/>
    <w:rsid w:val="00783016"/>
    <w:rsid w:val="00784084"/>
    <w:rsid w:val="00784368"/>
    <w:rsid w:val="00784443"/>
    <w:rsid w:val="007849C4"/>
    <w:rsid w:val="007865E8"/>
    <w:rsid w:val="00791AA2"/>
    <w:rsid w:val="00791D12"/>
    <w:rsid w:val="00796A61"/>
    <w:rsid w:val="007A0302"/>
    <w:rsid w:val="007A2EBA"/>
    <w:rsid w:val="007A4836"/>
    <w:rsid w:val="007A57F7"/>
    <w:rsid w:val="007A5B3D"/>
    <w:rsid w:val="007A6086"/>
    <w:rsid w:val="007A7BA7"/>
    <w:rsid w:val="007A7E5D"/>
    <w:rsid w:val="007B2CE0"/>
    <w:rsid w:val="007B4439"/>
    <w:rsid w:val="007C06EA"/>
    <w:rsid w:val="007C20DE"/>
    <w:rsid w:val="007C34DF"/>
    <w:rsid w:val="007C3E76"/>
    <w:rsid w:val="007C4236"/>
    <w:rsid w:val="007C49BF"/>
    <w:rsid w:val="007C4C6C"/>
    <w:rsid w:val="007C4FEC"/>
    <w:rsid w:val="007C508C"/>
    <w:rsid w:val="007C7FAB"/>
    <w:rsid w:val="007D2AF5"/>
    <w:rsid w:val="007D5743"/>
    <w:rsid w:val="007D6910"/>
    <w:rsid w:val="007E1664"/>
    <w:rsid w:val="007E416A"/>
    <w:rsid w:val="007E5184"/>
    <w:rsid w:val="007F200B"/>
    <w:rsid w:val="007F3059"/>
    <w:rsid w:val="007F4D86"/>
    <w:rsid w:val="007F7B80"/>
    <w:rsid w:val="00801ECC"/>
    <w:rsid w:val="00802AAD"/>
    <w:rsid w:val="00802EEE"/>
    <w:rsid w:val="00805C77"/>
    <w:rsid w:val="00812423"/>
    <w:rsid w:val="00813EEF"/>
    <w:rsid w:val="0081411F"/>
    <w:rsid w:val="008141E9"/>
    <w:rsid w:val="0081454C"/>
    <w:rsid w:val="00815C16"/>
    <w:rsid w:val="0081710A"/>
    <w:rsid w:val="00817616"/>
    <w:rsid w:val="00817BBE"/>
    <w:rsid w:val="0082045E"/>
    <w:rsid w:val="00820647"/>
    <w:rsid w:val="008209F3"/>
    <w:rsid w:val="00820FD2"/>
    <w:rsid w:val="00823E84"/>
    <w:rsid w:val="008243B7"/>
    <w:rsid w:val="008316C2"/>
    <w:rsid w:val="0083178A"/>
    <w:rsid w:val="00835364"/>
    <w:rsid w:val="00841CA7"/>
    <w:rsid w:val="0084206D"/>
    <w:rsid w:val="008428FD"/>
    <w:rsid w:val="0084414A"/>
    <w:rsid w:val="008442F3"/>
    <w:rsid w:val="00844852"/>
    <w:rsid w:val="008458A3"/>
    <w:rsid w:val="00846F95"/>
    <w:rsid w:val="0085296D"/>
    <w:rsid w:val="00854FDF"/>
    <w:rsid w:val="00860BDC"/>
    <w:rsid w:val="00860E23"/>
    <w:rsid w:val="00861E48"/>
    <w:rsid w:val="0086204C"/>
    <w:rsid w:val="0086610C"/>
    <w:rsid w:val="00867E96"/>
    <w:rsid w:val="0087096D"/>
    <w:rsid w:val="00870C6B"/>
    <w:rsid w:val="00870FF9"/>
    <w:rsid w:val="0087207E"/>
    <w:rsid w:val="00872E08"/>
    <w:rsid w:val="008737A8"/>
    <w:rsid w:val="00877AD3"/>
    <w:rsid w:val="00877B77"/>
    <w:rsid w:val="008808D6"/>
    <w:rsid w:val="00882C50"/>
    <w:rsid w:val="008833C4"/>
    <w:rsid w:val="00885085"/>
    <w:rsid w:val="00885E75"/>
    <w:rsid w:val="00887C35"/>
    <w:rsid w:val="0089095A"/>
    <w:rsid w:val="00895FE8"/>
    <w:rsid w:val="008967A5"/>
    <w:rsid w:val="00896FB2"/>
    <w:rsid w:val="008974C9"/>
    <w:rsid w:val="00897F58"/>
    <w:rsid w:val="008A04DD"/>
    <w:rsid w:val="008A201E"/>
    <w:rsid w:val="008A2841"/>
    <w:rsid w:val="008A2C7E"/>
    <w:rsid w:val="008B04C5"/>
    <w:rsid w:val="008B2953"/>
    <w:rsid w:val="008B2C67"/>
    <w:rsid w:val="008B6438"/>
    <w:rsid w:val="008C1D0D"/>
    <w:rsid w:val="008C1D30"/>
    <w:rsid w:val="008C2BE0"/>
    <w:rsid w:val="008C49D8"/>
    <w:rsid w:val="008C620F"/>
    <w:rsid w:val="008D0DA3"/>
    <w:rsid w:val="008D20D0"/>
    <w:rsid w:val="008D2296"/>
    <w:rsid w:val="008D55F1"/>
    <w:rsid w:val="008D58FD"/>
    <w:rsid w:val="008D7529"/>
    <w:rsid w:val="008D7788"/>
    <w:rsid w:val="008E3C53"/>
    <w:rsid w:val="008E41EE"/>
    <w:rsid w:val="008E4AE5"/>
    <w:rsid w:val="008E55DA"/>
    <w:rsid w:val="008E56F7"/>
    <w:rsid w:val="008F06D1"/>
    <w:rsid w:val="008F0792"/>
    <w:rsid w:val="008F0CA1"/>
    <w:rsid w:val="008F30AF"/>
    <w:rsid w:val="008F3F6D"/>
    <w:rsid w:val="008F47D5"/>
    <w:rsid w:val="008F5850"/>
    <w:rsid w:val="008F670F"/>
    <w:rsid w:val="008F7FC5"/>
    <w:rsid w:val="00900423"/>
    <w:rsid w:val="00901DAB"/>
    <w:rsid w:val="00902FEE"/>
    <w:rsid w:val="0090367E"/>
    <w:rsid w:val="00904779"/>
    <w:rsid w:val="009062BD"/>
    <w:rsid w:val="0090651E"/>
    <w:rsid w:val="00906AD8"/>
    <w:rsid w:val="0091041F"/>
    <w:rsid w:val="0091236B"/>
    <w:rsid w:val="00912EF3"/>
    <w:rsid w:val="00916834"/>
    <w:rsid w:val="00920FA3"/>
    <w:rsid w:val="0092237B"/>
    <w:rsid w:val="009230B3"/>
    <w:rsid w:val="00924A18"/>
    <w:rsid w:val="0092511D"/>
    <w:rsid w:val="009253FE"/>
    <w:rsid w:val="00932827"/>
    <w:rsid w:val="0093381A"/>
    <w:rsid w:val="0093619D"/>
    <w:rsid w:val="00936B24"/>
    <w:rsid w:val="009434A6"/>
    <w:rsid w:val="00946BFE"/>
    <w:rsid w:val="009477BC"/>
    <w:rsid w:val="0095176F"/>
    <w:rsid w:val="00953D9E"/>
    <w:rsid w:val="00954B35"/>
    <w:rsid w:val="00955932"/>
    <w:rsid w:val="00956638"/>
    <w:rsid w:val="00957DD2"/>
    <w:rsid w:val="0096061B"/>
    <w:rsid w:val="00961124"/>
    <w:rsid w:val="009612B2"/>
    <w:rsid w:val="0096220D"/>
    <w:rsid w:val="00962A42"/>
    <w:rsid w:val="00964518"/>
    <w:rsid w:val="00965D8C"/>
    <w:rsid w:val="00966FD1"/>
    <w:rsid w:val="009739EE"/>
    <w:rsid w:val="00973A3C"/>
    <w:rsid w:val="00973D6C"/>
    <w:rsid w:val="00974937"/>
    <w:rsid w:val="00974C92"/>
    <w:rsid w:val="00976D26"/>
    <w:rsid w:val="00977239"/>
    <w:rsid w:val="00977415"/>
    <w:rsid w:val="00985321"/>
    <w:rsid w:val="00987489"/>
    <w:rsid w:val="00987DEA"/>
    <w:rsid w:val="00987FA6"/>
    <w:rsid w:val="00990D18"/>
    <w:rsid w:val="009922C5"/>
    <w:rsid w:val="009928D7"/>
    <w:rsid w:val="009930CF"/>
    <w:rsid w:val="00994EE3"/>
    <w:rsid w:val="0099575B"/>
    <w:rsid w:val="00996B63"/>
    <w:rsid w:val="009972A6"/>
    <w:rsid w:val="009A1676"/>
    <w:rsid w:val="009A2176"/>
    <w:rsid w:val="009A3527"/>
    <w:rsid w:val="009A418F"/>
    <w:rsid w:val="009A494F"/>
    <w:rsid w:val="009A4B61"/>
    <w:rsid w:val="009A5938"/>
    <w:rsid w:val="009A5977"/>
    <w:rsid w:val="009A5AA0"/>
    <w:rsid w:val="009B03CA"/>
    <w:rsid w:val="009B13C8"/>
    <w:rsid w:val="009B182F"/>
    <w:rsid w:val="009B187F"/>
    <w:rsid w:val="009B2240"/>
    <w:rsid w:val="009B27C7"/>
    <w:rsid w:val="009B281D"/>
    <w:rsid w:val="009B5EFF"/>
    <w:rsid w:val="009B7B81"/>
    <w:rsid w:val="009C2C89"/>
    <w:rsid w:val="009C5C3C"/>
    <w:rsid w:val="009D0AEC"/>
    <w:rsid w:val="009D1024"/>
    <w:rsid w:val="009D337C"/>
    <w:rsid w:val="009D4D42"/>
    <w:rsid w:val="009D50E2"/>
    <w:rsid w:val="009D5533"/>
    <w:rsid w:val="009E07D9"/>
    <w:rsid w:val="009E12A5"/>
    <w:rsid w:val="009E2C4D"/>
    <w:rsid w:val="009E3D88"/>
    <w:rsid w:val="009E3F2A"/>
    <w:rsid w:val="009E455D"/>
    <w:rsid w:val="009E5D46"/>
    <w:rsid w:val="009E65F7"/>
    <w:rsid w:val="009E7280"/>
    <w:rsid w:val="009E746D"/>
    <w:rsid w:val="009F0E1C"/>
    <w:rsid w:val="009F22AD"/>
    <w:rsid w:val="009F2A3B"/>
    <w:rsid w:val="009F3010"/>
    <w:rsid w:val="009F40EA"/>
    <w:rsid w:val="009F4206"/>
    <w:rsid w:val="009F5579"/>
    <w:rsid w:val="009F581F"/>
    <w:rsid w:val="00A02FEC"/>
    <w:rsid w:val="00A050D6"/>
    <w:rsid w:val="00A05DCE"/>
    <w:rsid w:val="00A06521"/>
    <w:rsid w:val="00A129D2"/>
    <w:rsid w:val="00A16448"/>
    <w:rsid w:val="00A177E5"/>
    <w:rsid w:val="00A21D01"/>
    <w:rsid w:val="00A233E0"/>
    <w:rsid w:val="00A24109"/>
    <w:rsid w:val="00A242D0"/>
    <w:rsid w:val="00A26D91"/>
    <w:rsid w:val="00A31AAC"/>
    <w:rsid w:val="00A31D4B"/>
    <w:rsid w:val="00A32E00"/>
    <w:rsid w:val="00A333BD"/>
    <w:rsid w:val="00A3399B"/>
    <w:rsid w:val="00A33F1C"/>
    <w:rsid w:val="00A414E8"/>
    <w:rsid w:val="00A4190C"/>
    <w:rsid w:val="00A42CAE"/>
    <w:rsid w:val="00A430CA"/>
    <w:rsid w:val="00A45C68"/>
    <w:rsid w:val="00A46E43"/>
    <w:rsid w:val="00A50977"/>
    <w:rsid w:val="00A533ED"/>
    <w:rsid w:val="00A5433A"/>
    <w:rsid w:val="00A5468C"/>
    <w:rsid w:val="00A55663"/>
    <w:rsid w:val="00A56632"/>
    <w:rsid w:val="00A60F14"/>
    <w:rsid w:val="00A62951"/>
    <w:rsid w:val="00A636C9"/>
    <w:rsid w:val="00A63A44"/>
    <w:rsid w:val="00A6451D"/>
    <w:rsid w:val="00A659DD"/>
    <w:rsid w:val="00A66CF1"/>
    <w:rsid w:val="00A67EEE"/>
    <w:rsid w:val="00A705A7"/>
    <w:rsid w:val="00A72B37"/>
    <w:rsid w:val="00A734C2"/>
    <w:rsid w:val="00A74E08"/>
    <w:rsid w:val="00A75D0C"/>
    <w:rsid w:val="00A76326"/>
    <w:rsid w:val="00A810D2"/>
    <w:rsid w:val="00A81E15"/>
    <w:rsid w:val="00A82604"/>
    <w:rsid w:val="00A82871"/>
    <w:rsid w:val="00A832A7"/>
    <w:rsid w:val="00A945B3"/>
    <w:rsid w:val="00A96105"/>
    <w:rsid w:val="00A9769A"/>
    <w:rsid w:val="00AA013E"/>
    <w:rsid w:val="00AA0B96"/>
    <w:rsid w:val="00AA0E4E"/>
    <w:rsid w:val="00AA175F"/>
    <w:rsid w:val="00AA46F5"/>
    <w:rsid w:val="00AA5307"/>
    <w:rsid w:val="00AA5C62"/>
    <w:rsid w:val="00AA64A2"/>
    <w:rsid w:val="00AA75A0"/>
    <w:rsid w:val="00AB10DB"/>
    <w:rsid w:val="00AB11D3"/>
    <w:rsid w:val="00AB2617"/>
    <w:rsid w:val="00AB3F10"/>
    <w:rsid w:val="00AB7334"/>
    <w:rsid w:val="00AB78CA"/>
    <w:rsid w:val="00AC0EAD"/>
    <w:rsid w:val="00AC1280"/>
    <w:rsid w:val="00AC1773"/>
    <w:rsid w:val="00AC41FF"/>
    <w:rsid w:val="00AC444A"/>
    <w:rsid w:val="00AC5390"/>
    <w:rsid w:val="00AC66AE"/>
    <w:rsid w:val="00AD2DA5"/>
    <w:rsid w:val="00AD356F"/>
    <w:rsid w:val="00AD386A"/>
    <w:rsid w:val="00AD3C29"/>
    <w:rsid w:val="00AD696C"/>
    <w:rsid w:val="00AD74CB"/>
    <w:rsid w:val="00AE5965"/>
    <w:rsid w:val="00AF131F"/>
    <w:rsid w:val="00AF14C2"/>
    <w:rsid w:val="00AF2D4D"/>
    <w:rsid w:val="00AF30E4"/>
    <w:rsid w:val="00AF372C"/>
    <w:rsid w:val="00B00BC3"/>
    <w:rsid w:val="00B00F6E"/>
    <w:rsid w:val="00B043D1"/>
    <w:rsid w:val="00B05C5D"/>
    <w:rsid w:val="00B06C9A"/>
    <w:rsid w:val="00B120CD"/>
    <w:rsid w:val="00B12938"/>
    <w:rsid w:val="00B12946"/>
    <w:rsid w:val="00B12D38"/>
    <w:rsid w:val="00B16100"/>
    <w:rsid w:val="00B165CF"/>
    <w:rsid w:val="00B171F5"/>
    <w:rsid w:val="00B20296"/>
    <w:rsid w:val="00B213A5"/>
    <w:rsid w:val="00B213DA"/>
    <w:rsid w:val="00B2432E"/>
    <w:rsid w:val="00B26D8E"/>
    <w:rsid w:val="00B319E8"/>
    <w:rsid w:val="00B31DA2"/>
    <w:rsid w:val="00B33311"/>
    <w:rsid w:val="00B335C3"/>
    <w:rsid w:val="00B34CC8"/>
    <w:rsid w:val="00B355F7"/>
    <w:rsid w:val="00B40326"/>
    <w:rsid w:val="00B40773"/>
    <w:rsid w:val="00B40BD5"/>
    <w:rsid w:val="00B41115"/>
    <w:rsid w:val="00B42DEF"/>
    <w:rsid w:val="00B43022"/>
    <w:rsid w:val="00B432AC"/>
    <w:rsid w:val="00B4415D"/>
    <w:rsid w:val="00B45A1A"/>
    <w:rsid w:val="00B45FD7"/>
    <w:rsid w:val="00B4661C"/>
    <w:rsid w:val="00B47D91"/>
    <w:rsid w:val="00B529A5"/>
    <w:rsid w:val="00B52BC4"/>
    <w:rsid w:val="00B5480F"/>
    <w:rsid w:val="00B5588C"/>
    <w:rsid w:val="00B61CE8"/>
    <w:rsid w:val="00B624E8"/>
    <w:rsid w:val="00B64A57"/>
    <w:rsid w:val="00B66056"/>
    <w:rsid w:val="00B663CA"/>
    <w:rsid w:val="00B66717"/>
    <w:rsid w:val="00B71C79"/>
    <w:rsid w:val="00B74991"/>
    <w:rsid w:val="00B75836"/>
    <w:rsid w:val="00B75F5E"/>
    <w:rsid w:val="00B769BB"/>
    <w:rsid w:val="00B76EFB"/>
    <w:rsid w:val="00B80450"/>
    <w:rsid w:val="00B807F0"/>
    <w:rsid w:val="00B82101"/>
    <w:rsid w:val="00B839B7"/>
    <w:rsid w:val="00B85B20"/>
    <w:rsid w:val="00B900A4"/>
    <w:rsid w:val="00B921DD"/>
    <w:rsid w:val="00B9273D"/>
    <w:rsid w:val="00B92789"/>
    <w:rsid w:val="00B93458"/>
    <w:rsid w:val="00B9520E"/>
    <w:rsid w:val="00BA0DFA"/>
    <w:rsid w:val="00BA3E51"/>
    <w:rsid w:val="00BA5542"/>
    <w:rsid w:val="00BA5E14"/>
    <w:rsid w:val="00BA63D4"/>
    <w:rsid w:val="00BA6BDE"/>
    <w:rsid w:val="00BB15D4"/>
    <w:rsid w:val="00BB3035"/>
    <w:rsid w:val="00BB3DA5"/>
    <w:rsid w:val="00BB3FDB"/>
    <w:rsid w:val="00BB7622"/>
    <w:rsid w:val="00BC017F"/>
    <w:rsid w:val="00BC0F35"/>
    <w:rsid w:val="00BC1119"/>
    <w:rsid w:val="00BC27DF"/>
    <w:rsid w:val="00BC4ACD"/>
    <w:rsid w:val="00BC578F"/>
    <w:rsid w:val="00BC72BD"/>
    <w:rsid w:val="00BD1EC3"/>
    <w:rsid w:val="00BD2FB9"/>
    <w:rsid w:val="00BD3E54"/>
    <w:rsid w:val="00BD44CA"/>
    <w:rsid w:val="00BD4F88"/>
    <w:rsid w:val="00BD511E"/>
    <w:rsid w:val="00BD5189"/>
    <w:rsid w:val="00BD5946"/>
    <w:rsid w:val="00BD6D22"/>
    <w:rsid w:val="00BD7A90"/>
    <w:rsid w:val="00BD7EDA"/>
    <w:rsid w:val="00BE07EB"/>
    <w:rsid w:val="00BE42B1"/>
    <w:rsid w:val="00BE482F"/>
    <w:rsid w:val="00BE53B7"/>
    <w:rsid w:val="00BE69F0"/>
    <w:rsid w:val="00BF1082"/>
    <w:rsid w:val="00BF1782"/>
    <w:rsid w:val="00BF1B68"/>
    <w:rsid w:val="00BF1D5A"/>
    <w:rsid w:val="00BF29A0"/>
    <w:rsid w:val="00BF3270"/>
    <w:rsid w:val="00BF3F29"/>
    <w:rsid w:val="00BF6E7F"/>
    <w:rsid w:val="00C01482"/>
    <w:rsid w:val="00C03207"/>
    <w:rsid w:val="00C03703"/>
    <w:rsid w:val="00C03770"/>
    <w:rsid w:val="00C03D4C"/>
    <w:rsid w:val="00C03FB4"/>
    <w:rsid w:val="00C047FC"/>
    <w:rsid w:val="00C04EDE"/>
    <w:rsid w:val="00C06180"/>
    <w:rsid w:val="00C06C6F"/>
    <w:rsid w:val="00C10466"/>
    <w:rsid w:val="00C10ADE"/>
    <w:rsid w:val="00C1114C"/>
    <w:rsid w:val="00C11B45"/>
    <w:rsid w:val="00C12DFF"/>
    <w:rsid w:val="00C133F3"/>
    <w:rsid w:val="00C144BE"/>
    <w:rsid w:val="00C156E4"/>
    <w:rsid w:val="00C1641E"/>
    <w:rsid w:val="00C16C8D"/>
    <w:rsid w:val="00C17E42"/>
    <w:rsid w:val="00C230F4"/>
    <w:rsid w:val="00C2422B"/>
    <w:rsid w:val="00C24A86"/>
    <w:rsid w:val="00C24C27"/>
    <w:rsid w:val="00C25BC0"/>
    <w:rsid w:val="00C26333"/>
    <w:rsid w:val="00C31268"/>
    <w:rsid w:val="00C32F05"/>
    <w:rsid w:val="00C34437"/>
    <w:rsid w:val="00C34778"/>
    <w:rsid w:val="00C35B06"/>
    <w:rsid w:val="00C36D8F"/>
    <w:rsid w:val="00C405FA"/>
    <w:rsid w:val="00C41852"/>
    <w:rsid w:val="00C45F75"/>
    <w:rsid w:val="00C46850"/>
    <w:rsid w:val="00C47111"/>
    <w:rsid w:val="00C47F98"/>
    <w:rsid w:val="00C514FC"/>
    <w:rsid w:val="00C52F72"/>
    <w:rsid w:val="00C53B5B"/>
    <w:rsid w:val="00C5597A"/>
    <w:rsid w:val="00C573DC"/>
    <w:rsid w:val="00C579B6"/>
    <w:rsid w:val="00C606D8"/>
    <w:rsid w:val="00C63C43"/>
    <w:rsid w:val="00C64B85"/>
    <w:rsid w:val="00C650A2"/>
    <w:rsid w:val="00C65C56"/>
    <w:rsid w:val="00C70A7B"/>
    <w:rsid w:val="00C71E0A"/>
    <w:rsid w:val="00C738D0"/>
    <w:rsid w:val="00C76B1F"/>
    <w:rsid w:val="00C80D6F"/>
    <w:rsid w:val="00C814AB"/>
    <w:rsid w:val="00C82256"/>
    <w:rsid w:val="00C857CC"/>
    <w:rsid w:val="00C86D48"/>
    <w:rsid w:val="00C8749C"/>
    <w:rsid w:val="00C87D21"/>
    <w:rsid w:val="00C87E0A"/>
    <w:rsid w:val="00C91302"/>
    <w:rsid w:val="00C92E5C"/>
    <w:rsid w:val="00C92F0B"/>
    <w:rsid w:val="00C94422"/>
    <w:rsid w:val="00C948DC"/>
    <w:rsid w:val="00C94EAF"/>
    <w:rsid w:val="00C94F1E"/>
    <w:rsid w:val="00C969CB"/>
    <w:rsid w:val="00C97DD0"/>
    <w:rsid w:val="00C97F9B"/>
    <w:rsid w:val="00CA0127"/>
    <w:rsid w:val="00CA41E6"/>
    <w:rsid w:val="00CA54C0"/>
    <w:rsid w:val="00CA5536"/>
    <w:rsid w:val="00CB0530"/>
    <w:rsid w:val="00CB2E4C"/>
    <w:rsid w:val="00CB3A7D"/>
    <w:rsid w:val="00CB4E62"/>
    <w:rsid w:val="00CB64E2"/>
    <w:rsid w:val="00CB69C1"/>
    <w:rsid w:val="00CB69D0"/>
    <w:rsid w:val="00CB736E"/>
    <w:rsid w:val="00CC0039"/>
    <w:rsid w:val="00CC152B"/>
    <w:rsid w:val="00CC36AB"/>
    <w:rsid w:val="00CC4E85"/>
    <w:rsid w:val="00CC4EC9"/>
    <w:rsid w:val="00CC5992"/>
    <w:rsid w:val="00CD0565"/>
    <w:rsid w:val="00CD434B"/>
    <w:rsid w:val="00CD4605"/>
    <w:rsid w:val="00CD6DF0"/>
    <w:rsid w:val="00CE1DC0"/>
    <w:rsid w:val="00CE224A"/>
    <w:rsid w:val="00CE286A"/>
    <w:rsid w:val="00CE3505"/>
    <w:rsid w:val="00CE670A"/>
    <w:rsid w:val="00CF04AD"/>
    <w:rsid w:val="00CF1C73"/>
    <w:rsid w:val="00D020D3"/>
    <w:rsid w:val="00D03E12"/>
    <w:rsid w:val="00D070DA"/>
    <w:rsid w:val="00D0755E"/>
    <w:rsid w:val="00D10B24"/>
    <w:rsid w:val="00D11802"/>
    <w:rsid w:val="00D121B0"/>
    <w:rsid w:val="00D1435A"/>
    <w:rsid w:val="00D14BFA"/>
    <w:rsid w:val="00D15601"/>
    <w:rsid w:val="00D2115D"/>
    <w:rsid w:val="00D236D6"/>
    <w:rsid w:val="00D259E3"/>
    <w:rsid w:val="00D2681C"/>
    <w:rsid w:val="00D26CDB"/>
    <w:rsid w:val="00D31076"/>
    <w:rsid w:val="00D33776"/>
    <w:rsid w:val="00D35009"/>
    <w:rsid w:val="00D35643"/>
    <w:rsid w:val="00D36AE0"/>
    <w:rsid w:val="00D36BD0"/>
    <w:rsid w:val="00D36DF2"/>
    <w:rsid w:val="00D43FCE"/>
    <w:rsid w:val="00D45642"/>
    <w:rsid w:val="00D45AC8"/>
    <w:rsid w:val="00D51137"/>
    <w:rsid w:val="00D5130D"/>
    <w:rsid w:val="00D5367B"/>
    <w:rsid w:val="00D538EB"/>
    <w:rsid w:val="00D53B58"/>
    <w:rsid w:val="00D53EFD"/>
    <w:rsid w:val="00D55E86"/>
    <w:rsid w:val="00D56723"/>
    <w:rsid w:val="00D6157A"/>
    <w:rsid w:val="00D6222D"/>
    <w:rsid w:val="00D64B4C"/>
    <w:rsid w:val="00D64C65"/>
    <w:rsid w:val="00D65527"/>
    <w:rsid w:val="00D658B0"/>
    <w:rsid w:val="00D66935"/>
    <w:rsid w:val="00D66946"/>
    <w:rsid w:val="00D67441"/>
    <w:rsid w:val="00D6799C"/>
    <w:rsid w:val="00D7103E"/>
    <w:rsid w:val="00D711D9"/>
    <w:rsid w:val="00D712FA"/>
    <w:rsid w:val="00D7143E"/>
    <w:rsid w:val="00D740BE"/>
    <w:rsid w:val="00D744A5"/>
    <w:rsid w:val="00D77C59"/>
    <w:rsid w:val="00D803CE"/>
    <w:rsid w:val="00D80C4F"/>
    <w:rsid w:val="00D80CF3"/>
    <w:rsid w:val="00D86A88"/>
    <w:rsid w:val="00D92AA5"/>
    <w:rsid w:val="00D95460"/>
    <w:rsid w:val="00D978EE"/>
    <w:rsid w:val="00DA0652"/>
    <w:rsid w:val="00DA0860"/>
    <w:rsid w:val="00DA1808"/>
    <w:rsid w:val="00DA2192"/>
    <w:rsid w:val="00DA29CE"/>
    <w:rsid w:val="00DA6BD5"/>
    <w:rsid w:val="00DA70D5"/>
    <w:rsid w:val="00DB0ACD"/>
    <w:rsid w:val="00DB21F7"/>
    <w:rsid w:val="00DB4081"/>
    <w:rsid w:val="00DB4508"/>
    <w:rsid w:val="00DB55C7"/>
    <w:rsid w:val="00DB6732"/>
    <w:rsid w:val="00DB6B0C"/>
    <w:rsid w:val="00DC122D"/>
    <w:rsid w:val="00DC2EBC"/>
    <w:rsid w:val="00DC35B4"/>
    <w:rsid w:val="00DC4BCE"/>
    <w:rsid w:val="00DC4EB4"/>
    <w:rsid w:val="00DC6CAE"/>
    <w:rsid w:val="00DC6E3A"/>
    <w:rsid w:val="00DC791E"/>
    <w:rsid w:val="00DD14C7"/>
    <w:rsid w:val="00DD2D80"/>
    <w:rsid w:val="00DD3C54"/>
    <w:rsid w:val="00DD5568"/>
    <w:rsid w:val="00DE2CC6"/>
    <w:rsid w:val="00DE5F62"/>
    <w:rsid w:val="00DE7093"/>
    <w:rsid w:val="00DE7829"/>
    <w:rsid w:val="00DE78FB"/>
    <w:rsid w:val="00DF3FA7"/>
    <w:rsid w:val="00DF4233"/>
    <w:rsid w:val="00DF5310"/>
    <w:rsid w:val="00E00D74"/>
    <w:rsid w:val="00E02EC3"/>
    <w:rsid w:val="00E03036"/>
    <w:rsid w:val="00E03055"/>
    <w:rsid w:val="00E04304"/>
    <w:rsid w:val="00E04599"/>
    <w:rsid w:val="00E0459D"/>
    <w:rsid w:val="00E047ED"/>
    <w:rsid w:val="00E065E3"/>
    <w:rsid w:val="00E068F7"/>
    <w:rsid w:val="00E10826"/>
    <w:rsid w:val="00E14070"/>
    <w:rsid w:val="00E16C07"/>
    <w:rsid w:val="00E171D0"/>
    <w:rsid w:val="00E17709"/>
    <w:rsid w:val="00E20F82"/>
    <w:rsid w:val="00E24C2C"/>
    <w:rsid w:val="00E24E98"/>
    <w:rsid w:val="00E24ED4"/>
    <w:rsid w:val="00E30F44"/>
    <w:rsid w:val="00E3218B"/>
    <w:rsid w:val="00E34778"/>
    <w:rsid w:val="00E42D7E"/>
    <w:rsid w:val="00E43280"/>
    <w:rsid w:val="00E432A0"/>
    <w:rsid w:val="00E436CF"/>
    <w:rsid w:val="00E43B9B"/>
    <w:rsid w:val="00E53468"/>
    <w:rsid w:val="00E53C2E"/>
    <w:rsid w:val="00E54520"/>
    <w:rsid w:val="00E60964"/>
    <w:rsid w:val="00E61029"/>
    <w:rsid w:val="00E6179B"/>
    <w:rsid w:val="00E61927"/>
    <w:rsid w:val="00E71D73"/>
    <w:rsid w:val="00E73491"/>
    <w:rsid w:val="00E74305"/>
    <w:rsid w:val="00E769A5"/>
    <w:rsid w:val="00E76B40"/>
    <w:rsid w:val="00E8206D"/>
    <w:rsid w:val="00E8682E"/>
    <w:rsid w:val="00E8703E"/>
    <w:rsid w:val="00E90B96"/>
    <w:rsid w:val="00E919C3"/>
    <w:rsid w:val="00E95A57"/>
    <w:rsid w:val="00E96B4A"/>
    <w:rsid w:val="00E9702A"/>
    <w:rsid w:val="00E97DDA"/>
    <w:rsid w:val="00E97E1D"/>
    <w:rsid w:val="00EA1ADF"/>
    <w:rsid w:val="00EA3131"/>
    <w:rsid w:val="00EA590D"/>
    <w:rsid w:val="00EA609B"/>
    <w:rsid w:val="00EA6349"/>
    <w:rsid w:val="00EB2464"/>
    <w:rsid w:val="00EB5282"/>
    <w:rsid w:val="00EB5683"/>
    <w:rsid w:val="00EB5CE2"/>
    <w:rsid w:val="00EB6AD4"/>
    <w:rsid w:val="00EB6B6D"/>
    <w:rsid w:val="00EB7220"/>
    <w:rsid w:val="00EB7C22"/>
    <w:rsid w:val="00EC007D"/>
    <w:rsid w:val="00EC03EA"/>
    <w:rsid w:val="00EC3473"/>
    <w:rsid w:val="00EC41B6"/>
    <w:rsid w:val="00EC4E34"/>
    <w:rsid w:val="00EC5871"/>
    <w:rsid w:val="00EC75B2"/>
    <w:rsid w:val="00ED30C2"/>
    <w:rsid w:val="00ED4013"/>
    <w:rsid w:val="00ED5C6A"/>
    <w:rsid w:val="00ED64D5"/>
    <w:rsid w:val="00EE0DD7"/>
    <w:rsid w:val="00EE2546"/>
    <w:rsid w:val="00EE5C41"/>
    <w:rsid w:val="00EE6574"/>
    <w:rsid w:val="00EE75DF"/>
    <w:rsid w:val="00EE7C7F"/>
    <w:rsid w:val="00EF1632"/>
    <w:rsid w:val="00EF218B"/>
    <w:rsid w:val="00EF2C74"/>
    <w:rsid w:val="00EF5F8A"/>
    <w:rsid w:val="00EF6083"/>
    <w:rsid w:val="00EF7633"/>
    <w:rsid w:val="00F001B0"/>
    <w:rsid w:val="00F0202F"/>
    <w:rsid w:val="00F028B8"/>
    <w:rsid w:val="00F032F7"/>
    <w:rsid w:val="00F05746"/>
    <w:rsid w:val="00F06550"/>
    <w:rsid w:val="00F07E0B"/>
    <w:rsid w:val="00F07F3E"/>
    <w:rsid w:val="00F15939"/>
    <w:rsid w:val="00F168D6"/>
    <w:rsid w:val="00F2006B"/>
    <w:rsid w:val="00F22B0E"/>
    <w:rsid w:val="00F22BB6"/>
    <w:rsid w:val="00F23F4D"/>
    <w:rsid w:val="00F24BCF"/>
    <w:rsid w:val="00F24EA3"/>
    <w:rsid w:val="00F25D7C"/>
    <w:rsid w:val="00F264F0"/>
    <w:rsid w:val="00F26A52"/>
    <w:rsid w:val="00F26C40"/>
    <w:rsid w:val="00F2759F"/>
    <w:rsid w:val="00F32946"/>
    <w:rsid w:val="00F33030"/>
    <w:rsid w:val="00F34089"/>
    <w:rsid w:val="00F34B6A"/>
    <w:rsid w:val="00F372A5"/>
    <w:rsid w:val="00F37AB7"/>
    <w:rsid w:val="00F409DE"/>
    <w:rsid w:val="00F40A3C"/>
    <w:rsid w:val="00F41990"/>
    <w:rsid w:val="00F41AF7"/>
    <w:rsid w:val="00F43051"/>
    <w:rsid w:val="00F44231"/>
    <w:rsid w:val="00F44903"/>
    <w:rsid w:val="00F44C6E"/>
    <w:rsid w:val="00F45A72"/>
    <w:rsid w:val="00F461FB"/>
    <w:rsid w:val="00F46AB5"/>
    <w:rsid w:val="00F46F5E"/>
    <w:rsid w:val="00F47E4E"/>
    <w:rsid w:val="00F50187"/>
    <w:rsid w:val="00F53E69"/>
    <w:rsid w:val="00F557F7"/>
    <w:rsid w:val="00F55C02"/>
    <w:rsid w:val="00F57BD9"/>
    <w:rsid w:val="00F61870"/>
    <w:rsid w:val="00F63283"/>
    <w:rsid w:val="00F637EC"/>
    <w:rsid w:val="00F64BDF"/>
    <w:rsid w:val="00F6535C"/>
    <w:rsid w:val="00F66E2A"/>
    <w:rsid w:val="00F66E2D"/>
    <w:rsid w:val="00F67FA6"/>
    <w:rsid w:val="00F71770"/>
    <w:rsid w:val="00F7424A"/>
    <w:rsid w:val="00F75479"/>
    <w:rsid w:val="00F75520"/>
    <w:rsid w:val="00F76070"/>
    <w:rsid w:val="00F76BDC"/>
    <w:rsid w:val="00F775F1"/>
    <w:rsid w:val="00F8350A"/>
    <w:rsid w:val="00F85E6B"/>
    <w:rsid w:val="00F87E62"/>
    <w:rsid w:val="00F90DE7"/>
    <w:rsid w:val="00F9246F"/>
    <w:rsid w:val="00F937C9"/>
    <w:rsid w:val="00F93838"/>
    <w:rsid w:val="00F9566F"/>
    <w:rsid w:val="00FA234E"/>
    <w:rsid w:val="00FA388E"/>
    <w:rsid w:val="00FA46FF"/>
    <w:rsid w:val="00FA514D"/>
    <w:rsid w:val="00FB3729"/>
    <w:rsid w:val="00FB4208"/>
    <w:rsid w:val="00FC230D"/>
    <w:rsid w:val="00FC38BE"/>
    <w:rsid w:val="00FD0F76"/>
    <w:rsid w:val="00FD140A"/>
    <w:rsid w:val="00FD375A"/>
    <w:rsid w:val="00FD39A1"/>
    <w:rsid w:val="00FD468B"/>
    <w:rsid w:val="00FD4D8E"/>
    <w:rsid w:val="00FD7F36"/>
    <w:rsid w:val="00FE1E71"/>
    <w:rsid w:val="00FE35DA"/>
    <w:rsid w:val="00FE3AF4"/>
    <w:rsid w:val="00FE4302"/>
    <w:rsid w:val="00FE44A4"/>
    <w:rsid w:val="00FE5834"/>
    <w:rsid w:val="00FE631D"/>
    <w:rsid w:val="00FF0B41"/>
    <w:rsid w:val="00FF31E4"/>
    <w:rsid w:val="00FF49CE"/>
    <w:rsid w:val="00FF4EDA"/>
    <w:rsid w:val="00FF71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83FED6"/>
  <w15:docId w15:val="{AD5B84DC-F519-4C7E-B426-F1BF05B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0F44"/>
    <w:pPr>
      <w:suppressAutoHyphens/>
    </w:pPr>
    <w:rPr>
      <w:sz w:val="24"/>
      <w:szCs w:val="24"/>
      <w:lang w:eastAsia="zh-CN"/>
    </w:rPr>
  </w:style>
  <w:style w:type="paragraph" w:styleId="Titolo3">
    <w:name w:val="heading 3"/>
    <w:basedOn w:val="Normale"/>
    <w:next w:val="Normale"/>
    <w:link w:val="Titolo3Carattere"/>
    <w:qFormat/>
    <w:rsid w:val="002607D6"/>
    <w:pPr>
      <w:keepNext/>
      <w:suppressAutoHyphens w:val="0"/>
      <w:jc w:val="center"/>
      <w:outlineLvl w:val="2"/>
    </w:pPr>
    <w:rPr>
      <w:b/>
      <w:bCs/>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30F44"/>
    <w:rPr>
      <w:rFonts w:ascii="Symbol" w:hAnsi="Symbol" w:cs="Symbol"/>
    </w:rPr>
  </w:style>
  <w:style w:type="character" w:customStyle="1" w:styleId="WW8Num1z1">
    <w:name w:val="WW8Num1z1"/>
    <w:rsid w:val="00E30F44"/>
    <w:rPr>
      <w:rFonts w:ascii="Courier New" w:hAnsi="Courier New" w:cs="Courier New"/>
    </w:rPr>
  </w:style>
  <w:style w:type="character" w:customStyle="1" w:styleId="WW8Num1z2">
    <w:name w:val="WW8Num1z2"/>
    <w:rsid w:val="00E30F44"/>
    <w:rPr>
      <w:rFonts w:ascii="Wingdings" w:hAnsi="Wingdings" w:cs="Wingdings"/>
    </w:rPr>
  </w:style>
  <w:style w:type="character" w:customStyle="1" w:styleId="Carpredefinitoparagrafo1">
    <w:name w:val="Car. predefinito paragrafo1"/>
    <w:rsid w:val="00E30F44"/>
  </w:style>
  <w:style w:type="character" w:customStyle="1" w:styleId="Punti">
    <w:name w:val="Punti"/>
    <w:rsid w:val="00E30F44"/>
    <w:rPr>
      <w:rFonts w:ascii="OpenSymbol" w:eastAsia="OpenSymbol" w:hAnsi="OpenSymbol" w:cs="OpenSymbol"/>
    </w:rPr>
  </w:style>
  <w:style w:type="paragraph" w:customStyle="1" w:styleId="Titolo1">
    <w:name w:val="Titolo1"/>
    <w:basedOn w:val="Normale"/>
    <w:next w:val="Corpodeltesto1"/>
    <w:rsid w:val="00E30F44"/>
    <w:pPr>
      <w:keepNext/>
      <w:spacing w:before="240" w:after="120"/>
    </w:pPr>
    <w:rPr>
      <w:rFonts w:ascii="Liberation Sans" w:eastAsia="Lucida Sans Unicode" w:hAnsi="Liberation Sans" w:cs="Mangal"/>
      <w:sz w:val="28"/>
      <w:szCs w:val="28"/>
    </w:rPr>
  </w:style>
  <w:style w:type="paragraph" w:customStyle="1" w:styleId="Corpodeltesto1">
    <w:name w:val="Corpo del testo1"/>
    <w:basedOn w:val="Normale"/>
    <w:rsid w:val="00E30F44"/>
    <w:pPr>
      <w:spacing w:after="140" w:line="288" w:lineRule="auto"/>
    </w:pPr>
  </w:style>
  <w:style w:type="paragraph" w:styleId="Elenco">
    <w:name w:val="List"/>
    <w:basedOn w:val="Corpodeltesto1"/>
    <w:rsid w:val="00E30F44"/>
    <w:rPr>
      <w:rFonts w:cs="Mangal"/>
    </w:rPr>
  </w:style>
  <w:style w:type="paragraph" w:styleId="Didascalia">
    <w:name w:val="caption"/>
    <w:basedOn w:val="Normale"/>
    <w:qFormat/>
    <w:rsid w:val="00E30F44"/>
    <w:pPr>
      <w:suppressLineNumbers/>
      <w:spacing w:before="120" w:after="120"/>
    </w:pPr>
    <w:rPr>
      <w:rFonts w:cs="Mangal"/>
      <w:i/>
      <w:iCs/>
    </w:rPr>
  </w:style>
  <w:style w:type="paragraph" w:customStyle="1" w:styleId="Indice">
    <w:name w:val="Indice"/>
    <w:basedOn w:val="Normale"/>
    <w:rsid w:val="00E30F44"/>
    <w:pPr>
      <w:suppressLineNumbers/>
    </w:pPr>
    <w:rPr>
      <w:rFonts w:cs="Mangal"/>
    </w:rPr>
  </w:style>
  <w:style w:type="paragraph" w:customStyle="1" w:styleId="Contenutotabella">
    <w:name w:val="Contenuto tabella"/>
    <w:basedOn w:val="Normale"/>
    <w:rsid w:val="00E30F44"/>
    <w:pPr>
      <w:suppressLineNumbers/>
    </w:pPr>
  </w:style>
  <w:style w:type="paragraph" w:customStyle="1" w:styleId="Titolotabella">
    <w:name w:val="Titolo tabella"/>
    <w:basedOn w:val="Contenutotabella"/>
    <w:rsid w:val="00E30F44"/>
    <w:pPr>
      <w:jc w:val="center"/>
    </w:pPr>
    <w:rPr>
      <w:b/>
      <w:bCs/>
    </w:rPr>
  </w:style>
  <w:style w:type="paragraph" w:styleId="Pidipagina">
    <w:name w:val="footer"/>
    <w:basedOn w:val="Normale"/>
    <w:rsid w:val="002311B3"/>
    <w:pPr>
      <w:tabs>
        <w:tab w:val="center" w:pos="4819"/>
        <w:tab w:val="right" w:pos="9638"/>
      </w:tabs>
    </w:pPr>
  </w:style>
  <w:style w:type="character" w:styleId="Numeropagina">
    <w:name w:val="page number"/>
    <w:basedOn w:val="Carpredefinitoparagrafo"/>
    <w:rsid w:val="002311B3"/>
  </w:style>
  <w:style w:type="paragraph" w:customStyle="1" w:styleId="Standard">
    <w:name w:val="Standard"/>
    <w:rsid w:val="009D337C"/>
    <w:pPr>
      <w:overflowPunct w:val="0"/>
      <w:autoSpaceDE w:val="0"/>
      <w:autoSpaceDN w:val="0"/>
      <w:adjustRightInd w:val="0"/>
    </w:pPr>
  </w:style>
  <w:style w:type="table" w:styleId="Grigliatabella">
    <w:name w:val="Table Grid"/>
    <w:basedOn w:val="Tabellanormale"/>
    <w:rsid w:val="009D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unhideWhenUsed/>
    <w:rsid w:val="00F6535C"/>
    <w:pPr>
      <w:suppressAutoHyphens w:val="0"/>
      <w:spacing w:after="120"/>
      <w:ind w:left="283"/>
    </w:pPr>
    <w:rPr>
      <w:sz w:val="16"/>
      <w:szCs w:val="16"/>
    </w:rPr>
  </w:style>
  <w:style w:type="character" w:customStyle="1" w:styleId="Rientrocorpodeltesto3Carattere">
    <w:name w:val="Rientro corpo del testo 3 Carattere"/>
    <w:link w:val="Rientrocorpodeltesto3"/>
    <w:rsid w:val="00F6535C"/>
    <w:rPr>
      <w:sz w:val="16"/>
      <w:szCs w:val="16"/>
    </w:rPr>
  </w:style>
  <w:style w:type="paragraph" w:styleId="Corpodeltesto2">
    <w:name w:val="Body Text 2"/>
    <w:basedOn w:val="Normale"/>
    <w:link w:val="Corpodeltesto2Carattere"/>
    <w:rsid w:val="0004427A"/>
    <w:pPr>
      <w:spacing w:after="120" w:line="480" w:lineRule="auto"/>
    </w:pPr>
  </w:style>
  <w:style w:type="character" w:customStyle="1" w:styleId="Corpodeltesto2Carattere">
    <w:name w:val="Corpo del testo 2 Carattere"/>
    <w:link w:val="Corpodeltesto2"/>
    <w:rsid w:val="0004427A"/>
    <w:rPr>
      <w:sz w:val="24"/>
      <w:szCs w:val="24"/>
      <w:lang w:eastAsia="zh-CN"/>
    </w:rPr>
  </w:style>
  <w:style w:type="paragraph" w:customStyle="1" w:styleId="Corpodeltesto21">
    <w:name w:val="Corpo del testo 21"/>
    <w:basedOn w:val="Normale"/>
    <w:rsid w:val="00E8703E"/>
    <w:pPr>
      <w:spacing w:after="120" w:line="480" w:lineRule="auto"/>
    </w:pPr>
  </w:style>
  <w:style w:type="paragraph" w:customStyle="1" w:styleId="Nessunaspaziatura1">
    <w:name w:val="Nessuna spaziatura1"/>
    <w:qFormat/>
    <w:rsid w:val="00C01482"/>
    <w:pPr>
      <w:suppressAutoHyphens/>
    </w:pPr>
    <w:rPr>
      <w:rFonts w:ascii="Calibri" w:hAnsi="Calibri"/>
      <w:color w:val="00000A"/>
      <w:sz w:val="24"/>
      <w:szCs w:val="22"/>
      <w:lang w:eastAsia="ar-SA"/>
    </w:rPr>
  </w:style>
  <w:style w:type="paragraph" w:customStyle="1" w:styleId="Risultato">
    <w:name w:val="Risultato"/>
    <w:basedOn w:val="Corpodeltesto1"/>
    <w:qFormat/>
    <w:rsid w:val="00C01482"/>
    <w:pPr>
      <w:suppressAutoHyphens w:val="0"/>
      <w:spacing w:after="60" w:line="220" w:lineRule="atLeast"/>
      <w:jc w:val="both"/>
    </w:pPr>
    <w:rPr>
      <w:rFonts w:ascii="Arial" w:hAnsi="Arial"/>
      <w:color w:val="00000A"/>
      <w:spacing w:val="-5"/>
      <w:sz w:val="20"/>
      <w:szCs w:val="20"/>
      <w:lang w:eastAsia="en-US"/>
    </w:rPr>
  </w:style>
  <w:style w:type="paragraph" w:styleId="Testofumetto">
    <w:name w:val="Balloon Text"/>
    <w:basedOn w:val="Normale"/>
    <w:link w:val="TestofumettoCarattere"/>
    <w:rsid w:val="002F52EB"/>
    <w:rPr>
      <w:rFonts w:ascii="Segoe UI" w:hAnsi="Segoe UI"/>
      <w:sz w:val="18"/>
      <w:szCs w:val="18"/>
    </w:rPr>
  </w:style>
  <w:style w:type="character" w:customStyle="1" w:styleId="TestofumettoCarattere">
    <w:name w:val="Testo fumetto Carattere"/>
    <w:link w:val="Testofumetto"/>
    <w:rsid w:val="002F52EB"/>
    <w:rPr>
      <w:rFonts w:ascii="Segoe UI" w:hAnsi="Segoe UI" w:cs="Segoe UI"/>
      <w:sz w:val="18"/>
      <w:szCs w:val="18"/>
      <w:lang w:eastAsia="zh-CN"/>
    </w:rPr>
  </w:style>
  <w:style w:type="paragraph" w:styleId="Paragrafoelenco">
    <w:name w:val="List Paragraph"/>
    <w:basedOn w:val="Normale"/>
    <w:uiPriority w:val="34"/>
    <w:qFormat/>
    <w:rsid w:val="008F47D5"/>
    <w:pPr>
      <w:suppressAutoHyphens w:val="0"/>
      <w:spacing w:after="160" w:line="259" w:lineRule="auto"/>
      <w:ind w:left="720"/>
      <w:contextualSpacing/>
    </w:pPr>
    <w:rPr>
      <w:rFonts w:ascii="Calibri" w:eastAsia="Calibri" w:hAnsi="Calibri"/>
      <w:sz w:val="22"/>
      <w:szCs w:val="22"/>
      <w:lang w:eastAsia="en-US"/>
    </w:rPr>
  </w:style>
  <w:style w:type="character" w:styleId="Collegamentoipertestuale">
    <w:name w:val="Hyperlink"/>
    <w:rsid w:val="000573B2"/>
    <w:rPr>
      <w:color w:val="0563C1"/>
      <w:u w:val="single"/>
    </w:rPr>
  </w:style>
  <w:style w:type="character" w:customStyle="1" w:styleId="Menzionenonrisolta1">
    <w:name w:val="Menzione non risolta1"/>
    <w:uiPriority w:val="99"/>
    <w:semiHidden/>
    <w:unhideWhenUsed/>
    <w:rsid w:val="000573B2"/>
    <w:rPr>
      <w:color w:val="605E5C"/>
      <w:shd w:val="clear" w:color="auto" w:fill="E1DFDD"/>
    </w:rPr>
  </w:style>
  <w:style w:type="paragraph" w:styleId="NormaleWeb">
    <w:name w:val="Normal (Web)"/>
    <w:basedOn w:val="Normale"/>
    <w:unhideWhenUsed/>
    <w:rsid w:val="00764734"/>
    <w:pPr>
      <w:suppressAutoHyphens w:val="0"/>
      <w:spacing w:before="100" w:beforeAutospacing="1" w:after="100" w:afterAutospacing="1"/>
    </w:pPr>
    <w:rPr>
      <w:lang w:eastAsia="it-IT"/>
    </w:rPr>
  </w:style>
  <w:style w:type="paragraph" w:customStyle="1" w:styleId="Default">
    <w:name w:val="Default"/>
    <w:rsid w:val="009928D7"/>
    <w:pPr>
      <w:autoSpaceDE w:val="0"/>
      <w:autoSpaceDN w:val="0"/>
      <w:adjustRightInd w:val="0"/>
    </w:pPr>
    <w:rPr>
      <w:rFonts w:ascii="Gotham Light" w:hAnsi="Gotham Light" w:cs="Gotham Light"/>
      <w:color w:val="000000"/>
      <w:sz w:val="24"/>
      <w:szCs w:val="24"/>
    </w:rPr>
  </w:style>
  <w:style w:type="paragraph" w:styleId="Corpotesto">
    <w:name w:val="Body Text"/>
    <w:basedOn w:val="Normale"/>
    <w:link w:val="CorpotestoCarattere"/>
    <w:rsid w:val="00376D91"/>
    <w:pPr>
      <w:spacing w:after="120"/>
    </w:pPr>
  </w:style>
  <w:style w:type="character" w:customStyle="1" w:styleId="CorpotestoCarattere">
    <w:name w:val="Corpo testo Carattere"/>
    <w:basedOn w:val="Carpredefinitoparagrafo"/>
    <w:link w:val="Corpotesto"/>
    <w:rsid w:val="00376D91"/>
    <w:rPr>
      <w:sz w:val="24"/>
      <w:szCs w:val="24"/>
      <w:lang w:eastAsia="zh-CN"/>
    </w:rPr>
  </w:style>
  <w:style w:type="character" w:styleId="Enfasicorsivo">
    <w:name w:val="Emphasis"/>
    <w:uiPriority w:val="20"/>
    <w:qFormat/>
    <w:rsid w:val="00376D91"/>
    <w:rPr>
      <w:i/>
      <w:iCs/>
    </w:rPr>
  </w:style>
  <w:style w:type="character" w:styleId="Menzionenonrisolta">
    <w:name w:val="Unresolved Mention"/>
    <w:basedOn w:val="Carpredefinitoparagrafo"/>
    <w:uiPriority w:val="99"/>
    <w:semiHidden/>
    <w:unhideWhenUsed/>
    <w:rsid w:val="00CD434B"/>
    <w:rPr>
      <w:color w:val="605E5C"/>
      <w:shd w:val="clear" w:color="auto" w:fill="E1DFDD"/>
    </w:rPr>
  </w:style>
  <w:style w:type="character" w:customStyle="1" w:styleId="Titolo3Carattere">
    <w:name w:val="Titolo 3 Carattere"/>
    <w:basedOn w:val="Carpredefinitoparagrafo"/>
    <w:link w:val="Titolo3"/>
    <w:rsid w:val="002607D6"/>
    <w:rPr>
      <w:b/>
      <w:bCs/>
      <w:sz w:val="24"/>
    </w:rPr>
  </w:style>
  <w:style w:type="paragraph" w:customStyle="1" w:styleId="NormaleWeb1">
    <w:name w:val="Normale (Web)1"/>
    <w:basedOn w:val="Normale"/>
    <w:rsid w:val="002607D6"/>
    <w:pPr>
      <w:suppressAutoHyphens w:val="0"/>
      <w:overflowPunct w:val="0"/>
      <w:autoSpaceDE w:val="0"/>
      <w:autoSpaceDN w:val="0"/>
      <w:adjustRightInd w:val="0"/>
      <w:spacing w:before="100" w:after="100"/>
      <w:textAlignment w:val="baseline"/>
    </w:pPr>
    <w:rPr>
      <w:szCs w:val="20"/>
      <w:lang w:eastAsia="it-IT"/>
    </w:rPr>
  </w:style>
  <w:style w:type="paragraph" w:styleId="Titolo">
    <w:name w:val="Title"/>
    <w:basedOn w:val="Normale"/>
    <w:link w:val="TitoloCarattere"/>
    <w:qFormat/>
    <w:rsid w:val="002607D6"/>
    <w:pPr>
      <w:suppressAutoHyphens w:val="0"/>
      <w:jc w:val="center"/>
    </w:pPr>
    <w:rPr>
      <w:b/>
      <w:bCs/>
      <w:sz w:val="22"/>
      <w:lang w:eastAsia="it-IT"/>
    </w:rPr>
  </w:style>
  <w:style w:type="character" w:customStyle="1" w:styleId="TitoloCarattere">
    <w:name w:val="Titolo Carattere"/>
    <w:basedOn w:val="Carpredefinitoparagrafo"/>
    <w:link w:val="Titolo"/>
    <w:rsid w:val="002607D6"/>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6684">
      <w:bodyDiv w:val="1"/>
      <w:marLeft w:val="0"/>
      <w:marRight w:val="0"/>
      <w:marTop w:val="0"/>
      <w:marBottom w:val="0"/>
      <w:divBdr>
        <w:top w:val="none" w:sz="0" w:space="0" w:color="auto"/>
        <w:left w:val="none" w:sz="0" w:space="0" w:color="auto"/>
        <w:bottom w:val="none" w:sz="0" w:space="0" w:color="auto"/>
        <w:right w:val="none" w:sz="0" w:space="0" w:color="auto"/>
      </w:divBdr>
    </w:div>
    <w:div w:id="210387481">
      <w:bodyDiv w:val="1"/>
      <w:marLeft w:val="0"/>
      <w:marRight w:val="0"/>
      <w:marTop w:val="0"/>
      <w:marBottom w:val="0"/>
      <w:divBdr>
        <w:top w:val="none" w:sz="0" w:space="0" w:color="auto"/>
        <w:left w:val="none" w:sz="0" w:space="0" w:color="auto"/>
        <w:bottom w:val="none" w:sz="0" w:space="0" w:color="auto"/>
        <w:right w:val="none" w:sz="0" w:space="0" w:color="auto"/>
      </w:divBdr>
    </w:div>
    <w:div w:id="223218787">
      <w:bodyDiv w:val="1"/>
      <w:marLeft w:val="0"/>
      <w:marRight w:val="0"/>
      <w:marTop w:val="0"/>
      <w:marBottom w:val="0"/>
      <w:divBdr>
        <w:top w:val="none" w:sz="0" w:space="0" w:color="auto"/>
        <w:left w:val="none" w:sz="0" w:space="0" w:color="auto"/>
        <w:bottom w:val="none" w:sz="0" w:space="0" w:color="auto"/>
        <w:right w:val="none" w:sz="0" w:space="0" w:color="auto"/>
      </w:divBdr>
    </w:div>
    <w:div w:id="292487998">
      <w:bodyDiv w:val="1"/>
      <w:marLeft w:val="0"/>
      <w:marRight w:val="0"/>
      <w:marTop w:val="0"/>
      <w:marBottom w:val="0"/>
      <w:divBdr>
        <w:top w:val="none" w:sz="0" w:space="0" w:color="auto"/>
        <w:left w:val="none" w:sz="0" w:space="0" w:color="auto"/>
        <w:bottom w:val="none" w:sz="0" w:space="0" w:color="auto"/>
        <w:right w:val="none" w:sz="0" w:space="0" w:color="auto"/>
      </w:divBdr>
    </w:div>
    <w:div w:id="348682522">
      <w:bodyDiv w:val="1"/>
      <w:marLeft w:val="0"/>
      <w:marRight w:val="0"/>
      <w:marTop w:val="0"/>
      <w:marBottom w:val="0"/>
      <w:divBdr>
        <w:top w:val="none" w:sz="0" w:space="0" w:color="auto"/>
        <w:left w:val="none" w:sz="0" w:space="0" w:color="auto"/>
        <w:bottom w:val="none" w:sz="0" w:space="0" w:color="auto"/>
        <w:right w:val="none" w:sz="0" w:space="0" w:color="auto"/>
      </w:divBdr>
    </w:div>
    <w:div w:id="353265202">
      <w:bodyDiv w:val="1"/>
      <w:marLeft w:val="0"/>
      <w:marRight w:val="0"/>
      <w:marTop w:val="0"/>
      <w:marBottom w:val="0"/>
      <w:divBdr>
        <w:top w:val="none" w:sz="0" w:space="0" w:color="auto"/>
        <w:left w:val="none" w:sz="0" w:space="0" w:color="auto"/>
        <w:bottom w:val="none" w:sz="0" w:space="0" w:color="auto"/>
        <w:right w:val="none" w:sz="0" w:space="0" w:color="auto"/>
      </w:divBdr>
    </w:div>
    <w:div w:id="423189527">
      <w:bodyDiv w:val="1"/>
      <w:marLeft w:val="0"/>
      <w:marRight w:val="0"/>
      <w:marTop w:val="0"/>
      <w:marBottom w:val="0"/>
      <w:divBdr>
        <w:top w:val="none" w:sz="0" w:space="0" w:color="auto"/>
        <w:left w:val="none" w:sz="0" w:space="0" w:color="auto"/>
        <w:bottom w:val="none" w:sz="0" w:space="0" w:color="auto"/>
        <w:right w:val="none" w:sz="0" w:space="0" w:color="auto"/>
      </w:divBdr>
    </w:div>
    <w:div w:id="457993957">
      <w:bodyDiv w:val="1"/>
      <w:marLeft w:val="0"/>
      <w:marRight w:val="0"/>
      <w:marTop w:val="0"/>
      <w:marBottom w:val="0"/>
      <w:divBdr>
        <w:top w:val="none" w:sz="0" w:space="0" w:color="auto"/>
        <w:left w:val="none" w:sz="0" w:space="0" w:color="auto"/>
        <w:bottom w:val="none" w:sz="0" w:space="0" w:color="auto"/>
        <w:right w:val="none" w:sz="0" w:space="0" w:color="auto"/>
      </w:divBdr>
    </w:div>
    <w:div w:id="460422395">
      <w:bodyDiv w:val="1"/>
      <w:marLeft w:val="0"/>
      <w:marRight w:val="0"/>
      <w:marTop w:val="0"/>
      <w:marBottom w:val="0"/>
      <w:divBdr>
        <w:top w:val="none" w:sz="0" w:space="0" w:color="auto"/>
        <w:left w:val="none" w:sz="0" w:space="0" w:color="auto"/>
        <w:bottom w:val="none" w:sz="0" w:space="0" w:color="auto"/>
        <w:right w:val="none" w:sz="0" w:space="0" w:color="auto"/>
      </w:divBdr>
    </w:div>
    <w:div w:id="489055635">
      <w:bodyDiv w:val="1"/>
      <w:marLeft w:val="0"/>
      <w:marRight w:val="0"/>
      <w:marTop w:val="0"/>
      <w:marBottom w:val="0"/>
      <w:divBdr>
        <w:top w:val="none" w:sz="0" w:space="0" w:color="auto"/>
        <w:left w:val="none" w:sz="0" w:space="0" w:color="auto"/>
        <w:bottom w:val="none" w:sz="0" w:space="0" w:color="auto"/>
        <w:right w:val="none" w:sz="0" w:space="0" w:color="auto"/>
      </w:divBdr>
    </w:div>
    <w:div w:id="506487004">
      <w:bodyDiv w:val="1"/>
      <w:marLeft w:val="0"/>
      <w:marRight w:val="0"/>
      <w:marTop w:val="0"/>
      <w:marBottom w:val="0"/>
      <w:divBdr>
        <w:top w:val="none" w:sz="0" w:space="0" w:color="auto"/>
        <w:left w:val="none" w:sz="0" w:space="0" w:color="auto"/>
        <w:bottom w:val="none" w:sz="0" w:space="0" w:color="auto"/>
        <w:right w:val="none" w:sz="0" w:space="0" w:color="auto"/>
      </w:divBdr>
    </w:div>
    <w:div w:id="517013529">
      <w:bodyDiv w:val="1"/>
      <w:marLeft w:val="0"/>
      <w:marRight w:val="0"/>
      <w:marTop w:val="0"/>
      <w:marBottom w:val="0"/>
      <w:divBdr>
        <w:top w:val="none" w:sz="0" w:space="0" w:color="auto"/>
        <w:left w:val="none" w:sz="0" w:space="0" w:color="auto"/>
        <w:bottom w:val="none" w:sz="0" w:space="0" w:color="auto"/>
        <w:right w:val="none" w:sz="0" w:space="0" w:color="auto"/>
      </w:divBdr>
    </w:div>
    <w:div w:id="576092302">
      <w:bodyDiv w:val="1"/>
      <w:marLeft w:val="0"/>
      <w:marRight w:val="0"/>
      <w:marTop w:val="0"/>
      <w:marBottom w:val="0"/>
      <w:divBdr>
        <w:top w:val="none" w:sz="0" w:space="0" w:color="auto"/>
        <w:left w:val="none" w:sz="0" w:space="0" w:color="auto"/>
        <w:bottom w:val="none" w:sz="0" w:space="0" w:color="auto"/>
        <w:right w:val="none" w:sz="0" w:space="0" w:color="auto"/>
      </w:divBdr>
    </w:div>
    <w:div w:id="630405563">
      <w:bodyDiv w:val="1"/>
      <w:marLeft w:val="0"/>
      <w:marRight w:val="0"/>
      <w:marTop w:val="0"/>
      <w:marBottom w:val="0"/>
      <w:divBdr>
        <w:top w:val="none" w:sz="0" w:space="0" w:color="auto"/>
        <w:left w:val="none" w:sz="0" w:space="0" w:color="auto"/>
        <w:bottom w:val="none" w:sz="0" w:space="0" w:color="auto"/>
        <w:right w:val="none" w:sz="0" w:space="0" w:color="auto"/>
      </w:divBdr>
    </w:div>
    <w:div w:id="653073534">
      <w:bodyDiv w:val="1"/>
      <w:marLeft w:val="0"/>
      <w:marRight w:val="0"/>
      <w:marTop w:val="0"/>
      <w:marBottom w:val="0"/>
      <w:divBdr>
        <w:top w:val="none" w:sz="0" w:space="0" w:color="auto"/>
        <w:left w:val="none" w:sz="0" w:space="0" w:color="auto"/>
        <w:bottom w:val="none" w:sz="0" w:space="0" w:color="auto"/>
        <w:right w:val="none" w:sz="0" w:space="0" w:color="auto"/>
      </w:divBdr>
    </w:div>
    <w:div w:id="672073731">
      <w:bodyDiv w:val="1"/>
      <w:marLeft w:val="0"/>
      <w:marRight w:val="0"/>
      <w:marTop w:val="0"/>
      <w:marBottom w:val="0"/>
      <w:divBdr>
        <w:top w:val="none" w:sz="0" w:space="0" w:color="auto"/>
        <w:left w:val="none" w:sz="0" w:space="0" w:color="auto"/>
        <w:bottom w:val="none" w:sz="0" w:space="0" w:color="auto"/>
        <w:right w:val="none" w:sz="0" w:space="0" w:color="auto"/>
      </w:divBdr>
    </w:div>
    <w:div w:id="700474864">
      <w:bodyDiv w:val="1"/>
      <w:marLeft w:val="0"/>
      <w:marRight w:val="0"/>
      <w:marTop w:val="0"/>
      <w:marBottom w:val="0"/>
      <w:divBdr>
        <w:top w:val="none" w:sz="0" w:space="0" w:color="auto"/>
        <w:left w:val="none" w:sz="0" w:space="0" w:color="auto"/>
        <w:bottom w:val="none" w:sz="0" w:space="0" w:color="auto"/>
        <w:right w:val="none" w:sz="0" w:space="0" w:color="auto"/>
      </w:divBdr>
    </w:div>
    <w:div w:id="779227550">
      <w:bodyDiv w:val="1"/>
      <w:marLeft w:val="0"/>
      <w:marRight w:val="0"/>
      <w:marTop w:val="0"/>
      <w:marBottom w:val="0"/>
      <w:divBdr>
        <w:top w:val="none" w:sz="0" w:space="0" w:color="auto"/>
        <w:left w:val="none" w:sz="0" w:space="0" w:color="auto"/>
        <w:bottom w:val="none" w:sz="0" w:space="0" w:color="auto"/>
        <w:right w:val="none" w:sz="0" w:space="0" w:color="auto"/>
      </w:divBdr>
    </w:div>
    <w:div w:id="797145538">
      <w:bodyDiv w:val="1"/>
      <w:marLeft w:val="0"/>
      <w:marRight w:val="0"/>
      <w:marTop w:val="0"/>
      <w:marBottom w:val="0"/>
      <w:divBdr>
        <w:top w:val="none" w:sz="0" w:space="0" w:color="auto"/>
        <w:left w:val="none" w:sz="0" w:space="0" w:color="auto"/>
        <w:bottom w:val="none" w:sz="0" w:space="0" w:color="auto"/>
        <w:right w:val="none" w:sz="0" w:space="0" w:color="auto"/>
      </w:divBdr>
    </w:div>
    <w:div w:id="839079475">
      <w:bodyDiv w:val="1"/>
      <w:marLeft w:val="0"/>
      <w:marRight w:val="0"/>
      <w:marTop w:val="0"/>
      <w:marBottom w:val="0"/>
      <w:divBdr>
        <w:top w:val="none" w:sz="0" w:space="0" w:color="auto"/>
        <w:left w:val="none" w:sz="0" w:space="0" w:color="auto"/>
        <w:bottom w:val="none" w:sz="0" w:space="0" w:color="auto"/>
        <w:right w:val="none" w:sz="0" w:space="0" w:color="auto"/>
      </w:divBdr>
    </w:div>
    <w:div w:id="881479588">
      <w:bodyDiv w:val="1"/>
      <w:marLeft w:val="0"/>
      <w:marRight w:val="0"/>
      <w:marTop w:val="0"/>
      <w:marBottom w:val="0"/>
      <w:divBdr>
        <w:top w:val="none" w:sz="0" w:space="0" w:color="auto"/>
        <w:left w:val="none" w:sz="0" w:space="0" w:color="auto"/>
        <w:bottom w:val="none" w:sz="0" w:space="0" w:color="auto"/>
        <w:right w:val="none" w:sz="0" w:space="0" w:color="auto"/>
      </w:divBdr>
    </w:div>
    <w:div w:id="895511808">
      <w:bodyDiv w:val="1"/>
      <w:marLeft w:val="0"/>
      <w:marRight w:val="0"/>
      <w:marTop w:val="0"/>
      <w:marBottom w:val="0"/>
      <w:divBdr>
        <w:top w:val="none" w:sz="0" w:space="0" w:color="auto"/>
        <w:left w:val="none" w:sz="0" w:space="0" w:color="auto"/>
        <w:bottom w:val="none" w:sz="0" w:space="0" w:color="auto"/>
        <w:right w:val="none" w:sz="0" w:space="0" w:color="auto"/>
      </w:divBdr>
    </w:div>
    <w:div w:id="1032344376">
      <w:bodyDiv w:val="1"/>
      <w:marLeft w:val="0"/>
      <w:marRight w:val="0"/>
      <w:marTop w:val="0"/>
      <w:marBottom w:val="0"/>
      <w:divBdr>
        <w:top w:val="none" w:sz="0" w:space="0" w:color="auto"/>
        <w:left w:val="none" w:sz="0" w:space="0" w:color="auto"/>
        <w:bottom w:val="none" w:sz="0" w:space="0" w:color="auto"/>
        <w:right w:val="none" w:sz="0" w:space="0" w:color="auto"/>
      </w:divBdr>
    </w:div>
    <w:div w:id="1033576235">
      <w:bodyDiv w:val="1"/>
      <w:marLeft w:val="0"/>
      <w:marRight w:val="0"/>
      <w:marTop w:val="0"/>
      <w:marBottom w:val="0"/>
      <w:divBdr>
        <w:top w:val="none" w:sz="0" w:space="0" w:color="auto"/>
        <w:left w:val="none" w:sz="0" w:space="0" w:color="auto"/>
        <w:bottom w:val="none" w:sz="0" w:space="0" w:color="auto"/>
        <w:right w:val="none" w:sz="0" w:space="0" w:color="auto"/>
      </w:divBdr>
    </w:div>
    <w:div w:id="1094668760">
      <w:bodyDiv w:val="1"/>
      <w:marLeft w:val="0"/>
      <w:marRight w:val="0"/>
      <w:marTop w:val="0"/>
      <w:marBottom w:val="0"/>
      <w:divBdr>
        <w:top w:val="none" w:sz="0" w:space="0" w:color="auto"/>
        <w:left w:val="none" w:sz="0" w:space="0" w:color="auto"/>
        <w:bottom w:val="none" w:sz="0" w:space="0" w:color="auto"/>
        <w:right w:val="none" w:sz="0" w:space="0" w:color="auto"/>
      </w:divBdr>
    </w:div>
    <w:div w:id="1247610986">
      <w:bodyDiv w:val="1"/>
      <w:marLeft w:val="0"/>
      <w:marRight w:val="0"/>
      <w:marTop w:val="0"/>
      <w:marBottom w:val="0"/>
      <w:divBdr>
        <w:top w:val="none" w:sz="0" w:space="0" w:color="auto"/>
        <w:left w:val="none" w:sz="0" w:space="0" w:color="auto"/>
        <w:bottom w:val="none" w:sz="0" w:space="0" w:color="auto"/>
        <w:right w:val="none" w:sz="0" w:space="0" w:color="auto"/>
      </w:divBdr>
    </w:div>
    <w:div w:id="1317343151">
      <w:bodyDiv w:val="1"/>
      <w:marLeft w:val="0"/>
      <w:marRight w:val="0"/>
      <w:marTop w:val="0"/>
      <w:marBottom w:val="0"/>
      <w:divBdr>
        <w:top w:val="none" w:sz="0" w:space="0" w:color="auto"/>
        <w:left w:val="none" w:sz="0" w:space="0" w:color="auto"/>
        <w:bottom w:val="none" w:sz="0" w:space="0" w:color="auto"/>
        <w:right w:val="none" w:sz="0" w:space="0" w:color="auto"/>
      </w:divBdr>
    </w:div>
    <w:div w:id="1328022295">
      <w:bodyDiv w:val="1"/>
      <w:marLeft w:val="0"/>
      <w:marRight w:val="0"/>
      <w:marTop w:val="0"/>
      <w:marBottom w:val="0"/>
      <w:divBdr>
        <w:top w:val="none" w:sz="0" w:space="0" w:color="auto"/>
        <w:left w:val="none" w:sz="0" w:space="0" w:color="auto"/>
        <w:bottom w:val="none" w:sz="0" w:space="0" w:color="auto"/>
        <w:right w:val="none" w:sz="0" w:space="0" w:color="auto"/>
      </w:divBdr>
    </w:div>
    <w:div w:id="1391268852">
      <w:bodyDiv w:val="1"/>
      <w:marLeft w:val="0"/>
      <w:marRight w:val="0"/>
      <w:marTop w:val="0"/>
      <w:marBottom w:val="0"/>
      <w:divBdr>
        <w:top w:val="none" w:sz="0" w:space="0" w:color="auto"/>
        <w:left w:val="none" w:sz="0" w:space="0" w:color="auto"/>
        <w:bottom w:val="none" w:sz="0" w:space="0" w:color="auto"/>
        <w:right w:val="none" w:sz="0" w:space="0" w:color="auto"/>
      </w:divBdr>
    </w:div>
    <w:div w:id="1446584638">
      <w:bodyDiv w:val="1"/>
      <w:marLeft w:val="0"/>
      <w:marRight w:val="0"/>
      <w:marTop w:val="0"/>
      <w:marBottom w:val="0"/>
      <w:divBdr>
        <w:top w:val="none" w:sz="0" w:space="0" w:color="auto"/>
        <w:left w:val="none" w:sz="0" w:space="0" w:color="auto"/>
        <w:bottom w:val="none" w:sz="0" w:space="0" w:color="auto"/>
        <w:right w:val="none" w:sz="0" w:space="0" w:color="auto"/>
      </w:divBdr>
    </w:div>
    <w:div w:id="1512833127">
      <w:bodyDiv w:val="1"/>
      <w:marLeft w:val="0"/>
      <w:marRight w:val="0"/>
      <w:marTop w:val="0"/>
      <w:marBottom w:val="0"/>
      <w:divBdr>
        <w:top w:val="none" w:sz="0" w:space="0" w:color="auto"/>
        <w:left w:val="none" w:sz="0" w:space="0" w:color="auto"/>
        <w:bottom w:val="none" w:sz="0" w:space="0" w:color="auto"/>
        <w:right w:val="none" w:sz="0" w:space="0" w:color="auto"/>
      </w:divBdr>
    </w:div>
    <w:div w:id="1523082421">
      <w:bodyDiv w:val="1"/>
      <w:marLeft w:val="0"/>
      <w:marRight w:val="0"/>
      <w:marTop w:val="0"/>
      <w:marBottom w:val="0"/>
      <w:divBdr>
        <w:top w:val="none" w:sz="0" w:space="0" w:color="auto"/>
        <w:left w:val="none" w:sz="0" w:space="0" w:color="auto"/>
        <w:bottom w:val="none" w:sz="0" w:space="0" w:color="auto"/>
        <w:right w:val="none" w:sz="0" w:space="0" w:color="auto"/>
      </w:divBdr>
    </w:div>
    <w:div w:id="1541091220">
      <w:bodyDiv w:val="1"/>
      <w:marLeft w:val="0"/>
      <w:marRight w:val="0"/>
      <w:marTop w:val="0"/>
      <w:marBottom w:val="0"/>
      <w:divBdr>
        <w:top w:val="none" w:sz="0" w:space="0" w:color="auto"/>
        <w:left w:val="none" w:sz="0" w:space="0" w:color="auto"/>
        <w:bottom w:val="none" w:sz="0" w:space="0" w:color="auto"/>
        <w:right w:val="none" w:sz="0" w:space="0" w:color="auto"/>
      </w:divBdr>
    </w:div>
    <w:div w:id="1556503242">
      <w:bodyDiv w:val="1"/>
      <w:marLeft w:val="0"/>
      <w:marRight w:val="0"/>
      <w:marTop w:val="0"/>
      <w:marBottom w:val="0"/>
      <w:divBdr>
        <w:top w:val="none" w:sz="0" w:space="0" w:color="auto"/>
        <w:left w:val="none" w:sz="0" w:space="0" w:color="auto"/>
        <w:bottom w:val="none" w:sz="0" w:space="0" w:color="auto"/>
        <w:right w:val="none" w:sz="0" w:space="0" w:color="auto"/>
      </w:divBdr>
      <w:divsChild>
        <w:div w:id="91824938">
          <w:marLeft w:val="0"/>
          <w:marRight w:val="0"/>
          <w:marTop w:val="0"/>
          <w:marBottom w:val="0"/>
          <w:divBdr>
            <w:top w:val="none" w:sz="0" w:space="0" w:color="auto"/>
            <w:left w:val="none" w:sz="0" w:space="0" w:color="auto"/>
            <w:bottom w:val="none" w:sz="0" w:space="0" w:color="auto"/>
            <w:right w:val="none" w:sz="0" w:space="0" w:color="auto"/>
          </w:divBdr>
        </w:div>
        <w:div w:id="520901237">
          <w:marLeft w:val="0"/>
          <w:marRight w:val="0"/>
          <w:marTop w:val="0"/>
          <w:marBottom w:val="0"/>
          <w:divBdr>
            <w:top w:val="none" w:sz="0" w:space="0" w:color="auto"/>
            <w:left w:val="none" w:sz="0" w:space="0" w:color="auto"/>
            <w:bottom w:val="none" w:sz="0" w:space="0" w:color="auto"/>
            <w:right w:val="none" w:sz="0" w:space="0" w:color="auto"/>
          </w:divBdr>
        </w:div>
        <w:div w:id="1753159859">
          <w:marLeft w:val="0"/>
          <w:marRight w:val="0"/>
          <w:marTop w:val="0"/>
          <w:marBottom w:val="0"/>
          <w:divBdr>
            <w:top w:val="none" w:sz="0" w:space="0" w:color="auto"/>
            <w:left w:val="none" w:sz="0" w:space="0" w:color="auto"/>
            <w:bottom w:val="none" w:sz="0" w:space="0" w:color="auto"/>
            <w:right w:val="none" w:sz="0" w:space="0" w:color="auto"/>
          </w:divBdr>
        </w:div>
        <w:div w:id="384108041">
          <w:marLeft w:val="0"/>
          <w:marRight w:val="0"/>
          <w:marTop w:val="0"/>
          <w:marBottom w:val="0"/>
          <w:divBdr>
            <w:top w:val="none" w:sz="0" w:space="0" w:color="auto"/>
            <w:left w:val="none" w:sz="0" w:space="0" w:color="auto"/>
            <w:bottom w:val="none" w:sz="0" w:space="0" w:color="auto"/>
            <w:right w:val="none" w:sz="0" w:space="0" w:color="auto"/>
          </w:divBdr>
        </w:div>
        <w:div w:id="531503252">
          <w:marLeft w:val="0"/>
          <w:marRight w:val="0"/>
          <w:marTop w:val="0"/>
          <w:marBottom w:val="0"/>
          <w:divBdr>
            <w:top w:val="none" w:sz="0" w:space="0" w:color="auto"/>
            <w:left w:val="none" w:sz="0" w:space="0" w:color="auto"/>
            <w:bottom w:val="none" w:sz="0" w:space="0" w:color="auto"/>
            <w:right w:val="none" w:sz="0" w:space="0" w:color="auto"/>
          </w:divBdr>
        </w:div>
        <w:div w:id="8417101">
          <w:marLeft w:val="0"/>
          <w:marRight w:val="0"/>
          <w:marTop w:val="0"/>
          <w:marBottom w:val="0"/>
          <w:divBdr>
            <w:top w:val="none" w:sz="0" w:space="0" w:color="auto"/>
            <w:left w:val="none" w:sz="0" w:space="0" w:color="auto"/>
            <w:bottom w:val="none" w:sz="0" w:space="0" w:color="auto"/>
            <w:right w:val="none" w:sz="0" w:space="0" w:color="auto"/>
          </w:divBdr>
        </w:div>
        <w:div w:id="410004106">
          <w:marLeft w:val="0"/>
          <w:marRight w:val="0"/>
          <w:marTop w:val="0"/>
          <w:marBottom w:val="0"/>
          <w:divBdr>
            <w:top w:val="none" w:sz="0" w:space="0" w:color="auto"/>
            <w:left w:val="none" w:sz="0" w:space="0" w:color="auto"/>
            <w:bottom w:val="none" w:sz="0" w:space="0" w:color="auto"/>
            <w:right w:val="none" w:sz="0" w:space="0" w:color="auto"/>
          </w:divBdr>
        </w:div>
        <w:div w:id="1160656642">
          <w:marLeft w:val="0"/>
          <w:marRight w:val="0"/>
          <w:marTop w:val="0"/>
          <w:marBottom w:val="0"/>
          <w:divBdr>
            <w:top w:val="none" w:sz="0" w:space="0" w:color="auto"/>
            <w:left w:val="none" w:sz="0" w:space="0" w:color="auto"/>
            <w:bottom w:val="none" w:sz="0" w:space="0" w:color="auto"/>
            <w:right w:val="none" w:sz="0" w:space="0" w:color="auto"/>
          </w:divBdr>
          <w:divsChild>
            <w:div w:id="344600040">
              <w:marLeft w:val="0"/>
              <w:marRight w:val="0"/>
              <w:marTop w:val="0"/>
              <w:marBottom w:val="0"/>
              <w:divBdr>
                <w:top w:val="none" w:sz="0" w:space="0" w:color="auto"/>
                <w:left w:val="none" w:sz="0" w:space="0" w:color="auto"/>
                <w:bottom w:val="none" w:sz="0" w:space="0" w:color="auto"/>
                <w:right w:val="none" w:sz="0" w:space="0" w:color="auto"/>
              </w:divBdr>
              <w:divsChild>
                <w:div w:id="20505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4950">
      <w:bodyDiv w:val="1"/>
      <w:marLeft w:val="0"/>
      <w:marRight w:val="0"/>
      <w:marTop w:val="0"/>
      <w:marBottom w:val="0"/>
      <w:divBdr>
        <w:top w:val="none" w:sz="0" w:space="0" w:color="auto"/>
        <w:left w:val="none" w:sz="0" w:space="0" w:color="auto"/>
        <w:bottom w:val="none" w:sz="0" w:space="0" w:color="auto"/>
        <w:right w:val="none" w:sz="0" w:space="0" w:color="auto"/>
      </w:divBdr>
    </w:div>
    <w:div w:id="1679692462">
      <w:bodyDiv w:val="1"/>
      <w:marLeft w:val="0"/>
      <w:marRight w:val="0"/>
      <w:marTop w:val="0"/>
      <w:marBottom w:val="0"/>
      <w:divBdr>
        <w:top w:val="none" w:sz="0" w:space="0" w:color="auto"/>
        <w:left w:val="none" w:sz="0" w:space="0" w:color="auto"/>
        <w:bottom w:val="none" w:sz="0" w:space="0" w:color="auto"/>
        <w:right w:val="none" w:sz="0" w:space="0" w:color="auto"/>
      </w:divBdr>
    </w:div>
    <w:div w:id="1685592746">
      <w:bodyDiv w:val="1"/>
      <w:marLeft w:val="0"/>
      <w:marRight w:val="0"/>
      <w:marTop w:val="0"/>
      <w:marBottom w:val="0"/>
      <w:divBdr>
        <w:top w:val="none" w:sz="0" w:space="0" w:color="auto"/>
        <w:left w:val="none" w:sz="0" w:space="0" w:color="auto"/>
        <w:bottom w:val="none" w:sz="0" w:space="0" w:color="auto"/>
        <w:right w:val="none" w:sz="0" w:space="0" w:color="auto"/>
      </w:divBdr>
    </w:div>
    <w:div w:id="1732540554">
      <w:bodyDiv w:val="1"/>
      <w:marLeft w:val="0"/>
      <w:marRight w:val="0"/>
      <w:marTop w:val="0"/>
      <w:marBottom w:val="0"/>
      <w:divBdr>
        <w:top w:val="none" w:sz="0" w:space="0" w:color="auto"/>
        <w:left w:val="none" w:sz="0" w:space="0" w:color="auto"/>
        <w:bottom w:val="none" w:sz="0" w:space="0" w:color="auto"/>
        <w:right w:val="none" w:sz="0" w:space="0" w:color="auto"/>
      </w:divBdr>
    </w:div>
    <w:div w:id="1766531637">
      <w:bodyDiv w:val="1"/>
      <w:marLeft w:val="0"/>
      <w:marRight w:val="0"/>
      <w:marTop w:val="0"/>
      <w:marBottom w:val="0"/>
      <w:divBdr>
        <w:top w:val="none" w:sz="0" w:space="0" w:color="auto"/>
        <w:left w:val="none" w:sz="0" w:space="0" w:color="auto"/>
        <w:bottom w:val="none" w:sz="0" w:space="0" w:color="auto"/>
        <w:right w:val="none" w:sz="0" w:space="0" w:color="auto"/>
      </w:divBdr>
    </w:div>
    <w:div w:id="1875922778">
      <w:bodyDiv w:val="1"/>
      <w:marLeft w:val="0"/>
      <w:marRight w:val="0"/>
      <w:marTop w:val="0"/>
      <w:marBottom w:val="0"/>
      <w:divBdr>
        <w:top w:val="none" w:sz="0" w:space="0" w:color="auto"/>
        <w:left w:val="none" w:sz="0" w:space="0" w:color="auto"/>
        <w:bottom w:val="none" w:sz="0" w:space="0" w:color="auto"/>
        <w:right w:val="none" w:sz="0" w:space="0" w:color="auto"/>
      </w:divBdr>
    </w:div>
    <w:div w:id="1923293630">
      <w:bodyDiv w:val="1"/>
      <w:marLeft w:val="0"/>
      <w:marRight w:val="0"/>
      <w:marTop w:val="0"/>
      <w:marBottom w:val="0"/>
      <w:divBdr>
        <w:top w:val="none" w:sz="0" w:space="0" w:color="auto"/>
        <w:left w:val="none" w:sz="0" w:space="0" w:color="auto"/>
        <w:bottom w:val="none" w:sz="0" w:space="0" w:color="auto"/>
        <w:right w:val="none" w:sz="0" w:space="0" w:color="auto"/>
      </w:divBdr>
    </w:div>
    <w:div w:id="1972050532">
      <w:bodyDiv w:val="1"/>
      <w:marLeft w:val="0"/>
      <w:marRight w:val="0"/>
      <w:marTop w:val="0"/>
      <w:marBottom w:val="0"/>
      <w:divBdr>
        <w:top w:val="none" w:sz="0" w:space="0" w:color="auto"/>
        <w:left w:val="none" w:sz="0" w:space="0" w:color="auto"/>
        <w:bottom w:val="none" w:sz="0" w:space="0" w:color="auto"/>
        <w:right w:val="none" w:sz="0" w:space="0" w:color="auto"/>
      </w:divBdr>
    </w:div>
    <w:div w:id="1997413043">
      <w:bodyDiv w:val="1"/>
      <w:marLeft w:val="0"/>
      <w:marRight w:val="0"/>
      <w:marTop w:val="0"/>
      <w:marBottom w:val="0"/>
      <w:divBdr>
        <w:top w:val="none" w:sz="0" w:space="0" w:color="auto"/>
        <w:left w:val="none" w:sz="0" w:space="0" w:color="auto"/>
        <w:bottom w:val="none" w:sz="0" w:space="0" w:color="auto"/>
        <w:right w:val="none" w:sz="0" w:space="0" w:color="auto"/>
      </w:divBdr>
    </w:div>
    <w:div w:id="2013992309">
      <w:bodyDiv w:val="1"/>
      <w:marLeft w:val="0"/>
      <w:marRight w:val="0"/>
      <w:marTop w:val="0"/>
      <w:marBottom w:val="0"/>
      <w:divBdr>
        <w:top w:val="none" w:sz="0" w:space="0" w:color="auto"/>
        <w:left w:val="none" w:sz="0" w:space="0" w:color="auto"/>
        <w:bottom w:val="none" w:sz="0" w:space="0" w:color="auto"/>
        <w:right w:val="none" w:sz="0" w:space="0" w:color="auto"/>
      </w:divBdr>
    </w:div>
    <w:div w:id="2142847857">
      <w:bodyDiv w:val="1"/>
      <w:marLeft w:val="0"/>
      <w:marRight w:val="0"/>
      <w:marTop w:val="0"/>
      <w:marBottom w:val="0"/>
      <w:divBdr>
        <w:top w:val="none" w:sz="0" w:space="0" w:color="auto"/>
        <w:left w:val="none" w:sz="0" w:space="0" w:color="auto"/>
        <w:bottom w:val="none" w:sz="0" w:space="0" w:color="auto"/>
        <w:right w:val="none" w:sz="0" w:space="0" w:color="auto"/>
      </w:divBdr>
      <w:divsChild>
        <w:div w:id="799736389">
          <w:marLeft w:val="0"/>
          <w:marRight w:val="0"/>
          <w:marTop w:val="0"/>
          <w:marBottom w:val="0"/>
          <w:divBdr>
            <w:top w:val="none" w:sz="0" w:space="0" w:color="auto"/>
            <w:left w:val="none" w:sz="0" w:space="0" w:color="auto"/>
            <w:bottom w:val="none" w:sz="0" w:space="0" w:color="auto"/>
            <w:right w:val="none" w:sz="0" w:space="0" w:color="auto"/>
          </w:divBdr>
        </w:div>
        <w:div w:id="583952707">
          <w:marLeft w:val="0"/>
          <w:marRight w:val="0"/>
          <w:marTop w:val="0"/>
          <w:marBottom w:val="0"/>
          <w:divBdr>
            <w:top w:val="none" w:sz="0" w:space="0" w:color="auto"/>
            <w:left w:val="none" w:sz="0" w:space="0" w:color="auto"/>
            <w:bottom w:val="none" w:sz="0" w:space="0" w:color="auto"/>
            <w:right w:val="none" w:sz="0" w:space="0" w:color="auto"/>
          </w:divBdr>
        </w:div>
        <w:div w:id="1681741579">
          <w:marLeft w:val="0"/>
          <w:marRight w:val="0"/>
          <w:marTop w:val="0"/>
          <w:marBottom w:val="0"/>
          <w:divBdr>
            <w:top w:val="none" w:sz="0" w:space="0" w:color="auto"/>
            <w:left w:val="none" w:sz="0" w:space="0" w:color="auto"/>
            <w:bottom w:val="none" w:sz="0" w:space="0" w:color="auto"/>
            <w:right w:val="none" w:sz="0" w:space="0" w:color="auto"/>
          </w:divBdr>
        </w:div>
        <w:div w:id="1721243097">
          <w:marLeft w:val="0"/>
          <w:marRight w:val="0"/>
          <w:marTop w:val="0"/>
          <w:marBottom w:val="0"/>
          <w:divBdr>
            <w:top w:val="none" w:sz="0" w:space="0" w:color="auto"/>
            <w:left w:val="none" w:sz="0" w:space="0" w:color="auto"/>
            <w:bottom w:val="none" w:sz="0" w:space="0" w:color="auto"/>
            <w:right w:val="none" w:sz="0" w:space="0" w:color="auto"/>
          </w:divBdr>
        </w:div>
        <w:div w:id="1159226704">
          <w:marLeft w:val="0"/>
          <w:marRight w:val="0"/>
          <w:marTop w:val="0"/>
          <w:marBottom w:val="0"/>
          <w:divBdr>
            <w:top w:val="none" w:sz="0" w:space="0" w:color="auto"/>
            <w:left w:val="none" w:sz="0" w:space="0" w:color="auto"/>
            <w:bottom w:val="none" w:sz="0" w:space="0" w:color="auto"/>
            <w:right w:val="none" w:sz="0" w:space="0" w:color="auto"/>
          </w:divBdr>
        </w:div>
        <w:div w:id="1645355032">
          <w:marLeft w:val="0"/>
          <w:marRight w:val="0"/>
          <w:marTop w:val="0"/>
          <w:marBottom w:val="0"/>
          <w:divBdr>
            <w:top w:val="none" w:sz="0" w:space="0" w:color="auto"/>
            <w:left w:val="none" w:sz="0" w:space="0" w:color="auto"/>
            <w:bottom w:val="none" w:sz="0" w:space="0" w:color="auto"/>
            <w:right w:val="none" w:sz="0" w:space="0" w:color="auto"/>
          </w:divBdr>
        </w:div>
        <w:div w:id="1123305008">
          <w:marLeft w:val="0"/>
          <w:marRight w:val="0"/>
          <w:marTop w:val="0"/>
          <w:marBottom w:val="0"/>
          <w:divBdr>
            <w:top w:val="none" w:sz="0" w:space="0" w:color="auto"/>
            <w:left w:val="none" w:sz="0" w:space="0" w:color="auto"/>
            <w:bottom w:val="none" w:sz="0" w:space="0" w:color="auto"/>
            <w:right w:val="none" w:sz="0" w:space="0" w:color="auto"/>
          </w:divBdr>
        </w:div>
        <w:div w:id="2012557929">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1100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abtodi.it/amministrazione-trasparente/sezioni/613004-atti-amministrazioni-aggiudicatrici-enti/contenuti/3434288-restauro-ricostruzione-statua-stucco-raffigurant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ycity.s3.sbg.io.cloud.ovh.net/4636212/2025_06_APOSTOLO_TODI_RELAZIONE-TECNICA-FINALE_allegato-fotografico_compressed.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erviziocontrattipubblici.it/sso-integr-f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ity.s3.sbg.io.cloud.ovh.net/4636211/2025_06_APOSTOLO_TODI_RELAZIONE-TECNICA-FINAL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ziocontrattipubblici.it/" TargetMode="External"/><Relationship Id="rId23" Type="http://schemas.openxmlformats.org/officeDocument/2006/relationships/fontTable" Target="fontTable.xml"/><Relationship Id="rId10" Type="http://schemas.openxmlformats.org/officeDocument/2006/relationships/hyperlink" Target="https://studio.youtube.com/video/NYD70SDvqUI/edi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cda\delibere%202024\albo%20provvidenze%20economiche%20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ETAB: Liberalità e contributi 2013 - 2024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'riepilogo totali (2)'!$A$6:$A$17</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xVal>
          <c:yVal>
            <c:numRef>
              <c:f>'riepilogo totali (2)'!$B$6:$B$17</c:f>
              <c:numCache>
                <c:formatCode>_-* #,##0.00\ [$€-410]_-;\-* #,##0.00\ [$€-410]_-;_-* "-"??\ [$€-410]_-;_-@_-</c:formatCode>
                <c:ptCount val="12"/>
                <c:pt idx="0">
                  <c:v>64580</c:v>
                </c:pt>
                <c:pt idx="1">
                  <c:v>35359</c:v>
                </c:pt>
                <c:pt idx="2">
                  <c:v>53368.82</c:v>
                </c:pt>
                <c:pt idx="3">
                  <c:v>82528.009999999995</c:v>
                </c:pt>
                <c:pt idx="4">
                  <c:v>142216.66999999998</c:v>
                </c:pt>
                <c:pt idx="5">
                  <c:v>154463.84</c:v>
                </c:pt>
                <c:pt idx="6">
                  <c:v>169163.94</c:v>
                </c:pt>
                <c:pt idx="7">
                  <c:v>87293.69666666667</c:v>
                </c:pt>
                <c:pt idx="8">
                  <c:v>150191.03999999998</c:v>
                </c:pt>
                <c:pt idx="9">
                  <c:v>163685.05000000002</c:v>
                </c:pt>
                <c:pt idx="10">
                  <c:v>154531.87000000002</c:v>
                </c:pt>
                <c:pt idx="11">
                  <c:v>152980</c:v>
                </c:pt>
              </c:numCache>
            </c:numRef>
          </c:yVal>
          <c:smooth val="0"/>
          <c:extLst>
            <c:ext xmlns:c16="http://schemas.microsoft.com/office/drawing/2014/chart" uri="{C3380CC4-5D6E-409C-BE32-E72D297353CC}">
              <c16:uniqueId val="{00000000-F4DB-4E33-AA43-0EC27C713005}"/>
            </c:ext>
          </c:extLst>
        </c:ser>
        <c:dLbls>
          <c:showLegendKey val="0"/>
          <c:showVal val="0"/>
          <c:showCatName val="0"/>
          <c:showSerName val="0"/>
          <c:showPercent val="0"/>
          <c:showBubbleSize val="0"/>
        </c:dLbls>
        <c:axId val="523351176"/>
        <c:axId val="523351896"/>
      </c:scatterChart>
      <c:valAx>
        <c:axId val="523351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3351896"/>
        <c:crosses val="autoZero"/>
        <c:crossBetween val="midCat"/>
      </c:valAx>
      <c:valAx>
        <c:axId val="523351896"/>
        <c:scaling>
          <c:orientation val="minMax"/>
        </c:scaling>
        <c:delete val="0"/>
        <c:axPos val="l"/>
        <c:majorGridlines>
          <c:spPr>
            <a:ln w="9525" cap="flat" cmpd="sng" algn="ctr">
              <a:solidFill>
                <a:schemeClr val="tx1">
                  <a:lumMod val="15000"/>
                  <a:lumOff val="85000"/>
                </a:schemeClr>
              </a:solidFill>
              <a:round/>
            </a:ln>
            <a:effectLst/>
          </c:spPr>
        </c:majorGridlines>
        <c:numFmt formatCode="_-* #,##0.00\ [$€-410]_-;\-* #,##0.00\ [$€-410]_-;_-* &quot;-&quot;??\ [$€-410]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33511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92CB-E238-423F-8E31-D8A4DC2E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12807</Words>
  <Characters>73003</Characters>
  <Application>Microsoft Office Word</Application>
  <DocSecurity>0</DocSecurity>
  <Lines>608</Lines>
  <Paragraphs>171</Paragraphs>
  <ScaleCrop>false</ScaleCrop>
  <HeadingPairs>
    <vt:vector size="2" baseType="variant">
      <vt:variant>
        <vt:lpstr>Titolo</vt:lpstr>
      </vt:variant>
      <vt:variant>
        <vt:i4>1</vt:i4>
      </vt:variant>
    </vt:vector>
  </HeadingPairs>
  <TitlesOfParts>
    <vt:vector size="1" baseType="lpstr">
      <vt:lpstr>PREMESSA</vt:lpstr>
    </vt:vector>
  </TitlesOfParts>
  <Company>la consolazione opera pia</Company>
  <LinksUpToDate>false</LinksUpToDate>
  <CharactersWithSpaces>85639</CharactersWithSpaces>
  <SharedDoc>false</SharedDoc>
  <HLinks>
    <vt:vector size="18" baseType="variant">
      <vt:variant>
        <vt:i4>3997735</vt:i4>
      </vt:variant>
      <vt:variant>
        <vt:i4>6</vt:i4>
      </vt:variant>
      <vt:variant>
        <vt:i4>0</vt:i4>
      </vt:variant>
      <vt:variant>
        <vt:i4>5</vt:i4>
      </vt:variant>
      <vt:variant>
        <vt:lpwstr>https://www.dropbox.com/scl/fo/r3ocwnm568kqr85qz3wvf/h?rlkey=fcdgje4yauqmd2ehn754b9bnd&amp;dl=0</vt:lpwstr>
      </vt:variant>
      <vt:variant>
        <vt:lpwstr/>
      </vt:variant>
      <vt:variant>
        <vt:i4>7078004</vt:i4>
      </vt:variant>
      <vt:variant>
        <vt:i4>3</vt:i4>
      </vt:variant>
      <vt:variant>
        <vt:i4>0</vt:i4>
      </vt:variant>
      <vt:variant>
        <vt:i4>5</vt:i4>
      </vt:variant>
      <vt:variant>
        <vt:lpwstr>https://www.dropbox.com/scl/fo/8kxb544qvgzg0rc5l9yl2/h?rlkey=r0wxxu16xx5vbptqc2s6rui8p&amp;dl=0</vt:lpwstr>
      </vt:variant>
      <vt:variant>
        <vt:lpwstr/>
      </vt:variant>
      <vt:variant>
        <vt:i4>2293879</vt:i4>
      </vt:variant>
      <vt:variant>
        <vt:i4>0</vt:i4>
      </vt:variant>
      <vt:variant>
        <vt:i4>0</vt:i4>
      </vt:variant>
      <vt:variant>
        <vt:i4>5</vt:i4>
      </vt:variant>
      <vt:variant>
        <vt:lpwstr>https://www.dropbox.com/scl/fo/ix3ui8da5e5g9wslmd3s7/h?rlkey=b8zptnjmsgq5zx08cxmn7okjr&amp;dl=0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la consolazione</dc:creator>
  <cp:lastModifiedBy>CONSOLAZIONE ETAB</cp:lastModifiedBy>
  <cp:revision>23</cp:revision>
  <cp:lastPrinted>2023-05-19T09:50:00Z</cp:lastPrinted>
  <dcterms:created xsi:type="dcterms:W3CDTF">2025-07-22T08:27:00Z</dcterms:created>
  <dcterms:modified xsi:type="dcterms:W3CDTF">2025-07-22T10:17:00Z</dcterms:modified>
</cp:coreProperties>
</file>