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CC972" w14:textId="77777777" w:rsidR="003E4154" w:rsidRDefault="003E4154">
      <w:pPr>
        <w:pStyle w:val="Corpotesto"/>
        <w:spacing w:before="205"/>
        <w:ind w:left="0"/>
        <w:jc w:val="left"/>
      </w:pPr>
    </w:p>
    <w:p w14:paraId="3858FC0C" w14:textId="77777777" w:rsidR="003E4154" w:rsidRDefault="00500C42">
      <w:pPr>
        <w:pStyle w:val="Titolo"/>
      </w:pPr>
      <w:r>
        <w:t>Legge</w:t>
      </w:r>
      <w:r>
        <w:rPr>
          <w:spacing w:val="-2"/>
        </w:rPr>
        <w:t xml:space="preserve"> </w:t>
      </w:r>
      <w:r>
        <w:t>sulla privacy</w:t>
      </w:r>
      <w:r>
        <w:rPr>
          <w:spacing w:val="-1"/>
        </w:rPr>
        <w:t xml:space="preserve"> </w:t>
      </w:r>
      <w:r>
        <w:t xml:space="preserve">– </w:t>
      </w:r>
      <w:r>
        <w:rPr>
          <w:spacing w:val="-2"/>
        </w:rPr>
        <w:t>INFORMATIVA</w:t>
      </w:r>
    </w:p>
    <w:p w14:paraId="48CA25D6" w14:textId="77777777" w:rsidR="003E4154" w:rsidRDefault="003E4154">
      <w:pPr>
        <w:pStyle w:val="Corpotesto"/>
        <w:ind w:left="0"/>
        <w:jc w:val="left"/>
        <w:rPr>
          <w:b/>
        </w:rPr>
      </w:pPr>
    </w:p>
    <w:p w14:paraId="0E1A558B" w14:textId="44966CD7" w:rsidR="003E4154" w:rsidRDefault="00500C42">
      <w:pPr>
        <w:pStyle w:val="Corpotesto"/>
        <w:ind w:right="137"/>
      </w:pPr>
      <w:r>
        <w:t>I dati, di cui l’Ufficio di Piano del PLUS DI Nuoro entrerà in possesso, a seguito della</w:t>
      </w:r>
      <w:r>
        <w:rPr>
          <w:spacing w:val="40"/>
        </w:rPr>
        <w:t xml:space="preserve"> </w:t>
      </w:r>
      <w:r>
        <w:t>presentazione della domanda di accesso a “Progetti di inclusione socio-lavorativa di persone con disabilità – INCLUDIS 202</w:t>
      </w:r>
      <w:r w:rsidR="00E82E62">
        <w:t>4</w:t>
      </w:r>
      <w:r>
        <w:t>”., verranno trattati nel rispetto della normativa vigente in materia di privacy (rif.to Regolamento Generale sulla Protezione dei dati – Regolamento (UE) 2016/679 e normativa nazionale vigente).</w:t>
      </w:r>
    </w:p>
    <w:p w14:paraId="23505DF6" w14:textId="77777777" w:rsidR="003E4154" w:rsidRDefault="00500C42">
      <w:pPr>
        <w:pStyle w:val="Corpotesto"/>
        <w:spacing w:before="1"/>
        <w:ind w:right="142"/>
      </w:pPr>
      <w:r>
        <w:t>Il trattamento dei dati personali sarà improntato ai principi di correttezza, liceità, trasparenza e di tutela della riservatezza e dei diritti del richiedente.</w:t>
      </w:r>
    </w:p>
    <w:p w14:paraId="5D315D23" w14:textId="77777777" w:rsidR="003E4154" w:rsidRDefault="00500C42">
      <w:pPr>
        <w:pStyle w:val="Paragrafoelenco"/>
        <w:numPr>
          <w:ilvl w:val="0"/>
          <w:numId w:val="1"/>
        </w:numPr>
        <w:tabs>
          <w:tab w:val="left" w:pos="848"/>
          <w:tab w:val="left" w:pos="861"/>
        </w:tabs>
        <w:ind w:right="142" w:hanging="360"/>
        <w:rPr>
          <w:sz w:val="24"/>
        </w:rPr>
      </w:pPr>
      <w:r>
        <w:rPr>
          <w:sz w:val="24"/>
        </w:rPr>
        <w:t>I dati personali saranno trattati esclusivamente per le finalità che rientrano nei compiti istituzionali dell’Amministrazione e di interesse pubblico o per gli adempimenti previsti da norme di legge o di regolamento.</w:t>
      </w:r>
    </w:p>
    <w:p w14:paraId="49CEFF73" w14:textId="77777777" w:rsidR="003E4154" w:rsidRDefault="00500C42">
      <w:pPr>
        <w:pStyle w:val="Paragrafoelenco"/>
        <w:numPr>
          <w:ilvl w:val="0"/>
          <w:numId w:val="1"/>
        </w:numPr>
        <w:tabs>
          <w:tab w:val="left" w:pos="848"/>
          <w:tab w:val="left" w:pos="861"/>
        </w:tabs>
        <w:ind w:hanging="360"/>
        <w:rPr>
          <w:sz w:val="24"/>
        </w:rPr>
      </w:pPr>
      <w:r>
        <w:rPr>
          <w:sz w:val="24"/>
        </w:rPr>
        <w:t>Il trattamento dei Suoi dati personali potrà essere effettuato sia con strumenti elettronici sia senza il loro ausilio, su supporti (secondo i casi) di tipo cartaceo o elettronico e ciò potrà avvenire per il tempo strettamente necessario a conseguire gli scopi per cui le informazioni personali sono state raccolte in relazione all’obbligo di conservazione previsto per legge per</w:t>
      </w:r>
      <w:r>
        <w:rPr>
          <w:spacing w:val="40"/>
          <w:sz w:val="24"/>
        </w:rPr>
        <w:t xml:space="preserve"> </w:t>
      </w:r>
      <w:r>
        <w:rPr>
          <w:sz w:val="24"/>
        </w:rPr>
        <w:t>i documenti detenuti dalla Pubblica Amministrazione, con modalità atte a garantire la sicurezza e la riservatezza dei dati medesimi ed ogni altro diritto a Lei spettante. Specifiche misure di sicurezza di tipo tecnico e organizzativo sono osservate da questo Comune per prevenire la perdita dei dati, usi illeciti o non corretti ed accessi non autorizzati.</w:t>
      </w:r>
    </w:p>
    <w:p w14:paraId="252AC2A9" w14:textId="77777777" w:rsidR="003E4154" w:rsidRDefault="00500C42">
      <w:pPr>
        <w:pStyle w:val="Paragrafoelenco"/>
        <w:numPr>
          <w:ilvl w:val="0"/>
          <w:numId w:val="1"/>
        </w:numPr>
        <w:tabs>
          <w:tab w:val="left" w:pos="848"/>
          <w:tab w:val="left" w:pos="861"/>
        </w:tabs>
        <w:ind w:right="151" w:hanging="360"/>
        <w:rPr>
          <w:sz w:val="24"/>
        </w:rPr>
      </w:pPr>
      <w:r>
        <w:rPr>
          <w:sz w:val="24"/>
        </w:rPr>
        <w:t>Il trattamento dei Suoi dati personali non comporta alcuna decisione basata unicamente sul trattamento automatizzato, compresa la profilazione.</w:t>
      </w:r>
    </w:p>
    <w:p w14:paraId="747A85BD" w14:textId="77777777" w:rsidR="003E4154" w:rsidRDefault="00500C42">
      <w:pPr>
        <w:pStyle w:val="Corpotesto"/>
        <w:ind w:right="138"/>
      </w:pPr>
      <w:r>
        <w:t>Il conferimento dei suoi dati è obbligatorio poiché l’eventuale rifiuto comporta l’impossibilità di erogare il servizio richiesto.</w:t>
      </w:r>
    </w:p>
    <w:p w14:paraId="1B699448" w14:textId="77777777" w:rsidR="003E4154" w:rsidRDefault="00500C42">
      <w:pPr>
        <w:pStyle w:val="Corpotesto"/>
        <w:spacing w:before="1"/>
      </w:pPr>
      <w:r>
        <w:t>I</w:t>
      </w:r>
      <w:r>
        <w:rPr>
          <w:spacing w:val="-7"/>
        </w:rPr>
        <w:t xml:space="preserve"> </w:t>
      </w:r>
      <w:r>
        <w:t>suoi</w:t>
      </w:r>
      <w:r>
        <w:rPr>
          <w:spacing w:val="-1"/>
        </w:rPr>
        <w:t xml:space="preserve"> </w:t>
      </w:r>
      <w:r>
        <w:t>dati</w:t>
      </w:r>
      <w:r>
        <w:rPr>
          <w:spacing w:val="-1"/>
        </w:rPr>
        <w:t xml:space="preserve"> </w:t>
      </w:r>
      <w:r>
        <w:t>potrebbero essere</w:t>
      </w:r>
      <w:r>
        <w:rPr>
          <w:spacing w:val="-2"/>
        </w:rPr>
        <w:t xml:space="preserve"> </w:t>
      </w:r>
      <w:r>
        <w:t>comunicati</w:t>
      </w:r>
      <w:r>
        <w:rPr>
          <w:spacing w:val="-1"/>
        </w:rPr>
        <w:t xml:space="preserve"> </w:t>
      </w:r>
      <w:r>
        <w:rPr>
          <w:spacing w:val="-5"/>
        </w:rPr>
        <w:t>a:</w:t>
      </w:r>
    </w:p>
    <w:p w14:paraId="3C6A41EF" w14:textId="77777777" w:rsidR="003E4154" w:rsidRDefault="00500C42">
      <w:pPr>
        <w:pStyle w:val="Paragrafoelenco"/>
        <w:numPr>
          <w:ilvl w:val="0"/>
          <w:numId w:val="1"/>
        </w:numPr>
        <w:tabs>
          <w:tab w:val="left" w:pos="848"/>
          <w:tab w:val="left" w:pos="861"/>
        </w:tabs>
        <w:ind w:right="149" w:hanging="360"/>
        <w:rPr>
          <w:sz w:val="24"/>
        </w:rPr>
      </w:pPr>
      <w:r>
        <w:rPr>
          <w:sz w:val="24"/>
        </w:rPr>
        <w:t>altri soggetti pubblici che li richiederanno e siano espressamente autorizzati a trattarli da norme di legge o di regolamento o comunque ne abbiano necessità per finalità istituzionali;</w:t>
      </w:r>
    </w:p>
    <w:p w14:paraId="53703501" w14:textId="77777777" w:rsidR="003E4154" w:rsidRDefault="00500C42">
      <w:pPr>
        <w:pStyle w:val="Paragrafoelenco"/>
        <w:numPr>
          <w:ilvl w:val="0"/>
          <w:numId w:val="1"/>
        </w:numPr>
        <w:tabs>
          <w:tab w:val="left" w:pos="848"/>
          <w:tab w:val="left" w:pos="861"/>
        </w:tabs>
        <w:ind w:right="140" w:hanging="360"/>
        <w:rPr>
          <w:sz w:val="24"/>
        </w:rPr>
      </w:pPr>
      <w:r>
        <w:rPr>
          <w:sz w:val="24"/>
        </w:rPr>
        <w:t>ulteriori soggetti anche privati che siano legittimati a conoscerli in base a specifiche norme</w:t>
      </w:r>
      <w:r>
        <w:rPr>
          <w:spacing w:val="40"/>
          <w:sz w:val="24"/>
        </w:rPr>
        <w:t xml:space="preserve"> </w:t>
      </w:r>
      <w:r>
        <w:rPr>
          <w:sz w:val="24"/>
        </w:rPr>
        <w:t>di legge o di regolamento (ad esempio, ai sensi della legge n. 241/1990 sul diritto di</w:t>
      </w:r>
      <w:r>
        <w:rPr>
          <w:spacing w:val="-1"/>
          <w:sz w:val="24"/>
        </w:rPr>
        <w:t xml:space="preserve"> </w:t>
      </w:r>
      <w:r>
        <w:rPr>
          <w:sz w:val="24"/>
        </w:rPr>
        <w:t>accesso ai documenti amministrativi o ai sensi del decreto legislativo n. 33/2013 sul diritto di</w:t>
      </w:r>
      <w:r>
        <w:rPr>
          <w:spacing w:val="40"/>
          <w:sz w:val="24"/>
        </w:rPr>
        <w:t xml:space="preserve"> </w:t>
      </w:r>
      <w:r>
        <w:rPr>
          <w:sz w:val="24"/>
        </w:rPr>
        <w:t>accesso civico o delle altre normative di settore che disciplinano il diritto di accesso a dati e informazioni detenuti dalle pubbliche amministrazioni) ma non siano individuabili allo stato attuale del trattamento.</w:t>
      </w:r>
    </w:p>
    <w:p w14:paraId="12AE56A3" w14:textId="77777777" w:rsidR="003E4154" w:rsidRDefault="00500C42">
      <w:pPr>
        <w:pStyle w:val="Corpotesto"/>
        <w:ind w:right="141"/>
      </w:pPr>
      <w:r>
        <w:t>Dei suoi dati potranno venire</w:t>
      </w:r>
      <w:r>
        <w:rPr>
          <w:spacing w:val="-2"/>
        </w:rPr>
        <w:t xml:space="preserve"> </w:t>
      </w:r>
      <w:r>
        <w:t>a conoscenza</w:t>
      </w:r>
      <w:r>
        <w:rPr>
          <w:spacing w:val="-1"/>
        </w:rPr>
        <w:t xml:space="preserve"> </w:t>
      </w:r>
      <w:r>
        <w:t>il Responsabile</w:t>
      </w:r>
      <w:r>
        <w:rPr>
          <w:spacing w:val="-1"/>
        </w:rPr>
        <w:t xml:space="preserve"> </w:t>
      </w:r>
      <w:r>
        <w:t>di trattamento del Comune</w:t>
      </w:r>
      <w:r>
        <w:rPr>
          <w:spacing w:val="-1"/>
        </w:rPr>
        <w:t xml:space="preserve"> </w:t>
      </w:r>
      <w:r>
        <w:t>di Nuoro, gli incaricati e autorizzati del trattamento che, sempre per fini istituzionali, debbano conoscerli per compiti inerenti al loro ufficio.</w:t>
      </w:r>
    </w:p>
    <w:p w14:paraId="453E5493" w14:textId="77777777" w:rsidR="003E4154" w:rsidRDefault="00500C42">
      <w:pPr>
        <w:pStyle w:val="Corpotesto"/>
        <w:spacing w:before="1"/>
        <w:ind w:right="143"/>
      </w:pPr>
      <w:r>
        <w:t xml:space="preserve">La diffusione dei suoi dati personali avverrà solo quando prevista da una norma di legge o di </w:t>
      </w:r>
      <w:r>
        <w:rPr>
          <w:spacing w:val="-2"/>
        </w:rPr>
        <w:t>regolamento.</w:t>
      </w:r>
    </w:p>
    <w:p w14:paraId="033F6F70" w14:textId="77777777" w:rsidR="003E4154" w:rsidRDefault="00500C42">
      <w:pPr>
        <w:pStyle w:val="Corpotesto"/>
      </w:pPr>
      <w:r>
        <w:t>Si</w:t>
      </w:r>
      <w:r>
        <w:rPr>
          <w:spacing w:val="-1"/>
        </w:rPr>
        <w:t xml:space="preserve"> </w:t>
      </w:r>
      <w:r>
        <w:t>precisa</w:t>
      </w:r>
      <w:r>
        <w:rPr>
          <w:spacing w:val="-1"/>
        </w:rPr>
        <w:t xml:space="preserve"> </w:t>
      </w:r>
      <w:r>
        <w:t>che</w:t>
      </w:r>
      <w:r>
        <w:rPr>
          <w:spacing w:val="-2"/>
        </w:rPr>
        <w:t xml:space="preserve"> </w:t>
      </w:r>
      <w:r>
        <w:t>non</w:t>
      </w:r>
      <w:r>
        <w:rPr>
          <w:spacing w:val="1"/>
        </w:rPr>
        <w:t xml:space="preserve"> </w:t>
      </w:r>
      <w:r>
        <w:t>è</w:t>
      </w:r>
      <w:r>
        <w:rPr>
          <w:spacing w:val="-2"/>
        </w:rPr>
        <w:t xml:space="preserve"> </w:t>
      </w:r>
      <w:r>
        <w:t>previsto</w:t>
      </w:r>
      <w:r>
        <w:rPr>
          <w:spacing w:val="-1"/>
        </w:rPr>
        <w:t xml:space="preserve"> </w:t>
      </w:r>
      <w:r>
        <w:t>alcun</w:t>
      </w:r>
      <w:r>
        <w:rPr>
          <w:spacing w:val="-1"/>
        </w:rPr>
        <w:t xml:space="preserve"> </w:t>
      </w:r>
      <w:r>
        <w:t>trasferimento</w:t>
      </w:r>
      <w:r>
        <w:rPr>
          <w:spacing w:val="-1"/>
        </w:rPr>
        <w:t xml:space="preserve"> </w:t>
      </w:r>
      <w:r>
        <w:t>dei</w:t>
      </w:r>
      <w:r>
        <w:rPr>
          <w:spacing w:val="-1"/>
        </w:rPr>
        <w:t xml:space="preserve"> </w:t>
      </w:r>
      <w:r>
        <w:t>suoi</w:t>
      </w:r>
      <w:r>
        <w:rPr>
          <w:spacing w:val="-1"/>
        </w:rPr>
        <w:t xml:space="preserve"> </w:t>
      </w:r>
      <w:r>
        <w:t>dati</w:t>
      </w:r>
      <w:r>
        <w:rPr>
          <w:spacing w:val="-1"/>
        </w:rPr>
        <w:t xml:space="preserve"> </w:t>
      </w:r>
      <w:r>
        <w:t>personali</w:t>
      </w:r>
      <w:r>
        <w:rPr>
          <w:spacing w:val="-1"/>
        </w:rPr>
        <w:t xml:space="preserve"> </w:t>
      </w:r>
      <w:r>
        <w:t>a</w:t>
      </w:r>
      <w:r>
        <w:rPr>
          <w:spacing w:val="-2"/>
        </w:rPr>
        <w:t xml:space="preserve"> </w:t>
      </w:r>
      <w:r>
        <w:t>un</w:t>
      </w:r>
      <w:r>
        <w:rPr>
          <w:spacing w:val="-1"/>
        </w:rPr>
        <w:t xml:space="preserve"> </w:t>
      </w:r>
      <w:r>
        <w:t>Paese</w:t>
      </w:r>
      <w:r>
        <w:rPr>
          <w:spacing w:val="-1"/>
        </w:rPr>
        <w:t xml:space="preserve"> </w:t>
      </w:r>
      <w:r>
        <w:rPr>
          <w:spacing w:val="-2"/>
        </w:rPr>
        <w:t>Terzo.</w:t>
      </w:r>
    </w:p>
    <w:p w14:paraId="33A2BB9C" w14:textId="77777777" w:rsidR="003E4154" w:rsidRDefault="00500C42">
      <w:pPr>
        <w:ind w:left="140" w:right="138"/>
        <w:jc w:val="both"/>
        <w:rPr>
          <w:i/>
          <w:sz w:val="24"/>
        </w:rPr>
      </w:pPr>
      <w:r>
        <w:rPr>
          <w:sz w:val="24"/>
        </w:rPr>
        <w:t xml:space="preserve">Nella sua qualità di interessato, può esercitare i diritti di cui agli articoli da 15 a 22 del “Regolamento Generale sulla Protezione dei Dati” che, alle condizioni e con le limitazioni ivi previste, stabiliscono: </w:t>
      </w:r>
      <w:r>
        <w:rPr>
          <w:i/>
          <w:sz w:val="24"/>
        </w:rPr>
        <w:t>il diritto di accesso dell’interessato (articolo 15); il diritto di rettifica (articolo 16); il diritto alla cancellazione (diritto all’oblio) (articolo 17); il diritto di limitazione di trattamento (articolo 18); il diritto alla portabilità dei dati (articolo 20); il diritto di opposizione (articolo 21).</w:t>
      </w:r>
    </w:p>
    <w:p w14:paraId="08275865" w14:textId="77777777" w:rsidR="003E4154" w:rsidRDefault="00500C42">
      <w:pPr>
        <w:spacing w:before="275"/>
        <w:ind w:left="140" w:right="137"/>
        <w:jc w:val="both"/>
        <w:rPr>
          <w:i/>
          <w:sz w:val="24"/>
        </w:rPr>
      </w:pPr>
      <w:r>
        <w:rPr>
          <w:i/>
          <w:sz w:val="24"/>
        </w:rPr>
        <w:t xml:space="preserve">L’esercizio da parte sua dei diritti menzionati potrà avere luogo con le modalità previste dagli </w:t>
      </w:r>
      <w:r>
        <w:rPr>
          <w:i/>
          <w:sz w:val="24"/>
        </w:rPr>
        <w:lastRenderedPageBreak/>
        <w:t>articoli 11 e 12 del Regolamento Generale sulla Protezione dei Dati. In tal senso, ad esempio, secondo il testo attualmente vigente, Lei potrà rivolgere la relativa richiesta al Titolare ai recapiti sotto indicati, anche per il tramite di uno degli Incaricati del trattamento o mediante</w:t>
      </w:r>
      <w:r>
        <w:rPr>
          <w:i/>
          <w:spacing w:val="40"/>
          <w:sz w:val="24"/>
        </w:rPr>
        <w:t xml:space="preserve"> </w:t>
      </w:r>
      <w:r>
        <w:rPr>
          <w:i/>
          <w:sz w:val="24"/>
        </w:rPr>
        <w:t>raccomandata, telefax o posta elettronica o altro mezzo idoneo individuato dal “Garante per la protezione dei dati personali”.</w:t>
      </w:r>
    </w:p>
    <w:p w14:paraId="6876CACB" w14:textId="77777777" w:rsidR="003E4154" w:rsidRDefault="00500C42">
      <w:pPr>
        <w:ind w:left="140" w:right="139"/>
        <w:jc w:val="both"/>
        <w:rPr>
          <w:i/>
          <w:sz w:val="24"/>
        </w:rPr>
      </w:pPr>
      <w:r>
        <w:rPr>
          <w:i/>
          <w:sz w:val="24"/>
        </w:rPr>
        <w:t>Quanto sopra, fermo restando il diritto dell’interessato di proporre reclamo all’autorità Garante per la protezione dei dati personali (</w:t>
      </w:r>
      <w:hyperlink r:id="rId7">
        <w:r w:rsidR="003E4154">
          <w:rPr>
            <w:i/>
            <w:color w:val="505050"/>
            <w:sz w:val="24"/>
          </w:rPr>
          <w:t>www.garanteprivacy.it</w:t>
        </w:r>
      </w:hyperlink>
      <w:r>
        <w:rPr>
          <w:i/>
          <w:sz w:val="24"/>
        </w:rPr>
        <w:t>).</w:t>
      </w:r>
    </w:p>
    <w:p w14:paraId="304EBF1D" w14:textId="77777777" w:rsidR="003E4154" w:rsidRDefault="003E4154">
      <w:pPr>
        <w:pStyle w:val="Corpotesto"/>
        <w:ind w:left="0"/>
        <w:jc w:val="left"/>
        <w:rPr>
          <w:i/>
        </w:rPr>
      </w:pPr>
    </w:p>
    <w:p w14:paraId="58068E8E" w14:textId="77777777" w:rsidR="003E4154" w:rsidRDefault="003E4154">
      <w:pPr>
        <w:pStyle w:val="Corpotesto"/>
        <w:spacing w:before="1"/>
        <w:ind w:left="0"/>
        <w:jc w:val="left"/>
        <w:rPr>
          <w:i/>
        </w:rPr>
      </w:pPr>
    </w:p>
    <w:p w14:paraId="0E97C152" w14:textId="77777777" w:rsidR="003E4154" w:rsidRDefault="00500C42">
      <w:pPr>
        <w:pStyle w:val="Corpotesto"/>
        <w:ind w:right="139"/>
      </w:pPr>
      <w:r>
        <w:t xml:space="preserve">Il Titolare del Trattamento è il Comune di Nuoro, nella persona del Sindaco pro tempore, con sede in Nuoro, Via Dante n. 44 CAP 08100 (NU) mail: </w:t>
      </w:r>
      <w:hyperlink r:id="rId8">
        <w:r w:rsidR="003E4154">
          <w:t>protocollo@pec.comune.nuoro.it;</w:t>
        </w:r>
      </w:hyperlink>
      <w:r>
        <w:t xml:space="preserve"> </w:t>
      </w:r>
      <w:hyperlink r:id="rId9">
        <w:r w:rsidR="003E4154">
          <w:rPr>
            <w:spacing w:val="-2"/>
          </w:rPr>
          <w:t>andrea.soddu@comune.nuoro.it</w:t>
        </w:r>
      </w:hyperlink>
    </w:p>
    <w:p w14:paraId="6EE01132" w14:textId="77777777" w:rsidR="003E4154" w:rsidRDefault="003E4154">
      <w:pPr>
        <w:pStyle w:val="Corpotesto"/>
        <w:ind w:left="0"/>
        <w:jc w:val="left"/>
      </w:pPr>
    </w:p>
    <w:p w14:paraId="2500A406" w14:textId="77777777" w:rsidR="003E4154" w:rsidRDefault="00500C42">
      <w:pPr>
        <w:pStyle w:val="Corpotesto"/>
        <w:ind w:right="140"/>
      </w:pPr>
      <w:r w:rsidRPr="00E82E62">
        <w:rPr>
          <w:highlight w:val="yellow"/>
        </w:rPr>
        <w:t xml:space="preserve">Il Responsabile della Protezione dei Dati Personali per il Comune di Nuoro è la DAMM Security &amp;Privacy s.r.l.s. avente sede a Cagliari in via S’Arrulloni, 10 - P.IVA 03860880925, indirizzo mail </w:t>
      </w:r>
      <w:hyperlink r:id="rId10">
        <w:r w:rsidR="003E4154" w:rsidRPr="00E82E62">
          <w:rPr>
            <w:spacing w:val="-2"/>
            <w:highlight w:val="yellow"/>
          </w:rPr>
          <w:t>dpo@comune.nuoro.it</w:t>
        </w:r>
      </w:hyperlink>
    </w:p>
    <w:sectPr w:rsidR="003E4154">
      <w:headerReference w:type="even" r:id="rId11"/>
      <w:headerReference w:type="default" r:id="rId12"/>
      <w:footerReference w:type="even" r:id="rId13"/>
      <w:footerReference w:type="default" r:id="rId14"/>
      <w:headerReference w:type="first" r:id="rId15"/>
      <w:footerReference w:type="first" r:id="rId16"/>
      <w:pgSz w:w="11910" w:h="16840"/>
      <w:pgMar w:top="2580" w:right="992" w:bottom="280" w:left="992" w:header="4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4C68C" w14:textId="77777777" w:rsidR="004E65B1" w:rsidRDefault="004E65B1">
      <w:r>
        <w:separator/>
      </w:r>
    </w:p>
  </w:endnote>
  <w:endnote w:type="continuationSeparator" w:id="0">
    <w:p w14:paraId="547DA149" w14:textId="77777777" w:rsidR="004E65B1" w:rsidRDefault="004E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998FE" w14:textId="77777777" w:rsidR="00500C42" w:rsidRDefault="00500C4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2CCA1" w14:textId="77777777" w:rsidR="00500C42" w:rsidRDefault="00500C4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F7A3F" w14:textId="77777777" w:rsidR="00500C42" w:rsidRDefault="00500C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3ACCD" w14:textId="77777777" w:rsidR="004E65B1" w:rsidRDefault="004E65B1">
      <w:r>
        <w:separator/>
      </w:r>
    </w:p>
  </w:footnote>
  <w:footnote w:type="continuationSeparator" w:id="0">
    <w:p w14:paraId="30CD6BA6" w14:textId="77777777" w:rsidR="004E65B1" w:rsidRDefault="004E6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B9620" w14:textId="77777777" w:rsidR="00500C42" w:rsidRDefault="00500C4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32B9F" w14:textId="77777777" w:rsidR="00500C42" w:rsidRPr="00FA01E5" w:rsidRDefault="00500C42" w:rsidP="00500C42">
    <w:pPr>
      <w:pStyle w:val="Intestazione"/>
    </w:pPr>
    <w:r w:rsidRPr="00FA01E5">
      <w:rPr>
        <w:noProof/>
      </w:rPr>
      <w:drawing>
        <wp:inline distT="0" distB="0" distL="0" distR="0" wp14:anchorId="6E98B9A7" wp14:editId="74173400">
          <wp:extent cx="1636395" cy="1019175"/>
          <wp:effectExtent l="0" t="0" r="1905" b="9525"/>
          <wp:docPr id="145331528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395" cy="1019175"/>
                  </a:xfrm>
                  <a:prstGeom prst="rect">
                    <a:avLst/>
                  </a:prstGeom>
                  <a:noFill/>
                </pic:spPr>
              </pic:pic>
            </a:graphicData>
          </a:graphic>
        </wp:inline>
      </w:drawing>
    </w:r>
    <w:r w:rsidRPr="00FA01E5">
      <w:t xml:space="preserve">                   </w:t>
    </w:r>
    <w:r w:rsidRPr="00FA01E5">
      <w:rPr>
        <w:noProof/>
      </w:rPr>
      <w:drawing>
        <wp:inline distT="0" distB="0" distL="0" distR="0" wp14:anchorId="3932D96A" wp14:editId="6ECB8342">
          <wp:extent cx="1009650" cy="942975"/>
          <wp:effectExtent l="0" t="0" r="0" b="9525"/>
          <wp:docPr id="142741191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942975"/>
                  </a:xfrm>
                  <a:prstGeom prst="rect">
                    <a:avLst/>
                  </a:prstGeom>
                  <a:noFill/>
                </pic:spPr>
              </pic:pic>
            </a:graphicData>
          </a:graphic>
        </wp:inline>
      </w:drawing>
    </w:r>
    <w:r w:rsidRPr="00FA01E5">
      <w:t xml:space="preserve">         </w:t>
    </w:r>
    <w:r w:rsidRPr="00FA01E5">
      <w:rPr>
        <w:noProof/>
      </w:rPr>
      <w:drawing>
        <wp:inline distT="0" distB="0" distL="0" distR="0" wp14:anchorId="10776D52" wp14:editId="50A99D75">
          <wp:extent cx="1504950" cy="352425"/>
          <wp:effectExtent l="0" t="0" r="0" b="9525"/>
          <wp:docPr id="136263878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4950" cy="352425"/>
                  </a:xfrm>
                  <a:prstGeom prst="rect">
                    <a:avLst/>
                  </a:prstGeom>
                  <a:noFill/>
                </pic:spPr>
              </pic:pic>
            </a:graphicData>
          </a:graphic>
        </wp:inline>
      </w:drawing>
    </w:r>
  </w:p>
  <w:p w14:paraId="3B6D63C1" w14:textId="77777777" w:rsidR="00500C42" w:rsidRPr="00FA01E5" w:rsidRDefault="00500C42" w:rsidP="00500C42">
    <w:pPr>
      <w:pStyle w:val="Intestazione"/>
    </w:pPr>
    <w:r w:rsidRPr="00FA01E5">
      <w:rPr>
        <w:noProof/>
      </w:rPr>
      <w:drawing>
        <wp:inline distT="0" distB="0" distL="0" distR="0" wp14:anchorId="160A73F6" wp14:editId="2A0F71C5">
          <wp:extent cx="5924550" cy="381000"/>
          <wp:effectExtent l="0" t="0" r="0" b="0"/>
          <wp:docPr id="116774356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24550" cy="381000"/>
                  </a:xfrm>
                  <a:prstGeom prst="rect">
                    <a:avLst/>
                  </a:prstGeom>
                  <a:solidFill>
                    <a:srgbClr val="FFFFFF">
                      <a:alpha val="0"/>
                    </a:srgbClr>
                  </a:solidFill>
                  <a:ln>
                    <a:noFill/>
                  </a:ln>
                </pic:spPr>
              </pic:pic>
            </a:graphicData>
          </a:graphic>
        </wp:inline>
      </w:drawing>
    </w:r>
  </w:p>
  <w:p w14:paraId="47385FA2" w14:textId="3859529D" w:rsidR="003E4154" w:rsidRPr="00500C42" w:rsidRDefault="003E4154" w:rsidP="00500C4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71C9E" w14:textId="77777777" w:rsidR="00500C42" w:rsidRDefault="00500C4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92AFC"/>
    <w:multiLevelType w:val="hybridMultilevel"/>
    <w:tmpl w:val="931E68EA"/>
    <w:lvl w:ilvl="0" w:tplc="76587CF6">
      <w:numFmt w:val="bullet"/>
      <w:lvlText w:val="-"/>
      <w:lvlJc w:val="left"/>
      <w:pPr>
        <w:ind w:left="861" w:hanging="348"/>
      </w:pPr>
      <w:rPr>
        <w:rFonts w:ascii="Times New Roman" w:eastAsia="Times New Roman" w:hAnsi="Times New Roman" w:cs="Times New Roman" w:hint="default"/>
        <w:b w:val="0"/>
        <w:bCs w:val="0"/>
        <w:i w:val="0"/>
        <w:iCs w:val="0"/>
        <w:spacing w:val="0"/>
        <w:w w:val="100"/>
        <w:sz w:val="24"/>
        <w:szCs w:val="24"/>
        <w:lang w:val="it-IT" w:eastAsia="en-US" w:bidi="ar-SA"/>
      </w:rPr>
    </w:lvl>
    <w:lvl w:ilvl="1" w:tplc="6E8EAE0E">
      <w:numFmt w:val="bullet"/>
      <w:lvlText w:val="•"/>
      <w:lvlJc w:val="left"/>
      <w:pPr>
        <w:ind w:left="1766" w:hanging="348"/>
      </w:pPr>
      <w:rPr>
        <w:rFonts w:hint="default"/>
        <w:lang w:val="it-IT" w:eastAsia="en-US" w:bidi="ar-SA"/>
      </w:rPr>
    </w:lvl>
    <w:lvl w:ilvl="2" w:tplc="C27E141E">
      <w:numFmt w:val="bullet"/>
      <w:lvlText w:val="•"/>
      <w:lvlJc w:val="left"/>
      <w:pPr>
        <w:ind w:left="2672" w:hanging="348"/>
      </w:pPr>
      <w:rPr>
        <w:rFonts w:hint="default"/>
        <w:lang w:val="it-IT" w:eastAsia="en-US" w:bidi="ar-SA"/>
      </w:rPr>
    </w:lvl>
    <w:lvl w:ilvl="3" w:tplc="0FD8138A">
      <w:numFmt w:val="bullet"/>
      <w:lvlText w:val="•"/>
      <w:lvlJc w:val="left"/>
      <w:pPr>
        <w:ind w:left="3578" w:hanging="348"/>
      </w:pPr>
      <w:rPr>
        <w:rFonts w:hint="default"/>
        <w:lang w:val="it-IT" w:eastAsia="en-US" w:bidi="ar-SA"/>
      </w:rPr>
    </w:lvl>
    <w:lvl w:ilvl="4" w:tplc="075250CE">
      <w:numFmt w:val="bullet"/>
      <w:lvlText w:val="•"/>
      <w:lvlJc w:val="left"/>
      <w:pPr>
        <w:ind w:left="4484" w:hanging="348"/>
      </w:pPr>
      <w:rPr>
        <w:rFonts w:hint="default"/>
        <w:lang w:val="it-IT" w:eastAsia="en-US" w:bidi="ar-SA"/>
      </w:rPr>
    </w:lvl>
    <w:lvl w:ilvl="5" w:tplc="44666108">
      <w:numFmt w:val="bullet"/>
      <w:lvlText w:val="•"/>
      <w:lvlJc w:val="left"/>
      <w:pPr>
        <w:ind w:left="5391" w:hanging="348"/>
      </w:pPr>
      <w:rPr>
        <w:rFonts w:hint="default"/>
        <w:lang w:val="it-IT" w:eastAsia="en-US" w:bidi="ar-SA"/>
      </w:rPr>
    </w:lvl>
    <w:lvl w:ilvl="6" w:tplc="DF5C8158">
      <w:numFmt w:val="bullet"/>
      <w:lvlText w:val="•"/>
      <w:lvlJc w:val="left"/>
      <w:pPr>
        <w:ind w:left="6297" w:hanging="348"/>
      </w:pPr>
      <w:rPr>
        <w:rFonts w:hint="default"/>
        <w:lang w:val="it-IT" w:eastAsia="en-US" w:bidi="ar-SA"/>
      </w:rPr>
    </w:lvl>
    <w:lvl w:ilvl="7" w:tplc="7AF0EAA8">
      <w:numFmt w:val="bullet"/>
      <w:lvlText w:val="•"/>
      <w:lvlJc w:val="left"/>
      <w:pPr>
        <w:ind w:left="7203" w:hanging="348"/>
      </w:pPr>
      <w:rPr>
        <w:rFonts w:hint="default"/>
        <w:lang w:val="it-IT" w:eastAsia="en-US" w:bidi="ar-SA"/>
      </w:rPr>
    </w:lvl>
    <w:lvl w:ilvl="8" w:tplc="E042CF90">
      <w:numFmt w:val="bullet"/>
      <w:lvlText w:val="•"/>
      <w:lvlJc w:val="left"/>
      <w:pPr>
        <w:ind w:left="8109" w:hanging="348"/>
      </w:pPr>
      <w:rPr>
        <w:rFonts w:hint="default"/>
        <w:lang w:val="it-IT" w:eastAsia="en-US" w:bidi="ar-SA"/>
      </w:rPr>
    </w:lvl>
  </w:abstractNum>
  <w:num w:numId="1" w16cid:durableId="886991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E4154"/>
    <w:rsid w:val="003265E7"/>
    <w:rsid w:val="003E4154"/>
    <w:rsid w:val="004E65B1"/>
    <w:rsid w:val="00500C42"/>
    <w:rsid w:val="006B5496"/>
    <w:rsid w:val="009E4C09"/>
    <w:rsid w:val="00CB5A91"/>
    <w:rsid w:val="00DC3E99"/>
    <w:rsid w:val="00E82E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4BDA62"/>
  <w15:docId w15:val="{B17F9E1B-9AAC-4D8C-BB8D-EFAD150C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0"/>
      <w:jc w:val="both"/>
    </w:pPr>
    <w:rPr>
      <w:sz w:val="24"/>
      <w:szCs w:val="24"/>
    </w:rPr>
  </w:style>
  <w:style w:type="paragraph" w:styleId="Titolo">
    <w:name w:val="Title"/>
    <w:basedOn w:val="Normale"/>
    <w:uiPriority w:val="10"/>
    <w:qFormat/>
    <w:pPr>
      <w:ind w:right="3"/>
      <w:jc w:val="center"/>
    </w:pPr>
    <w:rPr>
      <w:b/>
      <w:bCs/>
      <w:sz w:val="24"/>
      <w:szCs w:val="24"/>
    </w:rPr>
  </w:style>
  <w:style w:type="paragraph" w:styleId="Paragrafoelenco">
    <w:name w:val="List Paragraph"/>
    <w:basedOn w:val="Normale"/>
    <w:uiPriority w:val="1"/>
    <w:qFormat/>
    <w:pPr>
      <w:ind w:left="861" w:right="139"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nhideWhenUsed/>
    <w:rsid w:val="00500C42"/>
    <w:pPr>
      <w:tabs>
        <w:tab w:val="center" w:pos="4819"/>
        <w:tab w:val="right" w:pos="9638"/>
      </w:tabs>
    </w:pPr>
  </w:style>
  <w:style w:type="character" w:customStyle="1" w:styleId="IntestazioneCarattere">
    <w:name w:val="Intestazione Carattere"/>
    <w:basedOn w:val="Carpredefinitoparagrafo"/>
    <w:link w:val="Intestazione"/>
    <w:rsid w:val="00500C4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500C42"/>
    <w:pPr>
      <w:tabs>
        <w:tab w:val="center" w:pos="4819"/>
        <w:tab w:val="right" w:pos="9638"/>
      </w:tabs>
    </w:pPr>
  </w:style>
  <w:style w:type="character" w:customStyle="1" w:styleId="PidipaginaCarattere">
    <w:name w:val="Piè di pagina Carattere"/>
    <w:basedOn w:val="Carpredefinitoparagrafo"/>
    <w:link w:val="Pidipagina"/>
    <w:uiPriority w:val="99"/>
    <w:rsid w:val="00500C42"/>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rotocollo@pec.comune.nuoro.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aranteprivacy.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po@comune.nuoro.it" TargetMode="External"/><Relationship Id="rId4" Type="http://schemas.openxmlformats.org/officeDocument/2006/relationships/webSettings" Target="webSettings.xml"/><Relationship Id="rId9" Type="http://schemas.openxmlformats.org/officeDocument/2006/relationships/hyperlink" Target="mailto:andrea.soddu@comune.nuoro.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717</Words>
  <Characters>4092</Characters>
  <Application>Microsoft Office Word</Application>
  <DocSecurity>0</DocSecurity>
  <Lines>34</Lines>
  <Paragraphs>9</Paragraphs>
  <ScaleCrop>false</ScaleCrop>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Plus1</dc:creator>
  <cp:lastModifiedBy>Sabrina Garau</cp:lastModifiedBy>
  <cp:revision>4</cp:revision>
  <dcterms:created xsi:type="dcterms:W3CDTF">2025-07-02T08:24:00Z</dcterms:created>
  <dcterms:modified xsi:type="dcterms:W3CDTF">2025-07-28T10:44:00Z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Creator">
    <vt:lpwstr>Microsoft® Word 2019</vt:lpwstr>
  </property>
  <property fmtid="{D5CDD505-2E9C-101B-9397-08002B2CF9AE}" pid="4" name="LastSaved">
    <vt:filetime>2025-07-02T00:00:00Z</vt:filetime>
  </property>
  <property fmtid="{D5CDD505-2E9C-101B-9397-08002B2CF9AE}" pid="5" name="Producer">
    <vt:lpwstr>Microsoft® Word 2019</vt:lpwstr>
  </property>
</Properties>
</file>