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5A74B" w14:textId="77777777" w:rsidR="004930C1" w:rsidRDefault="004930C1">
      <w:pPr>
        <w:jc w:val="center"/>
        <w:rPr>
          <w:color w:val="000000" w:themeColor="text1"/>
          <w:lang w:val="fr-FR"/>
        </w:rPr>
      </w:pPr>
      <w:bookmarkStart w:id="0" w:name="_GoBack"/>
      <w:bookmarkEnd w:id="0"/>
    </w:p>
    <w:p w14:paraId="48448753" w14:textId="77777777" w:rsidR="00BF420D" w:rsidRPr="00BF420D" w:rsidRDefault="00BF420D" w:rsidP="00AB21B1">
      <w:pPr>
        <w:jc w:val="center"/>
        <w:rPr>
          <w:rFonts w:ascii="Calibri" w:eastAsia="Calibri" w:hAnsi="Calibri" w:cs="Calibri"/>
          <w:b/>
          <w:smallCaps/>
          <w:color w:val="000000" w:themeColor="text1"/>
          <w:spacing w:val="20"/>
          <w:sz w:val="36"/>
          <w:szCs w:val="36"/>
        </w:rPr>
      </w:pPr>
      <w:r w:rsidRPr="00BF420D">
        <w:rPr>
          <w:rFonts w:ascii="Calibri" w:eastAsia="Calibri" w:hAnsi="Calibri" w:cs="Calibri"/>
          <w:b/>
          <w:smallCaps/>
          <w:color w:val="000000" w:themeColor="text1"/>
          <w:spacing w:val="20"/>
          <w:sz w:val="36"/>
          <w:szCs w:val="36"/>
        </w:rPr>
        <w:t>PROCEDURA</w:t>
      </w:r>
    </w:p>
    <w:p w14:paraId="08085033" w14:textId="77777777" w:rsidR="00BF420D" w:rsidRPr="00BF420D" w:rsidRDefault="00BF420D" w:rsidP="00AB21B1">
      <w:pPr>
        <w:jc w:val="center"/>
        <w:rPr>
          <w:rFonts w:ascii="Calibri" w:eastAsia="Calibri" w:hAnsi="Calibri" w:cs="Calibri"/>
          <w:b/>
          <w:smallCaps/>
          <w:color w:val="000000" w:themeColor="text1"/>
          <w:spacing w:val="20"/>
          <w:sz w:val="36"/>
          <w:szCs w:val="36"/>
        </w:rPr>
      </w:pPr>
      <w:r w:rsidRPr="00BF420D">
        <w:rPr>
          <w:rFonts w:ascii="Calibri" w:eastAsia="Calibri" w:hAnsi="Calibri" w:cs="Calibri"/>
          <w:b/>
          <w:smallCaps/>
          <w:color w:val="000000" w:themeColor="text1"/>
          <w:spacing w:val="20"/>
          <w:sz w:val="36"/>
          <w:szCs w:val="36"/>
        </w:rPr>
        <w:t>PER LA GESTIONE DEI “DATA BREACH”</w:t>
      </w:r>
    </w:p>
    <w:p w14:paraId="521FB290" w14:textId="3800805B" w:rsidR="004930C1" w:rsidRDefault="00BF420D" w:rsidP="00AB21B1">
      <w:pPr>
        <w:jc w:val="center"/>
        <w:rPr>
          <w:rFonts w:ascii="Calibri" w:eastAsia="Calibri" w:hAnsi="Calibri" w:cs="Calibri"/>
          <w:b/>
          <w:smallCaps/>
          <w:color w:val="000000" w:themeColor="text1"/>
          <w:spacing w:val="20"/>
          <w:sz w:val="36"/>
          <w:szCs w:val="36"/>
        </w:rPr>
      </w:pPr>
      <w:r w:rsidRPr="00BF420D">
        <w:rPr>
          <w:rFonts w:ascii="Calibri" w:eastAsia="Calibri" w:hAnsi="Calibri" w:cs="Calibri"/>
          <w:b/>
          <w:smallCaps/>
          <w:color w:val="000000" w:themeColor="text1"/>
          <w:spacing w:val="20"/>
          <w:sz w:val="36"/>
          <w:szCs w:val="36"/>
        </w:rPr>
        <w:t>AI SENSI DEL REGOLAMENTO EUROPEO 2016/679 GDPR</w:t>
      </w:r>
    </w:p>
    <w:p w14:paraId="0648E752" w14:textId="35DEFA79" w:rsidR="00D359BE" w:rsidRDefault="00D359BE" w:rsidP="00AB21B1">
      <w:pPr>
        <w:jc w:val="center"/>
        <w:rPr>
          <w:rFonts w:ascii="Calibri" w:eastAsia="Calibri" w:hAnsi="Calibri" w:cs="Calibri"/>
          <w:b/>
          <w:smallCaps/>
          <w:color w:val="000000" w:themeColor="text1"/>
          <w:spacing w:val="20"/>
          <w:sz w:val="36"/>
          <w:szCs w:val="36"/>
        </w:rPr>
      </w:pPr>
    </w:p>
    <w:p w14:paraId="463BCAF3" w14:textId="7EE5A1B1" w:rsidR="00D359BE" w:rsidRPr="00D359BE" w:rsidRDefault="00D359BE" w:rsidP="00AB21B1">
      <w:pPr>
        <w:jc w:val="center"/>
        <w:rPr>
          <w:rFonts w:ascii="Calibri" w:eastAsia="Calibri" w:hAnsi="Calibri" w:cs="Calibri"/>
          <w:b/>
          <w:smallCaps/>
          <w:color w:val="000000" w:themeColor="text1"/>
          <w:spacing w:val="20"/>
          <w:sz w:val="36"/>
          <w:szCs w:val="36"/>
        </w:rPr>
      </w:pPr>
    </w:p>
    <w:p w14:paraId="4A790633" w14:textId="77777777" w:rsidR="00D359BE" w:rsidRPr="00D359BE" w:rsidRDefault="00D359BE" w:rsidP="00AB21B1">
      <w:pPr>
        <w:jc w:val="center"/>
        <w:rPr>
          <w:color w:val="000000" w:themeColor="text1"/>
        </w:rPr>
      </w:pPr>
    </w:p>
    <w:p w14:paraId="251224E4" w14:textId="77777777" w:rsidR="004930C1" w:rsidRPr="00D359BE" w:rsidRDefault="002B6799" w:rsidP="007A2135">
      <w:pPr>
        <w:pStyle w:val="Nessunaspaziatura"/>
        <w:rPr>
          <w:rFonts w:asciiTheme="minorHAnsi" w:hAnsiTheme="minorHAnsi" w:cstheme="minorHAnsi"/>
          <w:color w:val="000000" w:themeColor="text1"/>
        </w:rPr>
      </w:pPr>
      <w:r w:rsidRPr="00D359BE">
        <w:rPr>
          <w:rFonts w:asciiTheme="minorHAnsi" w:hAnsiTheme="minorHAnsi" w:cstheme="minorHAnsi"/>
          <w:color w:val="000000" w:themeColor="text1"/>
        </w:rPr>
        <w:t>Sommario</w:t>
      </w:r>
    </w:p>
    <w:p w14:paraId="441E0BDB" w14:textId="77777777" w:rsidR="004930C1" w:rsidRPr="00D359BE" w:rsidRDefault="004930C1">
      <w:pPr>
        <w:rPr>
          <w:color w:val="000000" w:themeColor="text1"/>
        </w:rPr>
      </w:pPr>
    </w:p>
    <w:sdt>
      <w:sdtPr>
        <w:rPr>
          <w:color w:val="000000" w:themeColor="text1"/>
        </w:rPr>
        <w:id w:val="1215616747"/>
        <w:docPartObj>
          <w:docPartGallery w:val="Table of Contents"/>
          <w:docPartUnique/>
        </w:docPartObj>
      </w:sdtPr>
      <w:sdtEndPr>
        <w:rPr>
          <w:color w:val="5A5A5A"/>
        </w:rPr>
      </w:sdtEndPr>
      <w:sdtContent>
        <w:p w14:paraId="1F7DCEB9" w14:textId="56C6AE98" w:rsidR="00E165F5" w:rsidRPr="00D359BE" w:rsidRDefault="002B6799">
          <w:pPr>
            <w:pStyle w:val="Sommario1"/>
            <w:tabs>
              <w:tab w:val="left" w:pos="1320"/>
            </w:tabs>
            <w:rPr>
              <w:rFonts w:asciiTheme="minorHAnsi" w:eastAsiaTheme="minorEastAsia" w:hAnsiTheme="minorHAnsi" w:cstheme="minorBidi"/>
              <w:noProof/>
              <w:color w:val="000000" w:themeColor="text1"/>
            </w:rPr>
          </w:pPr>
          <w:r w:rsidRPr="00D359BE">
            <w:fldChar w:fldCharType="begin"/>
          </w:r>
          <w:r w:rsidRPr="00D359BE">
            <w:rPr>
              <w:rStyle w:val="Saltoaindice"/>
              <w:rFonts w:cs="Calibri"/>
              <w:webHidden/>
              <w:color w:val="000000" w:themeColor="text1"/>
              <w:lang w:bidi="en-US"/>
            </w:rPr>
            <w:instrText>TOC \z \o "1-3" \u \h</w:instrText>
          </w:r>
          <w:r w:rsidRPr="00D359BE">
            <w:rPr>
              <w:rStyle w:val="Saltoaindice"/>
              <w:rFonts w:cs="Calibri"/>
              <w:color w:val="000000" w:themeColor="text1"/>
              <w:lang w:bidi="en-US"/>
            </w:rPr>
            <w:fldChar w:fldCharType="separate"/>
          </w:r>
          <w:hyperlink w:anchor="_Toc110501591" w:history="1">
            <w:r w:rsidR="00E165F5" w:rsidRPr="00D359BE">
              <w:rPr>
                <w:rStyle w:val="Collegamentoipertestuale"/>
                <w:noProof/>
                <w:color w:val="000000" w:themeColor="text1"/>
              </w:rPr>
              <w:t>Art. 1)</w:t>
            </w:r>
            <w:r w:rsidR="00E165F5" w:rsidRPr="00D359BE">
              <w:rPr>
                <w:rFonts w:asciiTheme="minorHAnsi" w:eastAsiaTheme="minorEastAsia" w:hAnsiTheme="minorHAnsi" w:cstheme="minorBidi"/>
                <w:noProof/>
                <w:color w:val="000000" w:themeColor="text1"/>
              </w:rPr>
              <w:tab/>
            </w:r>
            <w:r w:rsidR="00E165F5" w:rsidRPr="00D359BE">
              <w:rPr>
                <w:rStyle w:val="Collegamentoipertestuale"/>
                <w:noProof/>
                <w:color w:val="000000" w:themeColor="text1"/>
              </w:rPr>
              <w:t>Premessa</w:t>
            </w:r>
            <w:r w:rsidR="00E165F5" w:rsidRPr="00D359BE">
              <w:rPr>
                <w:noProof/>
                <w:webHidden/>
                <w:color w:val="000000" w:themeColor="text1"/>
              </w:rPr>
              <w:tab/>
            </w:r>
            <w:r w:rsidR="00E165F5" w:rsidRPr="00D359BE">
              <w:rPr>
                <w:noProof/>
                <w:webHidden/>
                <w:color w:val="000000" w:themeColor="text1"/>
              </w:rPr>
              <w:fldChar w:fldCharType="begin"/>
            </w:r>
            <w:r w:rsidR="00E165F5" w:rsidRPr="00D359BE">
              <w:rPr>
                <w:noProof/>
                <w:webHidden/>
                <w:color w:val="000000" w:themeColor="text1"/>
              </w:rPr>
              <w:instrText xml:space="preserve"> PAGEREF _Toc110501591 \h </w:instrText>
            </w:r>
            <w:r w:rsidR="00E165F5" w:rsidRPr="00D359BE">
              <w:rPr>
                <w:noProof/>
                <w:webHidden/>
                <w:color w:val="000000" w:themeColor="text1"/>
              </w:rPr>
            </w:r>
            <w:r w:rsidR="00E165F5" w:rsidRPr="00D359BE">
              <w:rPr>
                <w:noProof/>
                <w:webHidden/>
                <w:color w:val="000000" w:themeColor="text1"/>
              </w:rPr>
              <w:fldChar w:fldCharType="separate"/>
            </w:r>
            <w:r w:rsidR="00E165F5" w:rsidRPr="00D359BE">
              <w:rPr>
                <w:noProof/>
                <w:webHidden/>
                <w:color w:val="000000" w:themeColor="text1"/>
              </w:rPr>
              <w:t>2</w:t>
            </w:r>
            <w:r w:rsidR="00E165F5" w:rsidRPr="00D359BE">
              <w:rPr>
                <w:noProof/>
                <w:webHidden/>
                <w:color w:val="000000" w:themeColor="text1"/>
              </w:rPr>
              <w:fldChar w:fldCharType="end"/>
            </w:r>
          </w:hyperlink>
        </w:p>
        <w:p w14:paraId="3870448F" w14:textId="6598041C" w:rsidR="00E165F5" w:rsidRPr="00D359BE" w:rsidRDefault="00E76D4D">
          <w:pPr>
            <w:pStyle w:val="Sommario1"/>
            <w:tabs>
              <w:tab w:val="left" w:pos="1320"/>
            </w:tabs>
            <w:rPr>
              <w:rFonts w:asciiTheme="minorHAnsi" w:eastAsiaTheme="minorEastAsia" w:hAnsiTheme="minorHAnsi" w:cstheme="minorBidi"/>
              <w:noProof/>
              <w:color w:val="000000" w:themeColor="text1"/>
            </w:rPr>
          </w:pPr>
          <w:hyperlink w:anchor="_Toc110501592" w:history="1">
            <w:r w:rsidR="00E165F5" w:rsidRPr="00D359BE">
              <w:rPr>
                <w:rStyle w:val="Collegamentoipertestuale"/>
                <w:noProof/>
                <w:color w:val="000000" w:themeColor="text1"/>
              </w:rPr>
              <w:t>Art. 2)</w:t>
            </w:r>
            <w:r w:rsidR="00E165F5" w:rsidRPr="00D359BE">
              <w:rPr>
                <w:rFonts w:asciiTheme="minorHAnsi" w:eastAsiaTheme="minorEastAsia" w:hAnsiTheme="minorHAnsi" w:cstheme="minorBidi"/>
                <w:noProof/>
                <w:color w:val="000000" w:themeColor="text1"/>
              </w:rPr>
              <w:tab/>
            </w:r>
            <w:r w:rsidR="00E165F5" w:rsidRPr="00D359BE">
              <w:rPr>
                <w:rStyle w:val="Collegamentoipertestuale"/>
                <w:noProof/>
                <w:color w:val="000000" w:themeColor="text1"/>
              </w:rPr>
              <w:t>Scopo del documento e ambito di applicazione</w:t>
            </w:r>
            <w:r w:rsidR="00E165F5" w:rsidRPr="00D359BE">
              <w:rPr>
                <w:noProof/>
                <w:webHidden/>
                <w:color w:val="000000" w:themeColor="text1"/>
              </w:rPr>
              <w:tab/>
            </w:r>
            <w:r w:rsidR="00E165F5" w:rsidRPr="00D359BE">
              <w:rPr>
                <w:noProof/>
                <w:webHidden/>
                <w:color w:val="000000" w:themeColor="text1"/>
              </w:rPr>
              <w:fldChar w:fldCharType="begin"/>
            </w:r>
            <w:r w:rsidR="00E165F5" w:rsidRPr="00D359BE">
              <w:rPr>
                <w:noProof/>
                <w:webHidden/>
                <w:color w:val="000000" w:themeColor="text1"/>
              </w:rPr>
              <w:instrText xml:space="preserve"> PAGEREF _Toc110501592 \h </w:instrText>
            </w:r>
            <w:r w:rsidR="00E165F5" w:rsidRPr="00D359BE">
              <w:rPr>
                <w:noProof/>
                <w:webHidden/>
                <w:color w:val="000000" w:themeColor="text1"/>
              </w:rPr>
            </w:r>
            <w:r w:rsidR="00E165F5" w:rsidRPr="00D359BE">
              <w:rPr>
                <w:noProof/>
                <w:webHidden/>
                <w:color w:val="000000" w:themeColor="text1"/>
              </w:rPr>
              <w:fldChar w:fldCharType="separate"/>
            </w:r>
            <w:r w:rsidR="00E165F5" w:rsidRPr="00D359BE">
              <w:rPr>
                <w:noProof/>
                <w:webHidden/>
                <w:color w:val="000000" w:themeColor="text1"/>
              </w:rPr>
              <w:t>2</w:t>
            </w:r>
            <w:r w:rsidR="00E165F5" w:rsidRPr="00D359BE">
              <w:rPr>
                <w:noProof/>
                <w:webHidden/>
                <w:color w:val="000000" w:themeColor="text1"/>
              </w:rPr>
              <w:fldChar w:fldCharType="end"/>
            </w:r>
          </w:hyperlink>
        </w:p>
        <w:p w14:paraId="4602E203" w14:textId="4A47AA6E" w:rsidR="00E165F5" w:rsidRPr="00D359BE" w:rsidRDefault="00E76D4D">
          <w:pPr>
            <w:pStyle w:val="Sommario1"/>
            <w:tabs>
              <w:tab w:val="left" w:pos="1320"/>
            </w:tabs>
            <w:rPr>
              <w:rFonts w:asciiTheme="minorHAnsi" w:eastAsiaTheme="minorEastAsia" w:hAnsiTheme="minorHAnsi" w:cstheme="minorBidi"/>
              <w:noProof/>
              <w:color w:val="000000" w:themeColor="text1"/>
            </w:rPr>
          </w:pPr>
          <w:hyperlink w:anchor="_Toc110501593" w:history="1">
            <w:r w:rsidR="00E165F5" w:rsidRPr="00D359BE">
              <w:rPr>
                <w:rStyle w:val="Collegamentoipertestuale"/>
                <w:noProof/>
                <w:color w:val="000000" w:themeColor="text1"/>
              </w:rPr>
              <w:t>Art. 3)</w:t>
            </w:r>
            <w:r w:rsidR="00E165F5" w:rsidRPr="00D359BE">
              <w:rPr>
                <w:rFonts w:asciiTheme="minorHAnsi" w:eastAsiaTheme="minorEastAsia" w:hAnsiTheme="minorHAnsi" w:cstheme="minorBidi"/>
                <w:noProof/>
                <w:color w:val="000000" w:themeColor="text1"/>
              </w:rPr>
              <w:tab/>
            </w:r>
            <w:r w:rsidR="00E165F5" w:rsidRPr="00D359BE">
              <w:rPr>
                <w:rStyle w:val="Collegamentoipertestuale"/>
                <w:noProof/>
                <w:color w:val="000000" w:themeColor="text1"/>
              </w:rPr>
              <w:t>Definizioni</w:t>
            </w:r>
            <w:r w:rsidR="00E165F5" w:rsidRPr="00D359BE">
              <w:rPr>
                <w:noProof/>
                <w:webHidden/>
                <w:color w:val="000000" w:themeColor="text1"/>
              </w:rPr>
              <w:tab/>
            </w:r>
            <w:r w:rsidR="00E165F5" w:rsidRPr="00D359BE">
              <w:rPr>
                <w:noProof/>
                <w:webHidden/>
                <w:color w:val="000000" w:themeColor="text1"/>
              </w:rPr>
              <w:fldChar w:fldCharType="begin"/>
            </w:r>
            <w:r w:rsidR="00E165F5" w:rsidRPr="00D359BE">
              <w:rPr>
                <w:noProof/>
                <w:webHidden/>
                <w:color w:val="000000" w:themeColor="text1"/>
              </w:rPr>
              <w:instrText xml:space="preserve"> PAGEREF _Toc110501593 \h </w:instrText>
            </w:r>
            <w:r w:rsidR="00E165F5" w:rsidRPr="00D359BE">
              <w:rPr>
                <w:noProof/>
                <w:webHidden/>
                <w:color w:val="000000" w:themeColor="text1"/>
              </w:rPr>
            </w:r>
            <w:r w:rsidR="00E165F5" w:rsidRPr="00D359BE">
              <w:rPr>
                <w:noProof/>
                <w:webHidden/>
                <w:color w:val="000000" w:themeColor="text1"/>
              </w:rPr>
              <w:fldChar w:fldCharType="separate"/>
            </w:r>
            <w:r w:rsidR="00E165F5" w:rsidRPr="00D359BE">
              <w:rPr>
                <w:noProof/>
                <w:webHidden/>
                <w:color w:val="000000" w:themeColor="text1"/>
              </w:rPr>
              <w:t>2</w:t>
            </w:r>
            <w:r w:rsidR="00E165F5" w:rsidRPr="00D359BE">
              <w:rPr>
                <w:noProof/>
                <w:webHidden/>
                <w:color w:val="000000" w:themeColor="text1"/>
              </w:rPr>
              <w:fldChar w:fldCharType="end"/>
            </w:r>
          </w:hyperlink>
        </w:p>
        <w:p w14:paraId="77A5728A" w14:textId="46F853BD" w:rsidR="00E165F5" w:rsidRPr="00D359BE" w:rsidRDefault="00E76D4D">
          <w:pPr>
            <w:pStyle w:val="Sommario1"/>
            <w:tabs>
              <w:tab w:val="left" w:pos="1320"/>
            </w:tabs>
            <w:rPr>
              <w:rFonts w:asciiTheme="minorHAnsi" w:eastAsiaTheme="minorEastAsia" w:hAnsiTheme="minorHAnsi" w:cstheme="minorBidi"/>
              <w:noProof/>
              <w:color w:val="000000" w:themeColor="text1"/>
            </w:rPr>
          </w:pPr>
          <w:hyperlink w:anchor="_Toc110501594" w:history="1">
            <w:r w:rsidR="00E165F5" w:rsidRPr="00D359BE">
              <w:rPr>
                <w:rStyle w:val="Collegamentoipertestuale"/>
                <w:noProof/>
                <w:color w:val="000000" w:themeColor="text1"/>
              </w:rPr>
              <w:t>Art. 4)</w:t>
            </w:r>
            <w:r w:rsidR="00E165F5" w:rsidRPr="00D359BE">
              <w:rPr>
                <w:rFonts w:asciiTheme="minorHAnsi" w:eastAsiaTheme="minorEastAsia" w:hAnsiTheme="minorHAnsi" w:cstheme="minorBidi"/>
                <w:noProof/>
                <w:color w:val="000000" w:themeColor="text1"/>
              </w:rPr>
              <w:tab/>
            </w:r>
            <w:r w:rsidR="00E165F5" w:rsidRPr="00D359BE">
              <w:rPr>
                <w:rStyle w:val="Collegamentoipertestuale"/>
                <w:noProof/>
                <w:color w:val="000000" w:themeColor="text1"/>
              </w:rPr>
              <w:t>Fonti normative e regolamentari di riferimento</w:t>
            </w:r>
            <w:r w:rsidR="00E165F5" w:rsidRPr="00D359BE">
              <w:rPr>
                <w:noProof/>
                <w:webHidden/>
                <w:color w:val="000000" w:themeColor="text1"/>
              </w:rPr>
              <w:tab/>
            </w:r>
            <w:r w:rsidR="00E165F5" w:rsidRPr="00D359BE">
              <w:rPr>
                <w:noProof/>
                <w:webHidden/>
                <w:color w:val="000000" w:themeColor="text1"/>
              </w:rPr>
              <w:fldChar w:fldCharType="begin"/>
            </w:r>
            <w:r w:rsidR="00E165F5" w:rsidRPr="00D359BE">
              <w:rPr>
                <w:noProof/>
                <w:webHidden/>
                <w:color w:val="000000" w:themeColor="text1"/>
              </w:rPr>
              <w:instrText xml:space="preserve"> PAGEREF _Toc110501594 \h </w:instrText>
            </w:r>
            <w:r w:rsidR="00E165F5" w:rsidRPr="00D359BE">
              <w:rPr>
                <w:noProof/>
                <w:webHidden/>
                <w:color w:val="000000" w:themeColor="text1"/>
              </w:rPr>
            </w:r>
            <w:r w:rsidR="00E165F5" w:rsidRPr="00D359BE">
              <w:rPr>
                <w:noProof/>
                <w:webHidden/>
                <w:color w:val="000000" w:themeColor="text1"/>
              </w:rPr>
              <w:fldChar w:fldCharType="separate"/>
            </w:r>
            <w:r w:rsidR="00E165F5" w:rsidRPr="00D359BE">
              <w:rPr>
                <w:noProof/>
                <w:webHidden/>
                <w:color w:val="000000" w:themeColor="text1"/>
              </w:rPr>
              <w:t>2</w:t>
            </w:r>
            <w:r w:rsidR="00E165F5" w:rsidRPr="00D359BE">
              <w:rPr>
                <w:noProof/>
                <w:webHidden/>
                <w:color w:val="000000" w:themeColor="text1"/>
              </w:rPr>
              <w:fldChar w:fldCharType="end"/>
            </w:r>
          </w:hyperlink>
        </w:p>
        <w:p w14:paraId="21281617" w14:textId="7E6C1E97" w:rsidR="00E165F5" w:rsidRPr="00D359BE" w:rsidRDefault="00E76D4D">
          <w:pPr>
            <w:pStyle w:val="Sommario1"/>
            <w:tabs>
              <w:tab w:val="left" w:pos="1320"/>
            </w:tabs>
            <w:rPr>
              <w:rFonts w:asciiTheme="minorHAnsi" w:eastAsiaTheme="minorEastAsia" w:hAnsiTheme="minorHAnsi" w:cstheme="minorBidi"/>
              <w:noProof/>
              <w:color w:val="000000" w:themeColor="text1"/>
            </w:rPr>
          </w:pPr>
          <w:hyperlink w:anchor="_Toc110501595" w:history="1">
            <w:r w:rsidR="00E165F5" w:rsidRPr="00D359BE">
              <w:rPr>
                <w:rStyle w:val="Collegamentoipertestuale"/>
                <w:noProof/>
                <w:color w:val="000000" w:themeColor="text1"/>
              </w:rPr>
              <w:t>Art. 5)</w:t>
            </w:r>
            <w:r w:rsidR="00E165F5" w:rsidRPr="00D359BE">
              <w:rPr>
                <w:rFonts w:asciiTheme="minorHAnsi" w:eastAsiaTheme="minorEastAsia" w:hAnsiTheme="minorHAnsi" w:cstheme="minorBidi"/>
                <w:noProof/>
                <w:color w:val="000000" w:themeColor="text1"/>
              </w:rPr>
              <w:tab/>
            </w:r>
            <w:r w:rsidR="00E165F5" w:rsidRPr="00D359BE">
              <w:rPr>
                <w:rStyle w:val="Collegamentoipertestuale"/>
                <w:noProof/>
                <w:color w:val="000000" w:themeColor="text1"/>
              </w:rPr>
              <w:t>Responsabilità e ruoli</w:t>
            </w:r>
            <w:r w:rsidR="00E165F5" w:rsidRPr="00D359BE">
              <w:rPr>
                <w:noProof/>
                <w:webHidden/>
                <w:color w:val="000000" w:themeColor="text1"/>
              </w:rPr>
              <w:tab/>
            </w:r>
            <w:r w:rsidR="00E165F5" w:rsidRPr="00D359BE">
              <w:rPr>
                <w:noProof/>
                <w:webHidden/>
                <w:color w:val="000000" w:themeColor="text1"/>
              </w:rPr>
              <w:fldChar w:fldCharType="begin"/>
            </w:r>
            <w:r w:rsidR="00E165F5" w:rsidRPr="00D359BE">
              <w:rPr>
                <w:noProof/>
                <w:webHidden/>
                <w:color w:val="000000" w:themeColor="text1"/>
              </w:rPr>
              <w:instrText xml:space="preserve"> PAGEREF _Toc110501595 \h </w:instrText>
            </w:r>
            <w:r w:rsidR="00E165F5" w:rsidRPr="00D359BE">
              <w:rPr>
                <w:noProof/>
                <w:webHidden/>
                <w:color w:val="000000" w:themeColor="text1"/>
              </w:rPr>
            </w:r>
            <w:r w:rsidR="00E165F5" w:rsidRPr="00D359BE">
              <w:rPr>
                <w:noProof/>
                <w:webHidden/>
                <w:color w:val="000000" w:themeColor="text1"/>
              </w:rPr>
              <w:fldChar w:fldCharType="separate"/>
            </w:r>
            <w:r w:rsidR="00E165F5" w:rsidRPr="00D359BE">
              <w:rPr>
                <w:noProof/>
                <w:webHidden/>
                <w:color w:val="000000" w:themeColor="text1"/>
              </w:rPr>
              <w:t>3</w:t>
            </w:r>
            <w:r w:rsidR="00E165F5" w:rsidRPr="00D359BE">
              <w:rPr>
                <w:noProof/>
                <w:webHidden/>
                <w:color w:val="000000" w:themeColor="text1"/>
              </w:rPr>
              <w:fldChar w:fldCharType="end"/>
            </w:r>
          </w:hyperlink>
        </w:p>
        <w:p w14:paraId="19E430DF" w14:textId="7D7178FB" w:rsidR="00E165F5" w:rsidRPr="00D359BE" w:rsidRDefault="00E76D4D">
          <w:pPr>
            <w:pStyle w:val="Sommario1"/>
            <w:tabs>
              <w:tab w:val="left" w:pos="1320"/>
            </w:tabs>
            <w:rPr>
              <w:rFonts w:asciiTheme="minorHAnsi" w:eastAsiaTheme="minorEastAsia" w:hAnsiTheme="minorHAnsi" w:cstheme="minorBidi"/>
              <w:noProof/>
              <w:color w:val="000000" w:themeColor="text1"/>
            </w:rPr>
          </w:pPr>
          <w:hyperlink w:anchor="_Toc110501596" w:history="1">
            <w:r w:rsidR="00E165F5" w:rsidRPr="00D359BE">
              <w:rPr>
                <w:rStyle w:val="Collegamentoipertestuale"/>
                <w:noProof/>
                <w:color w:val="000000" w:themeColor="text1"/>
              </w:rPr>
              <w:t>Art. 6)</w:t>
            </w:r>
            <w:r w:rsidR="00E165F5" w:rsidRPr="00D359BE">
              <w:rPr>
                <w:rFonts w:asciiTheme="minorHAnsi" w:eastAsiaTheme="minorEastAsia" w:hAnsiTheme="minorHAnsi" w:cstheme="minorBidi"/>
                <w:noProof/>
                <w:color w:val="000000" w:themeColor="text1"/>
              </w:rPr>
              <w:tab/>
            </w:r>
            <w:r w:rsidR="00E165F5" w:rsidRPr="00D359BE">
              <w:rPr>
                <w:rStyle w:val="Collegamentoipertestuale"/>
                <w:noProof/>
                <w:color w:val="000000" w:themeColor="text1"/>
              </w:rPr>
              <w:t>Registro delle violazioni</w:t>
            </w:r>
            <w:r w:rsidR="00E165F5" w:rsidRPr="00D359BE">
              <w:rPr>
                <w:noProof/>
                <w:webHidden/>
                <w:color w:val="000000" w:themeColor="text1"/>
              </w:rPr>
              <w:tab/>
            </w:r>
            <w:r w:rsidR="00E165F5" w:rsidRPr="00D359BE">
              <w:rPr>
                <w:noProof/>
                <w:webHidden/>
                <w:color w:val="000000" w:themeColor="text1"/>
              </w:rPr>
              <w:fldChar w:fldCharType="begin"/>
            </w:r>
            <w:r w:rsidR="00E165F5" w:rsidRPr="00D359BE">
              <w:rPr>
                <w:noProof/>
                <w:webHidden/>
                <w:color w:val="000000" w:themeColor="text1"/>
              </w:rPr>
              <w:instrText xml:space="preserve"> PAGEREF _Toc110501596 \h </w:instrText>
            </w:r>
            <w:r w:rsidR="00E165F5" w:rsidRPr="00D359BE">
              <w:rPr>
                <w:noProof/>
                <w:webHidden/>
                <w:color w:val="000000" w:themeColor="text1"/>
              </w:rPr>
            </w:r>
            <w:r w:rsidR="00E165F5" w:rsidRPr="00D359BE">
              <w:rPr>
                <w:noProof/>
                <w:webHidden/>
                <w:color w:val="000000" w:themeColor="text1"/>
              </w:rPr>
              <w:fldChar w:fldCharType="separate"/>
            </w:r>
            <w:r w:rsidR="00E165F5" w:rsidRPr="00D359BE">
              <w:rPr>
                <w:noProof/>
                <w:webHidden/>
                <w:color w:val="000000" w:themeColor="text1"/>
              </w:rPr>
              <w:t>4</w:t>
            </w:r>
            <w:r w:rsidR="00E165F5" w:rsidRPr="00D359BE">
              <w:rPr>
                <w:noProof/>
                <w:webHidden/>
                <w:color w:val="000000" w:themeColor="text1"/>
              </w:rPr>
              <w:fldChar w:fldCharType="end"/>
            </w:r>
          </w:hyperlink>
        </w:p>
        <w:p w14:paraId="62339D8C" w14:textId="50611E69" w:rsidR="00E165F5" w:rsidRPr="00D359BE" w:rsidRDefault="00E76D4D">
          <w:pPr>
            <w:pStyle w:val="Sommario1"/>
            <w:tabs>
              <w:tab w:val="left" w:pos="1320"/>
            </w:tabs>
            <w:rPr>
              <w:rFonts w:asciiTheme="minorHAnsi" w:eastAsiaTheme="minorEastAsia" w:hAnsiTheme="minorHAnsi" w:cstheme="minorBidi"/>
              <w:noProof/>
              <w:color w:val="000000" w:themeColor="text1"/>
            </w:rPr>
          </w:pPr>
          <w:hyperlink w:anchor="_Toc110501597" w:history="1">
            <w:r w:rsidR="00E165F5" w:rsidRPr="00D359BE">
              <w:rPr>
                <w:rStyle w:val="Collegamentoipertestuale"/>
                <w:noProof/>
                <w:color w:val="000000" w:themeColor="text1"/>
              </w:rPr>
              <w:t>Art. 7)</w:t>
            </w:r>
            <w:r w:rsidR="00E165F5" w:rsidRPr="00D359BE">
              <w:rPr>
                <w:rFonts w:asciiTheme="minorHAnsi" w:eastAsiaTheme="minorEastAsia" w:hAnsiTheme="minorHAnsi" w:cstheme="minorBidi"/>
                <w:noProof/>
                <w:color w:val="000000" w:themeColor="text1"/>
              </w:rPr>
              <w:tab/>
            </w:r>
            <w:r w:rsidR="00E165F5" w:rsidRPr="00D359BE">
              <w:rPr>
                <w:rStyle w:val="Collegamentoipertestuale"/>
                <w:noProof/>
                <w:color w:val="000000" w:themeColor="text1"/>
              </w:rPr>
              <w:t>Gestione del Data Breach</w:t>
            </w:r>
            <w:r w:rsidR="00E165F5" w:rsidRPr="00D359BE">
              <w:rPr>
                <w:noProof/>
                <w:webHidden/>
                <w:color w:val="000000" w:themeColor="text1"/>
              </w:rPr>
              <w:tab/>
            </w:r>
            <w:r w:rsidR="00E165F5" w:rsidRPr="00D359BE">
              <w:rPr>
                <w:noProof/>
                <w:webHidden/>
                <w:color w:val="000000" w:themeColor="text1"/>
              </w:rPr>
              <w:fldChar w:fldCharType="begin"/>
            </w:r>
            <w:r w:rsidR="00E165F5" w:rsidRPr="00D359BE">
              <w:rPr>
                <w:noProof/>
                <w:webHidden/>
                <w:color w:val="000000" w:themeColor="text1"/>
              </w:rPr>
              <w:instrText xml:space="preserve"> PAGEREF _Toc110501597 \h </w:instrText>
            </w:r>
            <w:r w:rsidR="00E165F5" w:rsidRPr="00D359BE">
              <w:rPr>
                <w:noProof/>
                <w:webHidden/>
                <w:color w:val="000000" w:themeColor="text1"/>
              </w:rPr>
            </w:r>
            <w:r w:rsidR="00E165F5" w:rsidRPr="00D359BE">
              <w:rPr>
                <w:noProof/>
                <w:webHidden/>
                <w:color w:val="000000" w:themeColor="text1"/>
              </w:rPr>
              <w:fldChar w:fldCharType="separate"/>
            </w:r>
            <w:r w:rsidR="00E165F5" w:rsidRPr="00D359BE">
              <w:rPr>
                <w:noProof/>
                <w:webHidden/>
                <w:color w:val="000000" w:themeColor="text1"/>
              </w:rPr>
              <w:t>4</w:t>
            </w:r>
            <w:r w:rsidR="00E165F5" w:rsidRPr="00D359BE">
              <w:rPr>
                <w:noProof/>
                <w:webHidden/>
                <w:color w:val="000000" w:themeColor="text1"/>
              </w:rPr>
              <w:fldChar w:fldCharType="end"/>
            </w:r>
          </w:hyperlink>
        </w:p>
        <w:p w14:paraId="712FE916" w14:textId="148ED73F" w:rsidR="00E165F5" w:rsidRPr="00D359BE" w:rsidRDefault="00E76D4D">
          <w:pPr>
            <w:pStyle w:val="Sommario1"/>
            <w:tabs>
              <w:tab w:val="left" w:pos="1320"/>
            </w:tabs>
            <w:rPr>
              <w:rFonts w:asciiTheme="minorHAnsi" w:eastAsiaTheme="minorEastAsia" w:hAnsiTheme="minorHAnsi" w:cstheme="minorBidi"/>
              <w:noProof/>
              <w:color w:val="000000" w:themeColor="text1"/>
            </w:rPr>
          </w:pPr>
          <w:hyperlink w:anchor="_Toc110501598" w:history="1">
            <w:r w:rsidR="00E165F5" w:rsidRPr="00D359BE">
              <w:rPr>
                <w:rStyle w:val="Collegamentoipertestuale"/>
                <w:noProof/>
                <w:color w:val="000000" w:themeColor="text1"/>
              </w:rPr>
              <w:t>Art. 8)</w:t>
            </w:r>
            <w:r w:rsidR="00E165F5" w:rsidRPr="00D359BE">
              <w:rPr>
                <w:rFonts w:asciiTheme="minorHAnsi" w:eastAsiaTheme="minorEastAsia" w:hAnsiTheme="minorHAnsi" w:cstheme="minorBidi"/>
                <w:noProof/>
                <w:color w:val="000000" w:themeColor="text1"/>
              </w:rPr>
              <w:tab/>
            </w:r>
            <w:r w:rsidR="00E165F5" w:rsidRPr="00D359BE">
              <w:rPr>
                <w:rStyle w:val="Collegamentoipertestuale"/>
                <w:noProof/>
                <w:color w:val="000000" w:themeColor="text1"/>
              </w:rPr>
              <w:t>Registrazione Evento/Segnalazione</w:t>
            </w:r>
            <w:r w:rsidR="00E165F5" w:rsidRPr="00D359BE">
              <w:rPr>
                <w:noProof/>
                <w:webHidden/>
                <w:color w:val="000000" w:themeColor="text1"/>
              </w:rPr>
              <w:tab/>
            </w:r>
            <w:r w:rsidR="00E165F5" w:rsidRPr="00D359BE">
              <w:rPr>
                <w:noProof/>
                <w:webHidden/>
                <w:color w:val="000000" w:themeColor="text1"/>
              </w:rPr>
              <w:fldChar w:fldCharType="begin"/>
            </w:r>
            <w:r w:rsidR="00E165F5" w:rsidRPr="00D359BE">
              <w:rPr>
                <w:noProof/>
                <w:webHidden/>
                <w:color w:val="000000" w:themeColor="text1"/>
              </w:rPr>
              <w:instrText xml:space="preserve"> PAGEREF _Toc110501598 \h </w:instrText>
            </w:r>
            <w:r w:rsidR="00E165F5" w:rsidRPr="00D359BE">
              <w:rPr>
                <w:noProof/>
                <w:webHidden/>
                <w:color w:val="000000" w:themeColor="text1"/>
              </w:rPr>
            </w:r>
            <w:r w:rsidR="00E165F5" w:rsidRPr="00D359BE">
              <w:rPr>
                <w:noProof/>
                <w:webHidden/>
                <w:color w:val="000000" w:themeColor="text1"/>
              </w:rPr>
              <w:fldChar w:fldCharType="separate"/>
            </w:r>
            <w:r w:rsidR="00E165F5" w:rsidRPr="00D359BE">
              <w:rPr>
                <w:noProof/>
                <w:webHidden/>
                <w:color w:val="000000" w:themeColor="text1"/>
              </w:rPr>
              <w:t>5</w:t>
            </w:r>
            <w:r w:rsidR="00E165F5" w:rsidRPr="00D359BE">
              <w:rPr>
                <w:noProof/>
                <w:webHidden/>
                <w:color w:val="000000" w:themeColor="text1"/>
              </w:rPr>
              <w:fldChar w:fldCharType="end"/>
            </w:r>
          </w:hyperlink>
        </w:p>
        <w:p w14:paraId="560DDA0A" w14:textId="65207421" w:rsidR="00E165F5" w:rsidRPr="00D359BE" w:rsidRDefault="00E76D4D">
          <w:pPr>
            <w:pStyle w:val="Sommario1"/>
            <w:tabs>
              <w:tab w:val="left" w:pos="1320"/>
            </w:tabs>
            <w:rPr>
              <w:rFonts w:asciiTheme="minorHAnsi" w:eastAsiaTheme="minorEastAsia" w:hAnsiTheme="minorHAnsi" w:cstheme="minorBidi"/>
              <w:noProof/>
              <w:color w:val="000000" w:themeColor="text1"/>
            </w:rPr>
          </w:pPr>
          <w:hyperlink w:anchor="_Toc110501599" w:history="1">
            <w:r w:rsidR="00E165F5" w:rsidRPr="00D359BE">
              <w:rPr>
                <w:rStyle w:val="Collegamentoipertestuale"/>
                <w:noProof/>
                <w:color w:val="000000" w:themeColor="text1"/>
              </w:rPr>
              <w:t>Art. 9)</w:t>
            </w:r>
            <w:r w:rsidR="00E165F5" w:rsidRPr="00D359BE">
              <w:rPr>
                <w:rFonts w:asciiTheme="minorHAnsi" w:eastAsiaTheme="minorEastAsia" w:hAnsiTheme="minorHAnsi" w:cstheme="minorBidi"/>
                <w:noProof/>
                <w:color w:val="000000" w:themeColor="text1"/>
              </w:rPr>
              <w:tab/>
            </w:r>
            <w:r w:rsidR="00E165F5" w:rsidRPr="00D359BE">
              <w:rPr>
                <w:rStyle w:val="Collegamentoipertestuale"/>
                <w:noProof/>
                <w:color w:val="000000" w:themeColor="text1"/>
              </w:rPr>
              <w:t>Gestione dell’evento e Azioni Correttive</w:t>
            </w:r>
            <w:r w:rsidR="00E165F5" w:rsidRPr="00D359BE">
              <w:rPr>
                <w:noProof/>
                <w:webHidden/>
                <w:color w:val="000000" w:themeColor="text1"/>
              </w:rPr>
              <w:tab/>
            </w:r>
            <w:r w:rsidR="00E165F5" w:rsidRPr="00D359BE">
              <w:rPr>
                <w:noProof/>
                <w:webHidden/>
                <w:color w:val="000000" w:themeColor="text1"/>
              </w:rPr>
              <w:fldChar w:fldCharType="begin"/>
            </w:r>
            <w:r w:rsidR="00E165F5" w:rsidRPr="00D359BE">
              <w:rPr>
                <w:noProof/>
                <w:webHidden/>
                <w:color w:val="000000" w:themeColor="text1"/>
              </w:rPr>
              <w:instrText xml:space="preserve"> PAGEREF _Toc110501599 \h </w:instrText>
            </w:r>
            <w:r w:rsidR="00E165F5" w:rsidRPr="00D359BE">
              <w:rPr>
                <w:noProof/>
                <w:webHidden/>
                <w:color w:val="000000" w:themeColor="text1"/>
              </w:rPr>
            </w:r>
            <w:r w:rsidR="00E165F5" w:rsidRPr="00D359BE">
              <w:rPr>
                <w:noProof/>
                <w:webHidden/>
                <w:color w:val="000000" w:themeColor="text1"/>
              </w:rPr>
              <w:fldChar w:fldCharType="separate"/>
            </w:r>
            <w:r w:rsidR="00E165F5" w:rsidRPr="00D359BE">
              <w:rPr>
                <w:noProof/>
                <w:webHidden/>
                <w:color w:val="000000" w:themeColor="text1"/>
              </w:rPr>
              <w:t>6</w:t>
            </w:r>
            <w:r w:rsidR="00E165F5" w:rsidRPr="00D359BE">
              <w:rPr>
                <w:noProof/>
                <w:webHidden/>
                <w:color w:val="000000" w:themeColor="text1"/>
              </w:rPr>
              <w:fldChar w:fldCharType="end"/>
            </w:r>
          </w:hyperlink>
        </w:p>
        <w:p w14:paraId="6C72A4F2" w14:textId="1802BFDC" w:rsidR="00E165F5" w:rsidRPr="00D359BE" w:rsidRDefault="00E76D4D">
          <w:pPr>
            <w:pStyle w:val="Sommario1"/>
            <w:tabs>
              <w:tab w:val="left" w:pos="1320"/>
            </w:tabs>
            <w:rPr>
              <w:rFonts w:asciiTheme="minorHAnsi" w:eastAsiaTheme="minorEastAsia" w:hAnsiTheme="minorHAnsi" w:cstheme="minorBidi"/>
              <w:noProof/>
              <w:color w:val="000000" w:themeColor="text1"/>
            </w:rPr>
          </w:pPr>
          <w:hyperlink w:anchor="_Toc110501600" w:history="1">
            <w:r w:rsidR="00E165F5" w:rsidRPr="00D359BE">
              <w:rPr>
                <w:rStyle w:val="Collegamentoipertestuale"/>
                <w:noProof/>
                <w:color w:val="000000" w:themeColor="text1"/>
              </w:rPr>
              <w:t>Art. 10)</w:t>
            </w:r>
            <w:r w:rsidR="00E165F5" w:rsidRPr="00D359BE">
              <w:rPr>
                <w:rFonts w:asciiTheme="minorHAnsi" w:eastAsiaTheme="minorEastAsia" w:hAnsiTheme="minorHAnsi" w:cstheme="minorBidi"/>
                <w:noProof/>
                <w:color w:val="000000" w:themeColor="text1"/>
              </w:rPr>
              <w:tab/>
            </w:r>
            <w:r w:rsidR="00E165F5" w:rsidRPr="00D359BE">
              <w:rPr>
                <w:rStyle w:val="Collegamentoipertestuale"/>
                <w:noProof/>
                <w:color w:val="000000" w:themeColor="text1"/>
              </w:rPr>
              <w:t>Comunicazioni al Garante e agli interessati</w:t>
            </w:r>
            <w:r w:rsidR="00E165F5" w:rsidRPr="00D359BE">
              <w:rPr>
                <w:noProof/>
                <w:webHidden/>
                <w:color w:val="000000" w:themeColor="text1"/>
              </w:rPr>
              <w:tab/>
            </w:r>
            <w:r w:rsidR="00E165F5" w:rsidRPr="00D359BE">
              <w:rPr>
                <w:noProof/>
                <w:webHidden/>
                <w:color w:val="000000" w:themeColor="text1"/>
              </w:rPr>
              <w:fldChar w:fldCharType="begin"/>
            </w:r>
            <w:r w:rsidR="00E165F5" w:rsidRPr="00D359BE">
              <w:rPr>
                <w:noProof/>
                <w:webHidden/>
                <w:color w:val="000000" w:themeColor="text1"/>
              </w:rPr>
              <w:instrText xml:space="preserve"> PAGEREF _Toc110501600 \h </w:instrText>
            </w:r>
            <w:r w:rsidR="00E165F5" w:rsidRPr="00D359BE">
              <w:rPr>
                <w:noProof/>
                <w:webHidden/>
                <w:color w:val="000000" w:themeColor="text1"/>
              </w:rPr>
            </w:r>
            <w:r w:rsidR="00E165F5" w:rsidRPr="00D359BE">
              <w:rPr>
                <w:noProof/>
                <w:webHidden/>
                <w:color w:val="000000" w:themeColor="text1"/>
              </w:rPr>
              <w:fldChar w:fldCharType="separate"/>
            </w:r>
            <w:r w:rsidR="00E165F5" w:rsidRPr="00D359BE">
              <w:rPr>
                <w:noProof/>
                <w:webHidden/>
                <w:color w:val="000000" w:themeColor="text1"/>
              </w:rPr>
              <w:t>6</w:t>
            </w:r>
            <w:r w:rsidR="00E165F5" w:rsidRPr="00D359BE">
              <w:rPr>
                <w:noProof/>
                <w:webHidden/>
                <w:color w:val="000000" w:themeColor="text1"/>
              </w:rPr>
              <w:fldChar w:fldCharType="end"/>
            </w:r>
          </w:hyperlink>
        </w:p>
        <w:p w14:paraId="052EC6A9" w14:textId="3D6DC13A" w:rsidR="00E165F5" w:rsidRPr="00D359BE" w:rsidRDefault="00E76D4D">
          <w:pPr>
            <w:pStyle w:val="Sommario1"/>
            <w:tabs>
              <w:tab w:val="left" w:pos="1320"/>
            </w:tabs>
            <w:rPr>
              <w:rFonts w:asciiTheme="minorHAnsi" w:eastAsiaTheme="minorEastAsia" w:hAnsiTheme="minorHAnsi" w:cstheme="minorBidi"/>
              <w:noProof/>
              <w:color w:val="000000" w:themeColor="text1"/>
            </w:rPr>
          </w:pPr>
          <w:hyperlink w:anchor="_Toc110501601" w:history="1">
            <w:r w:rsidR="00E165F5" w:rsidRPr="00D359BE">
              <w:rPr>
                <w:rStyle w:val="Collegamentoipertestuale"/>
                <w:noProof/>
                <w:color w:val="000000" w:themeColor="text1"/>
              </w:rPr>
              <w:t>Art. 11)</w:t>
            </w:r>
            <w:r w:rsidR="00E165F5" w:rsidRPr="00D359BE">
              <w:rPr>
                <w:rFonts w:asciiTheme="minorHAnsi" w:eastAsiaTheme="minorEastAsia" w:hAnsiTheme="minorHAnsi" w:cstheme="minorBidi"/>
                <w:noProof/>
                <w:color w:val="000000" w:themeColor="text1"/>
              </w:rPr>
              <w:tab/>
            </w:r>
            <w:r w:rsidR="00E165F5" w:rsidRPr="00D359BE">
              <w:rPr>
                <w:rStyle w:val="Collegamentoipertestuale"/>
                <w:noProof/>
                <w:color w:val="000000" w:themeColor="text1"/>
              </w:rPr>
              <w:t>Stima della gravità del Data Breach</w:t>
            </w:r>
            <w:r w:rsidR="00E165F5" w:rsidRPr="00D359BE">
              <w:rPr>
                <w:noProof/>
                <w:webHidden/>
                <w:color w:val="000000" w:themeColor="text1"/>
              </w:rPr>
              <w:tab/>
            </w:r>
            <w:r w:rsidR="00E165F5" w:rsidRPr="00D359BE">
              <w:rPr>
                <w:noProof/>
                <w:webHidden/>
                <w:color w:val="000000" w:themeColor="text1"/>
              </w:rPr>
              <w:fldChar w:fldCharType="begin"/>
            </w:r>
            <w:r w:rsidR="00E165F5" w:rsidRPr="00D359BE">
              <w:rPr>
                <w:noProof/>
                <w:webHidden/>
                <w:color w:val="000000" w:themeColor="text1"/>
              </w:rPr>
              <w:instrText xml:space="preserve"> PAGEREF _Toc110501601 \h </w:instrText>
            </w:r>
            <w:r w:rsidR="00E165F5" w:rsidRPr="00D359BE">
              <w:rPr>
                <w:noProof/>
                <w:webHidden/>
                <w:color w:val="000000" w:themeColor="text1"/>
              </w:rPr>
            </w:r>
            <w:r w:rsidR="00E165F5" w:rsidRPr="00D359BE">
              <w:rPr>
                <w:noProof/>
                <w:webHidden/>
                <w:color w:val="000000" w:themeColor="text1"/>
              </w:rPr>
              <w:fldChar w:fldCharType="separate"/>
            </w:r>
            <w:r w:rsidR="00E165F5" w:rsidRPr="00D359BE">
              <w:rPr>
                <w:noProof/>
                <w:webHidden/>
                <w:color w:val="000000" w:themeColor="text1"/>
              </w:rPr>
              <w:t>8</w:t>
            </w:r>
            <w:r w:rsidR="00E165F5" w:rsidRPr="00D359BE">
              <w:rPr>
                <w:noProof/>
                <w:webHidden/>
                <w:color w:val="000000" w:themeColor="text1"/>
              </w:rPr>
              <w:fldChar w:fldCharType="end"/>
            </w:r>
          </w:hyperlink>
        </w:p>
        <w:p w14:paraId="6E8806DA" w14:textId="4E058366" w:rsidR="00E165F5" w:rsidRPr="00D359BE" w:rsidRDefault="00E76D4D">
          <w:pPr>
            <w:pStyle w:val="Sommario1"/>
            <w:tabs>
              <w:tab w:val="left" w:pos="1320"/>
            </w:tabs>
            <w:rPr>
              <w:rFonts w:asciiTheme="minorHAnsi" w:eastAsiaTheme="minorEastAsia" w:hAnsiTheme="minorHAnsi" w:cstheme="minorBidi"/>
              <w:noProof/>
              <w:color w:val="000000" w:themeColor="text1"/>
            </w:rPr>
          </w:pPr>
          <w:hyperlink w:anchor="_Toc110501602" w:history="1">
            <w:r w:rsidR="00E165F5" w:rsidRPr="00D359BE">
              <w:rPr>
                <w:rStyle w:val="Collegamentoipertestuale"/>
                <w:noProof/>
                <w:color w:val="000000" w:themeColor="text1"/>
              </w:rPr>
              <w:t>Art. 12)</w:t>
            </w:r>
            <w:r w:rsidR="00E165F5" w:rsidRPr="00D359BE">
              <w:rPr>
                <w:rFonts w:asciiTheme="minorHAnsi" w:eastAsiaTheme="minorEastAsia" w:hAnsiTheme="minorHAnsi" w:cstheme="minorBidi"/>
                <w:noProof/>
                <w:color w:val="000000" w:themeColor="text1"/>
              </w:rPr>
              <w:tab/>
            </w:r>
            <w:r w:rsidR="00E165F5" w:rsidRPr="00D359BE">
              <w:rPr>
                <w:rStyle w:val="Collegamentoipertestuale"/>
                <w:noProof/>
                <w:color w:val="000000" w:themeColor="text1"/>
              </w:rPr>
              <w:t>Istruzioni per il calcolo</w:t>
            </w:r>
            <w:r w:rsidR="00E165F5" w:rsidRPr="00D359BE">
              <w:rPr>
                <w:noProof/>
                <w:webHidden/>
                <w:color w:val="000000" w:themeColor="text1"/>
              </w:rPr>
              <w:tab/>
            </w:r>
            <w:r w:rsidR="00E165F5" w:rsidRPr="00D359BE">
              <w:rPr>
                <w:noProof/>
                <w:webHidden/>
                <w:color w:val="000000" w:themeColor="text1"/>
              </w:rPr>
              <w:fldChar w:fldCharType="begin"/>
            </w:r>
            <w:r w:rsidR="00E165F5" w:rsidRPr="00D359BE">
              <w:rPr>
                <w:noProof/>
                <w:webHidden/>
                <w:color w:val="000000" w:themeColor="text1"/>
              </w:rPr>
              <w:instrText xml:space="preserve"> PAGEREF _Toc110501602 \h </w:instrText>
            </w:r>
            <w:r w:rsidR="00E165F5" w:rsidRPr="00D359BE">
              <w:rPr>
                <w:noProof/>
                <w:webHidden/>
                <w:color w:val="000000" w:themeColor="text1"/>
              </w:rPr>
            </w:r>
            <w:r w:rsidR="00E165F5" w:rsidRPr="00D359BE">
              <w:rPr>
                <w:noProof/>
                <w:webHidden/>
                <w:color w:val="000000" w:themeColor="text1"/>
              </w:rPr>
              <w:fldChar w:fldCharType="separate"/>
            </w:r>
            <w:r w:rsidR="00E165F5" w:rsidRPr="00D359BE">
              <w:rPr>
                <w:noProof/>
                <w:webHidden/>
                <w:color w:val="000000" w:themeColor="text1"/>
              </w:rPr>
              <w:t>12</w:t>
            </w:r>
            <w:r w:rsidR="00E165F5" w:rsidRPr="00D359BE">
              <w:rPr>
                <w:noProof/>
                <w:webHidden/>
                <w:color w:val="000000" w:themeColor="text1"/>
              </w:rPr>
              <w:fldChar w:fldCharType="end"/>
            </w:r>
          </w:hyperlink>
        </w:p>
        <w:p w14:paraId="737BC1A4" w14:textId="4BD96683" w:rsidR="00E165F5" w:rsidRPr="00D359BE" w:rsidRDefault="00E76D4D">
          <w:pPr>
            <w:pStyle w:val="Sommario1"/>
            <w:tabs>
              <w:tab w:val="left" w:pos="1320"/>
            </w:tabs>
            <w:rPr>
              <w:rFonts w:asciiTheme="minorHAnsi" w:eastAsiaTheme="minorEastAsia" w:hAnsiTheme="minorHAnsi" w:cstheme="minorBidi"/>
              <w:noProof/>
              <w:color w:val="000000" w:themeColor="text1"/>
            </w:rPr>
          </w:pPr>
          <w:hyperlink w:anchor="_Toc110501603" w:history="1">
            <w:r w:rsidR="00E165F5" w:rsidRPr="00D359BE">
              <w:rPr>
                <w:rStyle w:val="Collegamentoipertestuale"/>
                <w:noProof/>
                <w:color w:val="000000" w:themeColor="text1"/>
              </w:rPr>
              <w:t>Art. 13)</w:t>
            </w:r>
            <w:r w:rsidR="00E165F5" w:rsidRPr="00D359BE">
              <w:rPr>
                <w:rFonts w:asciiTheme="minorHAnsi" w:eastAsiaTheme="minorEastAsia" w:hAnsiTheme="minorHAnsi" w:cstheme="minorBidi"/>
                <w:noProof/>
                <w:color w:val="000000" w:themeColor="text1"/>
              </w:rPr>
              <w:tab/>
            </w:r>
            <w:r w:rsidR="00E165F5" w:rsidRPr="00D359BE">
              <w:rPr>
                <w:rStyle w:val="Collegamentoipertestuale"/>
                <w:noProof/>
                <w:color w:val="000000" w:themeColor="text1"/>
              </w:rPr>
              <w:t>Esempi di eventi che possono generare violazione di dati</w:t>
            </w:r>
            <w:r w:rsidR="00E165F5" w:rsidRPr="00D359BE">
              <w:rPr>
                <w:noProof/>
                <w:webHidden/>
                <w:color w:val="000000" w:themeColor="text1"/>
              </w:rPr>
              <w:tab/>
            </w:r>
            <w:r w:rsidR="00E165F5" w:rsidRPr="00D359BE">
              <w:rPr>
                <w:noProof/>
                <w:webHidden/>
                <w:color w:val="000000" w:themeColor="text1"/>
              </w:rPr>
              <w:fldChar w:fldCharType="begin"/>
            </w:r>
            <w:r w:rsidR="00E165F5" w:rsidRPr="00D359BE">
              <w:rPr>
                <w:noProof/>
                <w:webHidden/>
                <w:color w:val="000000" w:themeColor="text1"/>
              </w:rPr>
              <w:instrText xml:space="preserve"> PAGEREF _Toc110501603 \h </w:instrText>
            </w:r>
            <w:r w:rsidR="00E165F5" w:rsidRPr="00D359BE">
              <w:rPr>
                <w:noProof/>
                <w:webHidden/>
                <w:color w:val="000000" w:themeColor="text1"/>
              </w:rPr>
            </w:r>
            <w:r w:rsidR="00E165F5" w:rsidRPr="00D359BE">
              <w:rPr>
                <w:noProof/>
                <w:webHidden/>
                <w:color w:val="000000" w:themeColor="text1"/>
              </w:rPr>
              <w:fldChar w:fldCharType="separate"/>
            </w:r>
            <w:r w:rsidR="00E165F5" w:rsidRPr="00D359BE">
              <w:rPr>
                <w:noProof/>
                <w:webHidden/>
                <w:color w:val="000000" w:themeColor="text1"/>
              </w:rPr>
              <w:t>13</w:t>
            </w:r>
            <w:r w:rsidR="00E165F5" w:rsidRPr="00D359BE">
              <w:rPr>
                <w:noProof/>
                <w:webHidden/>
                <w:color w:val="000000" w:themeColor="text1"/>
              </w:rPr>
              <w:fldChar w:fldCharType="end"/>
            </w:r>
          </w:hyperlink>
        </w:p>
        <w:p w14:paraId="6DC0B8DF" w14:textId="0B91C7ED" w:rsidR="00E165F5" w:rsidRPr="00D359BE" w:rsidRDefault="00E76D4D">
          <w:pPr>
            <w:pStyle w:val="Sommario1"/>
            <w:tabs>
              <w:tab w:val="left" w:pos="1320"/>
            </w:tabs>
            <w:rPr>
              <w:rFonts w:asciiTheme="minorHAnsi" w:eastAsiaTheme="minorEastAsia" w:hAnsiTheme="minorHAnsi" w:cstheme="minorBidi"/>
              <w:noProof/>
              <w:color w:val="000000" w:themeColor="text1"/>
            </w:rPr>
          </w:pPr>
          <w:hyperlink w:anchor="_Toc110501604" w:history="1">
            <w:r w:rsidR="00E165F5" w:rsidRPr="00D359BE">
              <w:rPr>
                <w:rStyle w:val="Collegamentoipertestuale"/>
                <w:noProof/>
                <w:color w:val="000000" w:themeColor="text1"/>
              </w:rPr>
              <w:t>Art. 14)</w:t>
            </w:r>
            <w:r w:rsidR="00E165F5" w:rsidRPr="00D359BE">
              <w:rPr>
                <w:rFonts w:asciiTheme="minorHAnsi" w:eastAsiaTheme="minorEastAsia" w:hAnsiTheme="minorHAnsi" w:cstheme="minorBidi"/>
                <w:noProof/>
                <w:color w:val="000000" w:themeColor="text1"/>
              </w:rPr>
              <w:tab/>
            </w:r>
            <w:r w:rsidR="00E165F5" w:rsidRPr="00D359BE">
              <w:rPr>
                <w:rStyle w:val="Collegamentoipertestuale"/>
                <w:noProof/>
                <w:color w:val="000000" w:themeColor="text1"/>
              </w:rPr>
              <w:t>LINK RILEVANTI:</w:t>
            </w:r>
            <w:r w:rsidR="00E165F5" w:rsidRPr="00D359BE">
              <w:rPr>
                <w:noProof/>
                <w:webHidden/>
                <w:color w:val="000000" w:themeColor="text1"/>
              </w:rPr>
              <w:tab/>
            </w:r>
            <w:r w:rsidR="00E165F5" w:rsidRPr="00D359BE">
              <w:rPr>
                <w:noProof/>
                <w:webHidden/>
                <w:color w:val="000000" w:themeColor="text1"/>
              </w:rPr>
              <w:fldChar w:fldCharType="begin"/>
            </w:r>
            <w:r w:rsidR="00E165F5" w:rsidRPr="00D359BE">
              <w:rPr>
                <w:noProof/>
                <w:webHidden/>
                <w:color w:val="000000" w:themeColor="text1"/>
              </w:rPr>
              <w:instrText xml:space="preserve"> PAGEREF _Toc110501604 \h </w:instrText>
            </w:r>
            <w:r w:rsidR="00E165F5" w:rsidRPr="00D359BE">
              <w:rPr>
                <w:noProof/>
                <w:webHidden/>
                <w:color w:val="000000" w:themeColor="text1"/>
              </w:rPr>
            </w:r>
            <w:r w:rsidR="00E165F5" w:rsidRPr="00D359BE">
              <w:rPr>
                <w:noProof/>
                <w:webHidden/>
                <w:color w:val="000000" w:themeColor="text1"/>
              </w:rPr>
              <w:fldChar w:fldCharType="separate"/>
            </w:r>
            <w:r w:rsidR="00E165F5" w:rsidRPr="00D359BE">
              <w:rPr>
                <w:noProof/>
                <w:webHidden/>
                <w:color w:val="000000" w:themeColor="text1"/>
              </w:rPr>
              <w:t>15</w:t>
            </w:r>
            <w:r w:rsidR="00E165F5" w:rsidRPr="00D359BE">
              <w:rPr>
                <w:noProof/>
                <w:webHidden/>
                <w:color w:val="000000" w:themeColor="text1"/>
              </w:rPr>
              <w:fldChar w:fldCharType="end"/>
            </w:r>
          </w:hyperlink>
        </w:p>
        <w:p w14:paraId="0815ED6C" w14:textId="15812C70" w:rsidR="004930C1" w:rsidRDefault="002B6799">
          <w:pPr>
            <w:pStyle w:val="Sommario1"/>
            <w:tabs>
              <w:tab w:val="left" w:pos="1320"/>
            </w:tabs>
            <w:rPr>
              <w:rFonts w:asciiTheme="minorHAnsi" w:eastAsiaTheme="minorEastAsia" w:hAnsiTheme="minorHAnsi" w:cstheme="minorBidi"/>
              <w:color w:val="000000" w:themeColor="text1"/>
            </w:rPr>
          </w:pPr>
          <w:r w:rsidRPr="00D359BE">
            <w:rPr>
              <w:rStyle w:val="Saltoaindice"/>
              <w:color w:val="000000" w:themeColor="text1"/>
            </w:rPr>
            <w:fldChar w:fldCharType="end"/>
          </w:r>
        </w:p>
      </w:sdtContent>
    </w:sdt>
    <w:p w14:paraId="4C41EED2" w14:textId="77777777" w:rsidR="004930C1" w:rsidRDefault="002B6799">
      <w:pPr>
        <w:pStyle w:val="Sommario1"/>
        <w:tabs>
          <w:tab w:val="left" w:pos="1320"/>
        </w:tabs>
        <w:ind w:left="0"/>
        <w:rPr>
          <w:rFonts w:asciiTheme="minorHAnsi" w:eastAsiaTheme="minorEastAsia" w:hAnsiTheme="minorHAnsi" w:cstheme="minorBidi"/>
          <w:color w:val="000000" w:themeColor="text1"/>
        </w:rPr>
      </w:pPr>
      <w:r>
        <w:rPr>
          <w:rFonts w:eastAsiaTheme="minorEastAsia" w:cstheme="minorBidi"/>
          <w:color w:val="000000" w:themeColor="text1"/>
        </w:rPr>
        <w:t xml:space="preserve"> </w:t>
      </w:r>
    </w:p>
    <w:p w14:paraId="1873DD09" w14:textId="77777777" w:rsidR="004930C1" w:rsidRDefault="004930C1">
      <w:pPr>
        <w:ind w:left="142"/>
        <w:rPr>
          <w:color w:val="000000" w:themeColor="text1"/>
        </w:rPr>
      </w:pPr>
    </w:p>
    <w:p w14:paraId="2FF36794" w14:textId="77777777" w:rsidR="004930C1" w:rsidRDefault="002B6799">
      <w:pPr>
        <w:ind w:left="142"/>
        <w:jc w:val="both"/>
        <w:rPr>
          <w:color w:val="000000" w:themeColor="text1"/>
        </w:rPr>
      </w:pPr>
      <w:r>
        <w:br w:type="page"/>
      </w:r>
    </w:p>
    <w:p w14:paraId="27D97348" w14:textId="77777777" w:rsidR="004930C1" w:rsidRDefault="002B6799" w:rsidP="007A2135">
      <w:pPr>
        <w:pStyle w:val="Titolo1"/>
      </w:pPr>
      <w:bookmarkStart w:id="1" w:name="_Toc26539465"/>
      <w:bookmarkStart w:id="2" w:name="_Toc110501591"/>
      <w:r>
        <w:lastRenderedPageBreak/>
        <w:t>Premessa</w:t>
      </w:r>
      <w:bookmarkEnd w:id="1"/>
      <w:bookmarkEnd w:id="2"/>
    </w:p>
    <w:p w14:paraId="5C2854D1" w14:textId="77777777" w:rsidR="004930C1" w:rsidRDefault="002B6799">
      <w:pPr>
        <w:spacing w:line="320" w:lineRule="exact"/>
        <w:ind w:left="142"/>
        <w:jc w:val="both"/>
        <w:rPr>
          <w:rFonts w:ascii="Calibri" w:hAnsi="Calibri" w:cs="Calibri"/>
          <w:color w:val="000000" w:themeColor="text1"/>
          <w:sz w:val="20"/>
          <w:szCs w:val="20"/>
        </w:rPr>
      </w:pPr>
      <w:r>
        <w:rPr>
          <w:rFonts w:ascii="Calibri" w:hAnsi="Calibri" w:cs="Calibri"/>
          <w:color w:val="000000" w:themeColor="text1"/>
          <w:sz w:val="20"/>
          <w:szCs w:val="20"/>
        </w:rPr>
        <w:t>La prevenzione e la gestione del data breach è attualmente il punto cardine delle politiche di sicurezza che il legislatore europeo ha chiesto a chiunque svolga attività di trattamento dei dati personali. È fondamentale quindi che chi opera tale trattamento predisponga o implementi adeguate misure tecniche ed organizzative “adeguate” a prevenire il rischio che l'evento (data breach) si verifichi. Si tratta di accorgimenti che risultano necessari sia per prevenire la violazione dei dati personali, sia per reagire tempestivamente laddove un incidente si dovesse verificare. L'obiettivo fondamentale è quello di evitare che, attraverso la violazione dei dati personali, si verifichino rischi per i diritti e le libertà fondamentali degli interessati i cui dati sono coinvolti nel data breach.</w:t>
      </w:r>
    </w:p>
    <w:p w14:paraId="124AB098" w14:textId="77777777" w:rsidR="004930C1" w:rsidRDefault="002B6799" w:rsidP="007A2135">
      <w:pPr>
        <w:pStyle w:val="Titolo1"/>
      </w:pPr>
      <w:bookmarkStart w:id="3" w:name="_Toc26539466"/>
      <w:bookmarkStart w:id="4" w:name="_Toc110501592"/>
      <w:r>
        <w:t>Scopo del documento e ambito di applicazione</w:t>
      </w:r>
      <w:bookmarkEnd w:id="3"/>
      <w:bookmarkEnd w:id="4"/>
    </w:p>
    <w:p w14:paraId="56656274" w14:textId="3627A6A9" w:rsidR="004930C1" w:rsidRDefault="002B6799">
      <w:pPr>
        <w:spacing w:line="320" w:lineRule="exact"/>
        <w:ind w:left="142"/>
        <w:jc w:val="both"/>
        <w:rPr>
          <w:rFonts w:ascii="Calibri" w:hAnsi="Calibri" w:cs="Calibri"/>
          <w:color w:val="000000" w:themeColor="text1"/>
          <w:sz w:val="20"/>
          <w:szCs w:val="20"/>
        </w:rPr>
      </w:pPr>
      <w:r>
        <w:rPr>
          <w:rFonts w:ascii="Calibri" w:hAnsi="Calibri" w:cs="Calibri"/>
          <w:color w:val="000000" w:themeColor="text1"/>
          <w:sz w:val="20"/>
          <w:szCs w:val="20"/>
        </w:rPr>
        <w:t>Con il presente documento</w:t>
      </w:r>
      <w:r w:rsidR="00523246">
        <w:rPr>
          <w:rFonts w:ascii="Calibri" w:hAnsi="Calibri" w:cs="Calibri"/>
          <w:color w:val="000000" w:themeColor="text1"/>
          <w:sz w:val="20"/>
          <w:szCs w:val="20"/>
        </w:rPr>
        <w:t xml:space="preserve"> </w:t>
      </w:r>
      <w:r w:rsidR="00D7500F">
        <w:rPr>
          <w:rFonts w:ascii="Calibri" w:hAnsi="Calibri" w:cs="Calibri"/>
          <w:color w:val="000000" w:themeColor="text1"/>
          <w:sz w:val="20"/>
          <w:szCs w:val="20"/>
        </w:rPr>
        <w:t xml:space="preserve">Il </w:t>
      </w:r>
      <w:r w:rsidR="00D7500F" w:rsidRPr="00907A2C">
        <w:rPr>
          <w:rFonts w:ascii="Calibri" w:hAnsi="Calibri" w:cs="Calibri"/>
          <w:color w:val="000000" w:themeColor="text1"/>
          <w:sz w:val="20"/>
          <w:szCs w:val="20"/>
        </w:rPr>
        <w:t xml:space="preserve">Comune di </w:t>
      </w:r>
      <w:r w:rsidR="00B721AD">
        <w:rPr>
          <w:rFonts w:ascii="Calibri" w:hAnsi="Calibri" w:cs="Calibri"/>
          <w:color w:val="000000" w:themeColor="text1"/>
          <w:sz w:val="20"/>
          <w:szCs w:val="20"/>
        </w:rPr>
        <w:t>Ortacesus</w:t>
      </w:r>
      <w:r>
        <w:rPr>
          <w:rFonts w:ascii="Calibri" w:hAnsi="Calibri" w:cs="Calibri"/>
          <w:color w:val="000000" w:themeColor="text1"/>
          <w:sz w:val="20"/>
          <w:szCs w:val="20"/>
        </w:rPr>
        <w:t xml:space="preserve"> (di seguito anche “</w:t>
      </w:r>
      <w:r w:rsidR="00D7500F">
        <w:rPr>
          <w:rFonts w:ascii="Calibri" w:hAnsi="Calibri" w:cs="Calibri"/>
          <w:b/>
          <w:bCs/>
          <w:color w:val="000000" w:themeColor="text1"/>
          <w:sz w:val="20"/>
          <w:szCs w:val="20"/>
        </w:rPr>
        <w:t>Comune</w:t>
      </w:r>
      <w:r>
        <w:rPr>
          <w:rFonts w:ascii="Calibri" w:hAnsi="Calibri" w:cs="Calibri"/>
          <w:color w:val="000000" w:themeColor="text1"/>
          <w:sz w:val="20"/>
          <w:szCs w:val="20"/>
        </w:rPr>
        <w:t>” o “</w:t>
      </w:r>
      <w:r>
        <w:rPr>
          <w:rFonts w:ascii="Calibri" w:hAnsi="Calibri" w:cs="Calibri"/>
          <w:b/>
          <w:bCs/>
          <w:color w:val="000000" w:themeColor="text1"/>
          <w:sz w:val="20"/>
          <w:szCs w:val="20"/>
        </w:rPr>
        <w:t>Titolare del trattamento</w:t>
      </w:r>
      <w:r>
        <w:rPr>
          <w:rFonts w:ascii="Calibri" w:hAnsi="Calibri" w:cs="Calibri"/>
          <w:color w:val="000000" w:themeColor="text1"/>
          <w:sz w:val="20"/>
          <w:szCs w:val="20"/>
        </w:rPr>
        <w:t>”), stabilisce le opportune e corrette modalità di gestione del data breach alla luce della normativa vigente in materia di trattamento dei dati personali.</w:t>
      </w:r>
    </w:p>
    <w:p w14:paraId="68C0B896" w14:textId="48B75E68" w:rsidR="00523246" w:rsidRPr="00523246" w:rsidRDefault="00523246" w:rsidP="00523246">
      <w:pPr>
        <w:spacing w:line="320" w:lineRule="exact"/>
        <w:ind w:left="142"/>
        <w:jc w:val="both"/>
        <w:rPr>
          <w:rFonts w:ascii="Calibri" w:hAnsi="Calibri" w:cs="Calibri"/>
          <w:color w:val="000000" w:themeColor="text1"/>
          <w:sz w:val="20"/>
          <w:szCs w:val="20"/>
        </w:rPr>
      </w:pPr>
      <w:r w:rsidRPr="00523246">
        <w:rPr>
          <w:rFonts w:ascii="Calibri" w:hAnsi="Calibri" w:cs="Calibri"/>
          <w:color w:val="000000" w:themeColor="text1"/>
          <w:sz w:val="20"/>
          <w:szCs w:val="20"/>
        </w:rPr>
        <w:t>La presente procedura viene approvata da</w:t>
      </w:r>
      <w:r w:rsidR="00D7500F">
        <w:rPr>
          <w:rFonts w:ascii="Calibri" w:hAnsi="Calibri" w:cs="Calibri"/>
          <w:color w:val="000000" w:themeColor="text1"/>
          <w:sz w:val="20"/>
          <w:szCs w:val="20"/>
        </w:rPr>
        <w:t>l</w:t>
      </w:r>
      <w:r w:rsidRPr="00523246">
        <w:rPr>
          <w:rFonts w:ascii="Calibri" w:hAnsi="Calibri" w:cs="Calibri"/>
          <w:color w:val="000000" w:themeColor="text1"/>
          <w:sz w:val="20"/>
          <w:szCs w:val="20"/>
        </w:rPr>
        <w:t xml:space="preserve"> </w:t>
      </w:r>
      <w:r w:rsidR="00D7500F">
        <w:rPr>
          <w:rFonts w:ascii="Calibri" w:hAnsi="Calibri" w:cs="Calibri"/>
          <w:color w:val="000000" w:themeColor="text1"/>
          <w:sz w:val="20"/>
          <w:szCs w:val="20"/>
        </w:rPr>
        <w:t>Comune</w:t>
      </w:r>
      <w:r w:rsidRPr="00523246">
        <w:rPr>
          <w:rFonts w:ascii="Calibri" w:hAnsi="Calibri" w:cs="Calibri"/>
          <w:color w:val="000000" w:themeColor="text1"/>
          <w:sz w:val="20"/>
          <w:szCs w:val="20"/>
        </w:rPr>
        <w:t xml:space="preserve"> </w:t>
      </w:r>
      <w:r w:rsidR="00907A2C">
        <w:rPr>
          <w:rFonts w:ascii="Calibri" w:hAnsi="Calibri" w:cs="Calibri"/>
          <w:color w:val="000000" w:themeColor="text1"/>
          <w:sz w:val="20"/>
          <w:szCs w:val="20"/>
        </w:rPr>
        <w:t xml:space="preserve">di </w:t>
      </w:r>
      <w:r w:rsidR="00B721AD">
        <w:rPr>
          <w:rFonts w:ascii="Calibri" w:hAnsi="Calibri" w:cs="Calibri"/>
          <w:color w:val="000000" w:themeColor="text1"/>
          <w:sz w:val="20"/>
          <w:szCs w:val="20"/>
        </w:rPr>
        <w:t>Ortacesus</w:t>
      </w:r>
      <w:r w:rsidR="00907A2C">
        <w:rPr>
          <w:rFonts w:ascii="Calibri" w:hAnsi="Calibri" w:cs="Calibri"/>
          <w:color w:val="000000" w:themeColor="text1"/>
          <w:sz w:val="20"/>
          <w:szCs w:val="20"/>
        </w:rPr>
        <w:t>,</w:t>
      </w:r>
      <w:r w:rsidRPr="00523246">
        <w:rPr>
          <w:rFonts w:ascii="Calibri" w:hAnsi="Calibri" w:cs="Calibri"/>
          <w:color w:val="000000" w:themeColor="text1"/>
          <w:sz w:val="20"/>
          <w:szCs w:val="20"/>
        </w:rPr>
        <w:t xml:space="preserve"> nella persona del</w:t>
      </w:r>
      <w:r w:rsidR="00D7500F">
        <w:rPr>
          <w:rFonts w:ascii="Calibri" w:hAnsi="Calibri" w:cs="Calibri"/>
          <w:color w:val="000000" w:themeColor="text1"/>
          <w:sz w:val="20"/>
          <w:szCs w:val="20"/>
        </w:rPr>
        <w:t xml:space="preserve"> Sindaco quale</w:t>
      </w:r>
      <w:r w:rsidRPr="00523246">
        <w:rPr>
          <w:rFonts w:ascii="Calibri" w:hAnsi="Calibri" w:cs="Calibri"/>
          <w:color w:val="000000" w:themeColor="text1"/>
          <w:sz w:val="20"/>
          <w:szCs w:val="20"/>
        </w:rPr>
        <w:t xml:space="preserve"> Suo legale rappresentante pro tempore, </w:t>
      </w:r>
      <w:r w:rsidR="00D7500F">
        <w:rPr>
          <w:rFonts w:ascii="Calibri" w:hAnsi="Calibri" w:cs="Calibri"/>
          <w:color w:val="000000" w:themeColor="text1"/>
          <w:sz w:val="20"/>
          <w:szCs w:val="20"/>
        </w:rPr>
        <w:t>il</w:t>
      </w:r>
      <w:r w:rsidRPr="00523246">
        <w:rPr>
          <w:rFonts w:ascii="Calibri" w:hAnsi="Calibri" w:cs="Calibri"/>
          <w:color w:val="000000" w:themeColor="text1"/>
          <w:sz w:val="20"/>
          <w:szCs w:val="20"/>
        </w:rPr>
        <w:t xml:space="preserve"> quale provvederà a disporre, qualora si rendessero necessarie, eventuali modifiche o integrazioni.</w:t>
      </w:r>
    </w:p>
    <w:p w14:paraId="4476504C" w14:textId="7BB06DA8" w:rsidR="00523246" w:rsidRPr="00523246" w:rsidRDefault="00523246" w:rsidP="00523246">
      <w:pPr>
        <w:spacing w:line="320" w:lineRule="exact"/>
        <w:ind w:left="142"/>
        <w:jc w:val="both"/>
        <w:rPr>
          <w:rFonts w:ascii="Calibri" w:hAnsi="Calibri" w:cs="Calibri"/>
          <w:color w:val="000000" w:themeColor="text1"/>
          <w:sz w:val="20"/>
          <w:szCs w:val="20"/>
        </w:rPr>
      </w:pPr>
      <w:r w:rsidRPr="00523246">
        <w:rPr>
          <w:rFonts w:ascii="Calibri" w:hAnsi="Calibri" w:cs="Calibri"/>
          <w:color w:val="000000" w:themeColor="text1"/>
          <w:sz w:val="20"/>
          <w:szCs w:val="20"/>
        </w:rPr>
        <w:t xml:space="preserve">Al fine di garantirne la massima diffusione interna ed esterna e la massima conoscibilità sulle azioni da intraprendere e sui comportamenti da adottare in caso di data breach, la presente viene comunicata a tutti i dipendenti e collaboratori del </w:t>
      </w:r>
      <w:r w:rsidR="00D7500F">
        <w:rPr>
          <w:rFonts w:ascii="Calibri" w:hAnsi="Calibri" w:cs="Calibri"/>
          <w:color w:val="000000" w:themeColor="text1"/>
          <w:sz w:val="20"/>
          <w:szCs w:val="20"/>
        </w:rPr>
        <w:t>Comune</w:t>
      </w:r>
      <w:r w:rsidRPr="00523246">
        <w:rPr>
          <w:rFonts w:ascii="Calibri" w:hAnsi="Calibri" w:cs="Calibri"/>
          <w:color w:val="000000" w:themeColor="text1"/>
          <w:sz w:val="20"/>
          <w:szCs w:val="20"/>
        </w:rPr>
        <w:t xml:space="preserve"> dopo la sua approvazione.</w:t>
      </w:r>
    </w:p>
    <w:p w14:paraId="6BB64AA9" w14:textId="09F34C7A" w:rsidR="00523246" w:rsidRDefault="00523246" w:rsidP="00523246">
      <w:pPr>
        <w:spacing w:line="320" w:lineRule="exact"/>
        <w:ind w:left="142"/>
        <w:jc w:val="both"/>
        <w:rPr>
          <w:rFonts w:ascii="Calibri" w:hAnsi="Calibri" w:cs="Calibri"/>
          <w:color w:val="000000" w:themeColor="text1"/>
          <w:sz w:val="20"/>
          <w:szCs w:val="20"/>
        </w:rPr>
      </w:pPr>
      <w:r w:rsidRPr="00523246">
        <w:rPr>
          <w:rFonts w:ascii="Calibri" w:hAnsi="Calibri" w:cs="Calibri"/>
          <w:color w:val="000000" w:themeColor="text1"/>
          <w:sz w:val="20"/>
          <w:szCs w:val="20"/>
        </w:rPr>
        <w:t>La policy verrà verificata, ad intervalli regolari, a cura del titolare del trattamento, col supporto del DPO nominato.</w:t>
      </w:r>
    </w:p>
    <w:p w14:paraId="0A7ECE91" w14:textId="77777777" w:rsidR="004930C1" w:rsidRDefault="002B6799" w:rsidP="007A2135">
      <w:pPr>
        <w:pStyle w:val="Titolo1"/>
      </w:pPr>
      <w:bookmarkStart w:id="5" w:name="_Toc26539467"/>
      <w:bookmarkStart w:id="6" w:name="_Toc110501593"/>
      <w:r>
        <w:t>Definizioni</w:t>
      </w:r>
      <w:bookmarkEnd w:id="5"/>
      <w:bookmarkEnd w:id="6"/>
    </w:p>
    <w:p w14:paraId="3DC73CA9" w14:textId="77777777" w:rsidR="004930C1" w:rsidRDefault="002B6799">
      <w:pPr>
        <w:spacing w:line="320" w:lineRule="exact"/>
        <w:ind w:left="142"/>
        <w:jc w:val="both"/>
        <w:rPr>
          <w:rFonts w:ascii="Calibri" w:hAnsi="Calibri" w:cs="Calibri"/>
          <w:color w:val="000000" w:themeColor="text1"/>
          <w:sz w:val="20"/>
          <w:szCs w:val="20"/>
        </w:rPr>
      </w:pPr>
      <w:r>
        <w:rPr>
          <w:rFonts w:ascii="Calibri" w:hAnsi="Calibri" w:cs="Calibri"/>
          <w:b/>
          <w:color w:val="000000" w:themeColor="text1"/>
          <w:sz w:val="20"/>
          <w:szCs w:val="20"/>
        </w:rPr>
        <w:t>Dato personale:</w:t>
      </w:r>
      <w:r>
        <w:rPr>
          <w:rFonts w:ascii="Calibri" w:hAnsi="Calibri" w:cs="Calibri"/>
          <w:color w:val="000000" w:themeColor="text1"/>
          <w:sz w:val="20"/>
          <w:szCs w:val="20"/>
        </w:rPr>
        <w:t xml:space="preserv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1F6EEAC6" w14:textId="77777777" w:rsidR="004930C1" w:rsidRDefault="002B6799">
      <w:pPr>
        <w:spacing w:line="320" w:lineRule="exact"/>
        <w:ind w:left="142"/>
        <w:jc w:val="both"/>
        <w:rPr>
          <w:rFonts w:ascii="Calibri" w:hAnsi="Calibri" w:cs="Calibri"/>
          <w:color w:val="000000" w:themeColor="text1"/>
          <w:sz w:val="20"/>
          <w:szCs w:val="20"/>
        </w:rPr>
      </w:pPr>
      <w:r>
        <w:rPr>
          <w:rFonts w:ascii="Calibri" w:hAnsi="Calibri" w:cs="Calibri"/>
          <w:b/>
          <w:color w:val="000000" w:themeColor="text1"/>
          <w:sz w:val="20"/>
          <w:szCs w:val="20"/>
        </w:rPr>
        <w:t>Trattamento:</w:t>
      </w:r>
      <w:r>
        <w:rPr>
          <w:rFonts w:ascii="Calibri" w:hAnsi="Calibri" w:cs="Calibri"/>
          <w:color w:val="000000" w:themeColor="text1"/>
          <w:sz w:val="20"/>
          <w:szCs w:val="20"/>
        </w:rPr>
        <w:t xml:space="preserv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14:paraId="7D317D6D" w14:textId="77777777" w:rsidR="004930C1" w:rsidRDefault="002B6799">
      <w:pPr>
        <w:spacing w:line="320" w:lineRule="exact"/>
        <w:ind w:left="142"/>
        <w:jc w:val="both"/>
        <w:rPr>
          <w:rFonts w:ascii="Calibri" w:hAnsi="Calibri" w:cs="Calibri"/>
          <w:color w:val="000000" w:themeColor="text1"/>
          <w:sz w:val="20"/>
          <w:szCs w:val="20"/>
        </w:rPr>
      </w:pPr>
      <w:r>
        <w:rPr>
          <w:rFonts w:ascii="Calibri" w:hAnsi="Calibri" w:cs="Calibri"/>
          <w:b/>
          <w:color w:val="000000" w:themeColor="text1"/>
          <w:sz w:val="20"/>
          <w:szCs w:val="20"/>
        </w:rPr>
        <w:t>Violazione dei dati personali (data breach):</w:t>
      </w:r>
      <w:r>
        <w:rPr>
          <w:rFonts w:ascii="Calibri" w:hAnsi="Calibri" w:cs="Calibri"/>
          <w:color w:val="000000" w:themeColor="text1"/>
          <w:sz w:val="20"/>
          <w:szCs w:val="20"/>
        </w:rPr>
        <w:t xml:space="preserve"> la violazione di sicurezza che comporta accidentalmente o in modo illecito la distruzione, la perdita, la modifica, la divulgazione non autorizzata o l'accesso ai dati personali trasmessi, conservati o comunque trattati.</w:t>
      </w:r>
    </w:p>
    <w:p w14:paraId="6EA5B415" w14:textId="77777777" w:rsidR="004930C1" w:rsidRDefault="002B6799" w:rsidP="007A2135">
      <w:pPr>
        <w:pStyle w:val="Titolo1"/>
      </w:pPr>
      <w:bookmarkStart w:id="7" w:name="_Toc26539468"/>
      <w:bookmarkStart w:id="8" w:name="_Toc110501594"/>
      <w:r>
        <w:t>Fonti normative e regolamentari di riferimento</w:t>
      </w:r>
      <w:bookmarkEnd w:id="7"/>
      <w:bookmarkEnd w:id="8"/>
    </w:p>
    <w:p w14:paraId="65FA82A3"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Regolamento UE 2016/679 del Parlamento europeo e del Consiglio del 27 aprile 2016, relativo alla protezione delle persone fisiche con riguardo al trattamento dei dati personali, nonché alla libera circolazione di tali dati, di seguito anche indicato come “GDPR”; articoli 33 e 34, Considerando 85, 87 e 88.</w:t>
      </w:r>
    </w:p>
    <w:p w14:paraId="56728E8A" w14:textId="2E2D1812"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lastRenderedPageBreak/>
        <w:t xml:space="preserve">D.lgs. 30 giugno 2003 n. 196 – Codice in materia di protezione dei dati personali – così come modificato dal D.lgs. n° 101/2018, </w:t>
      </w:r>
      <w:r w:rsidR="002B7410" w:rsidRPr="002B7410">
        <w:rPr>
          <w:rFonts w:ascii="Calibri" w:hAnsi="Calibri" w:cs="Calibri"/>
          <w:color w:val="000000" w:themeColor="text1"/>
          <w:sz w:val="20"/>
          <w:szCs w:val="20"/>
        </w:rPr>
        <w:t>dal decreto-legge 8 ottobre 2021, n. 139, convertito, con modificazioni, dalla legge 3 dicembre 2021, n. 205 e dal decreto-legge 30 settembre 2021, n. 132, convertito, con modificazioni, dalla legge 23 novembre 2021, n. 178</w:t>
      </w:r>
      <w:r w:rsidR="002B7410">
        <w:rPr>
          <w:rFonts w:ascii="Calibri" w:hAnsi="Calibri" w:cs="Calibri"/>
          <w:color w:val="000000" w:themeColor="text1"/>
          <w:sz w:val="20"/>
          <w:szCs w:val="20"/>
        </w:rPr>
        <w:t xml:space="preserve"> – </w:t>
      </w:r>
      <w:r>
        <w:rPr>
          <w:rFonts w:ascii="Calibri" w:hAnsi="Calibri" w:cs="Calibri"/>
          <w:color w:val="000000" w:themeColor="text1"/>
          <w:sz w:val="20"/>
          <w:szCs w:val="20"/>
        </w:rPr>
        <w:t>di seguito anche indicato come “Codice Privacy”.</w:t>
      </w:r>
    </w:p>
    <w:p w14:paraId="03D3307C"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Comitato europeo (EDPB ex WP29), Opinion 03/2014 on Personal Data Breach Notification.</w:t>
      </w:r>
    </w:p>
    <w:p w14:paraId="57F7AB2F"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lang w:val="en-US"/>
        </w:rPr>
      </w:pPr>
      <w:r>
        <w:rPr>
          <w:rFonts w:ascii="Calibri" w:hAnsi="Calibri" w:cs="Calibri"/>
          <w:color w:val="000000" w:themeColor="text1"/>
          <w:sz w:val="20"/>
          <w:szCs w:val="20"/>
          <w:lang w:val="en-US"/>
        </w:rPr>
        <w:t>Linee guida del Comitato europeo – WP250 (EDPB ex WP29) del 6 febbraio 2018 (Guidelines on Personal data breach notification under Regulation 2016/679 – article 29 data protection working party (Adopted on 3 October 2017 – as last Revised and Adopted on 6 February 2018).</w:t>
      </w:r>
    </w:p>
    <w:p w14:paraId="536F155F" w14:textId="2DCCD1B3" w:rsidR="004930C1" w:rsidRDefault="002B6799">
      <w:pPr>
        <w:pStyle w:val="Paragrafoelenco"/>
        <w:numPr>
          <w:ilvl w:val="0"/>
          <w:numId w:val="3"/>
        </w:numPr>
        <w:spacing w:line="320" w:lineRule="exact"/>
        <w:jc w:val="both"/>
        <w:rPr>
          <w:rFonts w:ascii="Calibri" w:hAnsi="Calibri" w:cs="Calibri"/>
          <w:color w:val="000000" w:themeColor="text1"/>
          <w:sz w:val="20"/>
          <w:szCs w:val="20"/>
          <w:lang w:val="en-US"/>
        </w:rPr>
      </w:pPr>
      <w:r>
        <w:rPr>
          <w:rFonts w:ascii="Calibri" w:hAnsi="Calibri" w:cs="Calibri"/>
          <w:color w:val="000000" w:themeColor="text1"/>
          <w:sz w:val="20"/>
          <w:szCs w:val="20"/>
          <w:lang w:val="en-US"/>
        </w:rPr>
        <w:t xml:space="preserve">Linee guida 1/2021 del Comitato europeo </w:t>
      </w:r>
      <w:r w:rsidR="002C38FA">
        <w:rPr>
          <w:rFonts w:ascii="Calibri" w:hAnsi="Calibri" w:cs="Calibri"/>
          <w:color w:val="000000" w:themeColor="text1"/>
          <w:sz w:val="20"/>
          <w:szCs w:val="20"/>
          <w:lang w:val="en-US"/>
        </w:rPr>
        <w:t>–</w:t>
      </w:r>
      <w:r>
        <w:rPr>
          <w:rFonts w:ascii="Calibri" w:hAnsi="Calibri" w:cs="Calibri"/>
          <w:color w:val="000000" w:themeColor="text1"/>
          <w:sz w:val="20"/>
          <w:szCs w:val="20"/>
          <w:lang w:val="en-US"/>
        </w:rPr>
        <w:t xml:space="preserve"> Guidelines</w:t>
      </w:r>
      <w:r w:rsidR="002C38FA">
        <w:rPr>
          <w:rFonts w:ascii="Calibri" w:hAnsi="Calibri" w:cs="Calibri"/>
          <w:color w:val="000000" w:themeColor="text1"/>
          <w:sz w:val="20"/>
          <w:szCs w:val="20"/>
          <w:lang w:val="en-US"/>
        </w:rPr>
        <w:t xml:space="preserve"> EDPB</w:t>
      </w:r>
      <w:r>
        <w:rPr>
          <w:rFonts w:ascii="Calibri" w:hAnsi="Calibri" w:cs="Calibri"/>
          <w:color w:val="000000" w:themeColor="text1"/>
          <w:sz w:val="20"/>
          <w:szCs w:val="20"/>
          <w:lang w:val="en-US"/>
        </w:rPr>
        <w:t xml:space="preserve"> 01/2021 on Examples regarding </w:t>
      </w:r>
      <w:r w:rsidR="006768B5">
        <w:rPr>
          <w:rFonts w:ascii="Calibri" w:hAnsi="Calibri" w:cs="Calibri"/>
          <w:color w:val="000000" w:themeColor="text1"/>
          <w:sz w:val="20"/>
          <w:szCs w:val="20"/>
          <w:lang w:val="en-US"/>
        </w:rPr>
        <w:t>d</w:t>
      </w:r>
      <w:r>
        <w:rPr>
          <w:rFonts w:ascii="Calibri" w:hAnsi="Calibri" w:cs="Calibri"/>
          <w:color w:val="000000" w:themeColor="text1"/>
          <w:sz w:val="20"/>
          <w:szCs w:val="20"/>
          <w:lang w:val="en-US"/>
        </w:rPr>
        <w:t xml:space="preserve">ata </w:t>
      </w:r>
      <w:r w:rsidR="006768B5">
        <w:rPr>
          <w:rFonts w:ascii="Calibri" w:hAnsi="Calibri" w:cs="Calibri"/>
          <w:color w:val="000000" w:themeColor="text1"/>
          <w:sz w:val="20"/>
          <w:szCs w:val="20"/>
          <w:lang w:val="en-US"/>
        </w:rPr>
        <w:t>b</w:t>
      </w:r>
      <w:r>
        <w:rPr>
          <w:rFonts w:ascii="Calibri" w:hAnsi="Calibri" w:cs="Calibri"/>
          <w:color w:val="000000" w:themeColor="text1"/>
          <w:sz w:val="20"/>
          <w:szCs w:val="20"/>
          <w:lang w:val="en-US"/>
        </w:rPr>
        <w:t>reach N</w:t>
      </w:r>
      <w:r w:rsidR="006768B5">
        <w:rPr>
          <w:rFonts w:ascii="Calibri" w:hAnsi="Calibri" w:cs="Calibri"/>
          <w:color w:val="000000" w:themeColor="text1"/>
          <w:sz w:val="20"/>
          <w:szCs w:val="20"/>
          <w:lang w:val="en-US"/>
        </w:rPr>
        <w:t>ìn</w:t>
      </w:r>
      <w:r>
        <w:rPr>
          <w:rFonts w:ascii="Calibri" w:hAnsi="Calibri" w:cs="Calibri"/>
          <w:color w:val="000000" w:themeColor="text1"/>
          <w:sz w:val="20"/>
          <w:szCs w:val="20"/>
          <w:lang w:val="en-US"/>
        </w:rPr>
        <w:t>otification</w:t>
      </w:r>
    </w:p>
    <w:p w14:paraId="62EB3BEF" w14:textId="6780337A" w:rsidR="00BB10DA" w:rsidRPr="00BB10DA" w:rsidRDefault="00BB10DA" w:rsidP="00BB10DA">
      <w:pPr>
        <w:pStyle w:val="Paragrafoelenco"/>
        <w:numPr>
          <w:ilvl w:val="0"/>
          <w:numId w:val="3"/>
        </w:numPr>
        <w:spacing w:line="320" w:lineRule="exact"/>
        <w:jc w:val="both"/>
        <w:rPr>
          <w:rFonts w:ascii="Calibri" w:hAnsi="Calibri" w:cs="Calibri"/>
          <w:color w:val="000000" w:themeColor="text1"/>
          <w:sz w:val="20"/>
          <w:szCs w:val="20"/>
        </w:rPr>
      </w:pPr>
      <w:r w:rsidRPr="00BB10DA">
        <w:rPr>
          <w:rFonts w:ascii="Calibri" w:hAnsi="Calibri" w:cs="Calibri"/>
          <w:color w:val="000000" w:themeColor="text1"/>
          <w:sz w:val="20"/>
          <w:szCs w:val="20"/>
        </w:rPr>
        <w:t xml:space="preserve">Linee guida 9/2022 del Comitato europeo </w:t>
      </w:r>
      <w:r w:rsidR="002C38FA">
        <w:rPr>
          <w:rFonts w:ascii="Calibri" w:hAnsi="Calibri" w:cs="Calibri"/>
          <w:color w:val="000000" w:themeColor="text1"/>
          <w:sz w:val="20"/>
          <w:szCs w:val="20"/>
        </w:rPr>
        <w:t>–</w:t>
      </w:r>
      <w:r w:rsidRPr="00BB10DA">
        <w:rPr>
          <w:rFonts w:ascii="Calibri" w:hAnsi="Calibri" w:cs="Calibri"/>
          <w:color w:val="000000" w:themeColor="text1"/>
          <w:sz w:val="20"/>
          <w:szCs w:val="20"/>
        </w:rPr>
        <w:t xml:space="preserve"> Guidelines</w:t>
      </w:r>
      <w:r w:rsidR="002C38FA">
        <w:rPr>
          <w:rFonts w:ascii="Calibri" w:hAnsi="Calibri" w:cs="Calibri"/>
          <w:color w:val="000000" w:themeColor="text1"/>
          <w:sz w:val="20"/>
          <w:szCs w:val="20"/>
        </w:rPr>
        <w:t xml:space="preserve"> EDPB</w:t>
      </w:r>
      <w:r w:rsidRPr="00BB10DA">
        <w:rPr>
          <w:rFonts w:ascii="Calibri" w:hAnsi="Calibri" w:cs="Calibri"/>
          <w:color w:val="000000" w:themeColor="text1"/>
          <w:sz w:val="20"/>
          <w:szCs w:val="20"/>
        </w:rPr>
        <w:t xml:space="preserve"> 0</w:t>
      </w:r>
      <w:r w:rsidR="002C38FA">
        <w:rPr>
          <w:rFonts w:ascii="Calibri" w:hAnsi="Calibri" w:cs="Calibri"/>
          <w:color w:val="000000" w:themeColor="text1"/>
          <w:sz w:val="20"/>
          <w:szCs w:val="20"/>
        </w:rPr>
        <w:t>9</w:t>
      </w:r>
      <w:r w:rsidRPr="00BB10DA">
        <w:rPr>
          <w:rFonts w:ascii="Calibri" w:hAnsi="Calibri" w:cs="Calibri"/>
          <w:color w:val="000000" w:themeColor="text1"/>
          <w:sz w:val="20"/>
          <w:szCs w:val="20"/>
        </w:rPr>
        <w:t>/202</w:t>
      </w:r>
      <w:r w:rsidR="002C38FA">
        <w:rPr>
          <w:rFonts w:ascii="Calibri" w:hAnsi="Calibri" w:cs="Calibri"/>
          <w:color w:val="000000" w:themeColor="text1"/>
          <w:sz w:val="20"/>
          <w:szCs w:val="20"/>
        </w:rPr>
        <w:t>2</w:t>
      </w:r>
      <w:r w:rsidRPr="00BB10DA">
        <w:rPr>
          <w:rFonts w:ascii="Calibri" w:hAnsi="Calibri" w:cs="Calibri"/>
          <w:color w:val="000000" w:themeColor="text1"/>
          <w:sz w:val="20"/>
          <w:szCs w:val="20"/>
        </w:rPr>
        <w:t xml:space="preserve"> on </w:t>
      </w:r>
      <w:r w:rsidR="002C38FA">
        <w:rPr>
          <w:rFonts w:ascii="Calibri" w:hAnsi="Calibri" w:cs="Calibri"/>
          <w:color w:val="000000" w:themeColor="text1"/>
          <w:sz w:val="20"/>
          <w:szCs w:val="20"/>
        </w:rPr>
        <w:t>p</w:t>
      </w:r>
      <w:r w:rsidRPr="00BB10DA">
        <w:rPr>
          <w:rFonts w:ascii="Calibri" w:hAnsi="Calibri" w:cs="Calibri"/>
          <w:color w:val="000000" w:themeColor="text1"/>
          <w:sz w:val="20"/>
          <w:szCs w:val="20"/>
        </w:rPr>
        <w:t xml:space="preserve">ersonal </w:t>
      </w:r>
      <w:r w:rsidR="006768B5">
        <w:rPr>
          <w:rFonts w:ascii="Calibri" w:hAnsi="Calibri" w:cs="Calibri"/>
          <w:color w:val="000000" w:themeColor="text1"/>
          <w:sz w:val="20"/>
          <w:szCs w:val="20"/>
        </w:rPr>
        <w:t>d</w:t>
      </w:r>
      <w:r w:rsidRPr="00BB10DA">
        <w:rPr>
          <w:rFonts w:ascii="Calibri" w:hAnsi="Calibri" w:cs="Calibri"/>
          <w:color w:val="000000" w:themeColor="text1"/>
          <w:sz w:val="20"/>
          <w:szCs w:val="20"/>
        </w:rPr>
        <w:t xml:space="preserve">ata </w:t>
      </w:r>
      <w:r w:rsidR="006768B5">
        <w:rPr>
          <w:rFonts w:ascii="Calibri" w:hAnsi="Calibri" w:cs="Calibri"/>
          <w:color w:val="000000" w:themeColor="text1"/>
          <w:sz w:val="20"/>
          <w:szCs w:val="20"/>
        </w:rPr>
        <w:t>b</w:t>
      </w:r>
      <w:r w:rsidRPr="00BB10DA">
        <w:rPr>
          <w:rFonts w:ascii="Calibri" w:hAnsi="Calibri" w:cs="Calibri"/>
          <w:color w:val="000000" w:themeColor="text1"/>
          <w:sz w:val="20"/>
          <w:szCs w:val="20"/>
        </w:rPr>
        <w:t xml:space="preserve">reach </w:t>
      </w:r>
      <w:r w:rsidR="006768B5">
        <w:rPr>
          <w:rFonts w:ascii="Calibri" w:hAnsi="Calibri" w:cs="Calibri"/>
          <w:color w:val="000000" w:themeColor="text1"/>
          <w:sz w:val="20"/>
          <w:szCs w:val="20"/>
        </w:rPr>
        <w:t>n</w:t>
      </w:r>
      <w:r w:rsidRPr="00BB10DA">
        <w:rPr>
          <w:rFonts w:ascii="Calibri" w:hAnsi="Calibri" w:cs="Calibri"/>
          <w:color w:val="000000" w:themeColor="text1"/>
          <w:sz w:val="20"/>
          <w:szCs w:val="20"/>
        </w:rPr>
        <w:t>otification</w:t>
      </w:r>
      <w:r w:rsidR="006768B5">
        <w:rPr>
          <w:rFonts w:ascii="Calibri" w:hAnsi="Calibri" w:cs="Calibri"/>
          <w:color w:val="000000" w:themeColor="text1"/>
          <w:sz w:val="20"/>
          <w:szCs w:val="20"/>
        </w:rPr>
        <w:t xml:space="preserve"> under GDPR</w:t>
      </w:r>
      <w:r w:rsidR="001214E9">
        <w:rPr>
          <w:rFonts w:ascii="Calibri" w:hAnsi="Calibri" w:cs="Calibri"/>
          <w:color w:val="000000" w:themeColor="text1"/>
          <w:sz w:val="20"/>
          <w:szCs w:val="20"/>
        </w:rPr>
        <w:t>.</w:t>
      </w:r>
    </w:p>
    <w:p w14:paraId="64BA1E6A" w14:textId="77777777" w:rsidR="004930C1" w:rsidRDefault="002B6799" w:rsidP="007A2135">
      <w:pPr>
        <w:pStyle w:val="Titolo1"/>
      </w:pPr>
      <w:bookmarkStart w:id="9" w:name="_Toc26539469"/>
      <w:bookmarkStart w:id="10" w:name="_Toc110501595"/>
      <w:r>
        <w:t>Responsabilità e ruoli</w:t>
      </w:r>
      <w:bookmarkEnd w:id="9"/>
      <w:bookmarkEnd w:id="10"/>
    </w:p>
    <w:p w14:paraId="532DABB6" w14:textId="6CF6F28B" w:rsidR="004930C1" w:rsidRDefault="002B6799">
      <w:pPr>
        <w:spacing w:line="320" w:lineRule="exact"/>
        <w:ind w:left="142"/>
        <w:jc w:val="both"/>
        <w:rPr>
          <w:rFonts w:ascii="Calibri" w:hAnsi="Calibri" w:cs="Calibri"/>
          <w:color w:val="000000" w:themeColor="text1"/>
          <w:sz w:val="20"/>
          <w:szCs w:val="20"/>
        </w:rPr>
      </w:pPr>
      <w:r>
        <w:rPr>
          <w:rFonts w:ascii="Calibri" w:hAnsi="Calibri" w:cs="Calibri"/>
          <w:color w:val="000000" w:themeColor="text1"/>
          <w:sz w:val="20"/>
          <w:szCs w:val="20"/>
        </w:rPr>
        <w:t xml:space="preserve">Nell’ottica di una fattiva collaborazione per le attività </w:t>
      </w:r>
      <w:r w:rsidR="00E05839">
        <w:rPr>
          <w:rFonts w:ascii="Calibri" w:hAnsi="Calibri" w:cs="Calibri"/>
          <w:color w:val="000000" w:themeColor="text1"/>
          <w:sz w:val="20"/>
          <w:szCs w:val="20"/>
        </w:rPr>
        <w:t>dell’Ente</w:t>
      </w:r>
      <w:r>
        <w:rPr>
          <w:rFonts w:ascii="Calibri" w:hAnsi="Calibri" w:cs="Calibri"/>
          <w:color w:val="000000" w:themeColor="text1"/>
          <w:sz w:val="20"/>
          <w:szCs w:val="20"/>
        </w:rPr>
        <w:t xml:space="preserve">, tutto il personale dipendente è gravato dell’obbligo di </w:t>
      </w:r>
      <w:r>
        <w:rPr>
          <w:rFonts w:ascii="Calibri" w:hAnsi="Calibri" w:cs="Calibri"/>
          <w:b/>
          <w:bCs/>
          <w:color w:val="000000" w:themeColor="text1"/>
          <w:sz w:val="20"/>
          <w:szCs w:val="20"/>
        </w:rPr>
        <w:t>segnalare</w:t>
      </w:r>
      <w:r>
        <w:rPr>
          <w:rFonts w:ascii="Calibri" w:hAnsi="Calibri" w:cs="Calibri"/>
          <w:color w:val="000000" w:themeColor="text1"/>
          <w:sz w:val="20"/>
          <w:szCs w:val="20"/>
        </w:rPr>
        <w:t xml:space="preserve"> fatti o circostanze dai quali possa anche solo potenzialmente rilevarsi un data breach che interessi </w:t>
      </w:r>
      <w:r w:rsidR="007F494E">
        <w:rPr>
          <w:rFonts w:ascii="Calibri" w:hAnsi="Calibri" w:cs="Calibri"/>
          <w:color w:val="000000" w:themeColor="text1"/>
          <w:sz w:val="20"/>
          <w:szCs w:val="20"/>
        </w:rPr>
        <w:t xml:space="preserve">il Comune </w:t>
      </w:r>
      <w:r>
        <w:rPr>
          <w:rFonts w:ascii="Calibri" w:hAnsi="Calibri" w:cs="Calibri"/>
          <w:color w:val="000000" w:themeColor="text1"/>
          <w:sz w:val="20"/>
          <w:szCs w:val="20"/>
        </w:rPr>
        <w:t>come titolare o responsabile del trattamento dei dati personali.</w:t>
      </w:r>
    </w:p>
    <w:p w14:paraId="1A2151D7" w14:textId="0FF31F90" w:rsidR="004930C1" w:rsidRDefault="002B6799">
      <w:pPr>
        <w:spacing w:line="320" w:lineRule="exact"/>
        <w:ind w:left="142"/>
        <w:jc w:val="both"/>
        <w:rPr>
          <w:rFonts w:ascii="Calibri" w:hAnsi="Calibri" w:cs="Calibri"/>
          <w:color w:val="000000" w:themeColor="text1"/>
          <w:sz w:val="20"/>
          <w:szCs w:val="20"/>
        </w:rPr>
      </w:pPr>
      <w:r>
        <w:rPr>
          <w:rFonts w:ascii="Calibri" w:hAnsi="Calibri" w:cs="Calibri"/>
          <w:color w:val="000000" w:themeColor="text1"/>
          <w:sz w:val="20"/>
          <w:szCs w:val="20"/>
        </w:rPr>
        <w:t xml:space="preserve">La </w:t>
      </w:r>
      <w:r>
        <w:rPr>
          <w:rFonts w:ascii="Calibri" w:hAnsi="Calibri" w:cs="Calibri"/>
          <w:b/>
          <w:color w:val="000000" w:themeColor="text1"/>
          <w:sz w:val="20"/>
          <w:szCs w:val="20"/>
        </w:rPr>
        <w:t>gestione</w:t>
      </w:r>
      <w:r>
        <w:rPr>
          <w:rFonts w:ascii="Calibri" w:hAnsi="Calibri" w:cs="Calibri"/>
          <w:color w:val="000000" w:themeColor="text1"/>
          <w:sz w:val="20"/>
          <w:szCs w:val="20"/>
        </w:rPr>
        <w:t xml:space="preserve"> pratica di un evento di data breach è affidata a una figura e/o un ufficio di riferimento in grado di svolgere una funzione di guida in merito alle modalità operative che l'organizzazione dovrà adottare, ivi comprese le attività eventuali di notificazione al Garante Privacy e comunicazione agli interessati.</w:t>
      </w:r>
    </w:p>
    <w:p w14:paraId="0B4D6E17" w14:textId="14DD4755" w:rsidR="004930C1" w:rsidRDefault="002B6799">
      <w:pPr>
        <w:spacing w:line="320" w:lineRule="exact"/>
        <w:ind w:left="142"/>
        <w:jc w:val="both"/>
        <w:rPr>
          <w:rFonts w:ascii="Calibri" w:hAnsi="Calibri" w:cs="Calibri"/>
          <w:color w:val="000000" w:themeColor="text1"/>
          <w:sz w:val="20"/>
          <w:szCs w:val="20"/>
        </w:rPr>
      </w:pPr>
      <w:r>
        <w:rPr>
          <w:rFonts w:ascii="Calibri" w:hAnsi="Calibri" w:cs="Calibri"/>
          <w:color w:val="000000" w:themeColor="text1"/>
          <w:sz w:val="20"/>
          <w:szCs w:val="20"/>
        </w:rPr>
        <w:t>Il Team è composto dalle seguenti figure:</w:t>
      </w:r>
    </w:p>
    <w:p w14:paraId="5FCC74D3" w14:textId="2B12A7B1" w:rsidR="00233CE4" w:rsidRPr="00233CE4" w:rsidRDefault="00233CE4" w:rsidP="00233CE4">
      <w:pPr>
        <w:pStyle w:val="Paragrafoelenco"/>
        <w:numPr>
          <w:ilvl w:val="0"/>
          <w:numId w:val="7"/>
        </w:numPr>
        <w:spacing w:line="320" w:lineRule="exact"/>
        <w:jc w:val="both"/>
        <w:rPr>
          <w:rFonts w:ascii="Calibri" w:hAnsi="Calibri" w:cs="Calibri"/>
          <w:color w:val="000000" w:themeColor="text1"/>
          <w:sz w:val="20"/>
          <w:szCs w:val="20"/>
        </w:rPr>
      </w:pPr>
      <w:r w:rsidRPr="00233CE4">
        <w:rPr>
          <w:rFonts w:ascii="Calibri" w:hAnsi="Calibri" w:cs="Calibri"/>
          <w:color w:val="000000" w:themeColor="text1"/>
          <w:sz w:val="20"/>
          <w:szCs w:val="20"/>
        </w:rPr>
        <w:t>DPO (responsabile del Team);</w:t>
      </w:r>
    </w:p>
    <w:p w14:paraId="41AAA87B" w14:textId="7CEAD2D5" w:rsidR="00233CE4" w:rsidRPr="00233CE4" w:rsidRDefault="00233CE4" w:rsidP="00233CE4">
      <w:pPr>
        <w:pStyle w:val="Paragrafoelenco"/>
        <w:numPr>
          <w:ilvl w:val="0"/>
          <w:numId w:val="7"/>
        </w:numPr>
        <w:spacing w:line="320" w:lineRule="exact"/>
        <w:jc w:val="both"/>
        <w:rPr>
          <w:rFonts w:ascii="Calibri" w:hAnsi="Calibri" w:cs="Calibri"/>
          <w:color w:val="000000" w:themeColor="text1"/>
          <w:sz w:val="20"/>
          <w:szCs w:val="20"/>
        </w:rPr>
      </w:pPr>
      <w:r w:rsidRPr="00233CE4">
        <w:rPr>
          <w:rFonts w:ascii="Calibri" w:hAnsi="Calibri" w:cs="Calibri"/>
          <w:color w:val="000000" w:themeColor="text1"/>
          <w:sz w:val="20"/>
          <w:szCs w:val="20"/>
        </w:rPr>
        <w:t>Privacy Officer</w:t>
      </w:r>
      <w:r w:rsidR="007F494E">
        <w:rPr>
          <w:rFonts w:ascii="Calibri" w:hAnsi="Calibri" w:cs="Calibri"/>
          <w:color w:val="000000" w:themeColor="text1"/>
          <w:sz w:val="20"/>
          <w:szCs w:val="20"/>
        </w:rPr>
        <w:t xml:space="preserve"> / Referente privacy dell’Ente</w:t>
      </w:r>
      <w:r w:rsidRPr="00233CE4">
        <w:rPr>
          <w:rFonts w:ascii="Calibri" w:hAnsi="Calibri" w:cs="Calibri"/>
          <w:color w:val="000000" w:themeColor="text1"/>
          <w:sz w:val="20"/>
          <w:szCs w:val="20"/>
        </w:rPr>
        <w:t>;</w:t>
      </w:r>
    </w:p>
    <w:p w14:paraId="4B0E4AC1" w14:textId="5C3B1077" w:rsidR="00233CE4" w:rsidRPr="00233CE4" w:rsidRDefault="00233CE4" w:rsidP="00233CE4">
      <w:pPr>
        <w:pStyle w:val="Paragrafoelenco"/>
        <w:numPr>
          <w:ilvl w:val="0"/>
          <w:numId w:val="7"/>
        </w:numPr>
        <w:spacing w:line="320" w:lineRule="exact"/>
        <w:jc w:val="both"/>
        <w:rPr>
          <w:rFonts w:ascii="Calibri" w:hAnsi="Calibri" w:cs="Calibri"/>
          <w:color w:val="000000" w:themeColor="text1"/>
          <w:sz w:val="20"/>
          <w:szCs w:val="20"/>
        </w:rPr>
      </w:pPr>
      <w:r w:rsidRPr="00233CE4">
        <w:rPr>
          <w:rFonts w:ascii="Calibri" w:hAnsi="Calibri" w:cs="Calibri"/>
          <w:color w:val="000000" w:themeColor="text1"/>
          <w:sz w:val="20"/>
          <w:szCs w:val="20"/>
        </w:rPr>
        <w:t>ADS</w:t>
      </w:r>
      <w:r w:rsidR="007F494E">
        <w:rPr>
          <w:rFonts w:ascii="Calibri" w:hAnsi="Calibri" w:cs="Calibri"/>
          <w:color w:val="000000" w:themeColor="text1"/>
          <w:sz w:val="20"/>
          <w:szCs w:val="20"/>
        </w:rPr>
        <w:t xml:space="preserve"> </w:t>
      </w:r>
      <w:r w:rsidRPr="00233CE4">
        <w:rPr>
          <w:rFonts w:ascii="Calibri" w:hAnsi="Calibri" w:cs="Calibri"/>
          <w:color w:val="000000" w:themeColor="text1"/>
          <w:sz w:val="20"/>
          <w:szCs w:val="20"/>
        </w:rPr>
        <w:t>/</w:t>
      </w:r>
      <w:r w:rsidR="007F494E">
        <w:rPr>
          <w:rFonts w:ascii="Calibri" w:hAnsi="Calibri" w:cs="Calibri"/>
          <w:color w:val="000000" w:themeColor="text1"/>
          <w:sz w:val="20"/>
          <w:szCs w:val="20"/>
        </w:rPr>
        <w:t xml:space="preserve"> </w:t>
      </w:r>
      <w:r w:rsidRPr="00233CE4">
        <w:rPr>
          <w:rFonts w:ascii="Calibri" w:hAnsi="Calibri" w:cs="Calibri"/>
          <w:color w:val="000000" w:themeColor="text1"/>
          <w:sz w:val="20"/>
          <w:szCs w:val="20"/>
        </w:rPr>
        <w:t>Responsabile del SI;</w:t>
      </w:r>
    </w:p>
    <w:p w14:paraId="1602CC32" w14:textId="7CB4E813" w:rsidR="007F494E" w:rsidRDefault="007F494E" w:rsidP="00233CE4">
      <w:pPr>
        <w:pStyle w:val="Paragrafoelenco"/>
        <w:numPr>
          <w:ilvl w:val="0"/>
          <w:numId w:val="7"/>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Dirigente (se presente) / Responsabile di P.O. </w:t>
      </w:r>
      <w:r w:rsidR="00233CE4" w:rsidRPr="00233CE4">
        <w:rPr>
          <w:rFonts w:ascii="Calibri" w:hAnsi="Calibri" w:cs="Calibri"/>
          <w:color w:val="000000" w:themeColor="text1"/>
          <w:sz w:val="20"/>
          <w:szCs w:val="20"/>
        </w:rPr>
        <w:t xml:space="preserve">nel caso in cui l’evento coinvolga i dati </w:t>
      </w:r>
      <w:r>
        <w:rPr>
          <w:rFonts w:ascii="Calibri" w:hAnsi="Calibri" w:cs="Calibri"/>
          <w:color w:val="000000" w:themeColor="text1"/>
          <w:sz w:val="20"/>
          <w:szCs w:val="20"/>
        </w:rPr>
        <w:t>del suo settore/area di appartenenza;</w:t>
      </w:r>
    </w:p>
    <w:p w14:paraId="24B7F59B" w14:textId="60647401" w:rsidR="007F494E" w:rsidRPr="007F494E" w:rsidRDefault="007F494E" w:rsidP="007F494E">
      <w:pPr>
        <w:pStyle w:val="Paragrafoelenco"/>
        <w:numPr>
          <w:ilvl w:val="0"/>
          <w:numId w:val="7"/>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Responsabile del personale, nel caso in cui l’evento coinvolga i dati dei dipendenti/collaboratori dell’Ente;</w:t>
      </w:r>
    </w:p>
    <w:p w14:paraId="5510296C" w14:textId="7D0E9054" w:rsidR="00BA51AF" w:rsidRDefault="007F494E" w:rsidP="00233CE4">
      <w:pPr>
        <w:pStyle w:val="Paragrafoelenco"/>
        <w:numPr>
          <w:ilvl w:val="0"/>
          <w:numId w:val="7"/>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RUP dell</w:t>
      </w:r>
      <w:r w:rsidR="00BA51AF">
        <w:rPr>
          <w:rFonts w:ascii="Calibri" w:hAnsi="Calibri" w:cs="Calibri"/>
          <w:color w:val="000000" w:themeColor="text1"/>
          <w:sz w:val="20"/>
          <w:szCs w:val="20"/>
        </w:rPr>
        <w:t xml:space="preserve">o specifico </w:t>
      </w:r>
      <w:r>
        <w:rPr>
          <w:rFonts w:ascii="Calibri" w:hAnsi="Calibri" w:cs="Calibri"/>
          <w:color w:val="000000" w:themeColor="text1"/>
          <w:sz w:val="20"/>
          <w:szCs w:val="20"/>
        </w:rPr>
        <w:t>appalto</w:t>
      </w:r>
      <w:r w:rsidR="001214E9">
        <w:rPr>
          <w:rFonts w:ascii="Calibri" w:hAnsi="Calibri" w:cs="Calibri"/>
          <w:color w:val="000000" w:themeColor="text1"/>
          <w:sz w:val="20"/>
          <w:szCs w:val="20"/>
        </w:rPr>
        <w:t>,</w:t>
      </w:r>
      <w:r>
        <w:rPr>
          <w:rFonts w:ascii="Calibri" w:hAnsi="Calibri" w:cs="Calibri"/>
          <w:color w:val="000000" w:themeColor="text1"/>
          <w:sz w:val="20"/>
          <w:szCs w:val="20"/>
        </w:rPr>
        <w:t xml:space="preserve"> </w:t>
      </w:r>
      <w:r w:rsidR="00233CE4" w:rsidRPr="00233CE4">
        <w:rPr>
          <w:rFonts w:ascii="Calibri" w:hAnsi="Calibri" w:cs="Calibri"/>
          <w:color w:val="000000" w:themeColor="text1"/>
          <w:sz w:val="20"/>
          <w:szCs w:val="20"/>
        </w:rPr>
        <w:t xml:space="preserve">nei casi </w:t>
      </w:r>
      <w:r w:rsidR="00BA51AF">
        <w:rPr>
          <w:rFonts w:ascii="Calibri" w:hAnsi="Calibri" w:cs="Calibri"/>
          <w:color w:val="000000" w:themeColor="text1"/>
          <w:sz w:val="20"/>
          <w:szCs w:val="20"/>
        </w:rPr>
        <w:t>in cui il</w:t>
      </w:r>
      <w:r w:rsidR="00233CE4" w:rsidRPr="00233CE4">
        <w:rPr>
          <w:rFonts w:ascii="Calibri" w:hAnsi="Calibri" w:cs="Calibri"/>
          <w:color w:val="000000" w:themeColor="text1"/>
          <w:sz w:val="20"/>
          <w:szCs w:val="20"/>
        </w:rPr>
        <w:t xml:space="preserve"> data breach </w:t>
      </w:r>
      <w:r w:rsidR="00BA51AF">
        <w:rPr>
          <w:rFonts w:ascii="Calibri" w:hAnsi="Calibri" w:cs="Calibri"/>
          <w:color w:val="000000" w:themeColor="text1"/>
          <w:sz w:val="20"/>
          <w:szCs w:val="20"/>
        </w:rPr>
        <w:t>abbia coinvolto il Responsabile (esterno) del trattamento nominato ai sensi dell’art. 28 GDPR;</w:t>
      </w:r>
      <w:r w:rsidR="00233CE4" w:rsidRPr="00233CE4">
        <w:rPr>
          <w:rFonts w:ascii="Calibri" w:hAnsi="Calibri" w:cs="Calibri"/>
          <w:color w:val="000000" w:themeColor="text1"/>
          <w:sz w:val="20"/>
          <w:szCs w:val="20"/>
        </w:rPr>
        <w:t xml:space="preserve"> </w:t>
      </w:r>
    </w:p>
    <w:p w14:paraId="5FD0F10A" w14:textId="77777777" w:rsidR="001214E9" w:rsidRDefault="00BA51AF" w:rsidP="001214E9">
      <w:pPr>
        <w:pStyle w:val="Paragrafoelenco"/>
        <w:numPr>
          <w:ilvl w:val="0"/>
          <w:numId w:val="7"/>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Soggetto</w:t>
      </w:r>
      <w:r w:rsidR="00233CE4" w:rsidRPr="00233CE4">
        <w:rPr>
          <w:rFonts w:ascii="Calibri" w:hAnsi="Calibri" w:cs="Calibri"/>
          <w:color w:val="000000" w:themeColor="text1"/>
          <w:sz w:val="20"/>
          <w:szCs w:val="20"/>
        </w:rPr>
        <w:t xml:space="preserve"> che ha la responsabilità di comunicare con</w:t>
      </w:r>
      <w:r>
        <w:rPr>
          <w:rFonts w:ascii="Calibri" w:hAnsi="Calibri" w:cs="Calibri"/>
          <w:color w:val="000000" w:themeColor="text1"/>
          <w:sz w:val="20"/>
          <w:szCs w:val="20"/>
        </w:rPr>
        <w:t xml:space="preserve"> gli</w:t>
      </w:r>
      <w:r w:rsidR="00233CE4" w:rsidRPr="00233CE4">
        <w:rPr>
          <w:rFonts w:ascii="Calibri" w:hAnsi="Calibri" w:cs="Calibri"/>
          <w:color w:val="000000" w:themeColor="text1"/>
          <w:sz w:val="20"/>
          <w:szCs w:val="20"/>
        </w:rPr>
        <w:t xml:space="preserve"> organi di stampa;</w:t>
      </w:r>
    </w:p>
    <w:p w14:paraId="5E9389F6" w14:textId="0F70867E" w:rsidR="001214E9" w:rsidRPr="001214E9" w:rsidRDefault="00233CE4" w:rsidP="001214E9">
      <w:pPr>
        <w:pStyle w:val="Paragrafoelenco"/>
        <w:numPr>
          <w:ilvl w:val="0"/>
          <w:numId w:val="7"/>
        </w:numPr>
        <w:spacing w:line="320" w:lineRule="exact"/>
        <w:jc w:val="both"/>
        <w:rPr>
          <w:rFonts w:ascii="Calibri" w:hAnsi="Calibri" w:cs="Calibri"/>
          <w:color w:val="000000" w:themeColor="text1"/>
          <w:sz w:val="20"/>
          <w:szCs w:val="20"/>
        </w:rPr>
      </w:pPr>
      <w:r w:rsidRPr="001214E9">
        <w:rPr>
          <w:rFonts w:ascii="Calibri" w:hAnsi="Calibri" w:cs="Calibri"/>
          <w:color w:val="000000" w:themeColor="text1"/>
          <w:sz w:val="20"/>
          <w:szCs w:val="20"/>
        </w:rPr>
        <w:t>Responsabile (esterno) del trattamento ex art. 28 GDPR e/o Contitolare del trattamento ex art. 26 GDPR (se eventualmente coinvolti in base all’evento).</w:t>
      </w:r>
    </w:p>
    <w:p w14:paraId="3C8F0652" w14:textId="77777777" w:rsidR="004930C1" w:rsidRDefault="002B6799">
      <w:pPr>
        <w:spacing w:line="320" w:lineRule="exact"/>
        <w:ind w:left="142"/>
        <w:jc w:val="both"/>
        <w:rPr>
          <w:rFonts w:ascii="Calibri" w:hAnsi="Calibri" w:cs="Calibri"/>
          <w:b/>
          <w:color w:val="000000" w:themeColor="text1"/>
          <w:sz w:val="20"/>
          <w:szCs w:val="20"/>
        </w:rPr>
      </w:pPr>
      <w:r>
        <w:rPr>
          <w:rFonts w:ascii="Calibri" w:hAnsi="Calibri" w:cs="Calibri"/>
          <w:b/>
          <w:color w:val="000000" w:themeColor="text1"/>
          <w:sz w:val="20"/>
          <w:szCs w:val="20"/>
        </w:rPr>
        <w:t>Modalità operative e ruolo del Team</w:t>
      </w:r>
    </w:p>
    <w:p w14:paraId="55F244F7" w14:textId="77777777" w:rsidR="004930C1" w:rsidRDefault="002B6799">
      <w:pPr>
        <w:spacing w:line="320" w:lineRule="exact"/>
        <w:ind w:left="142"/>
        <w:jc w:val="both"/>
        <w:rPr>
          <w:rFonts w:ascii="Calibri" w:hAnsi="Calibri" w:cs="Calibri"/>
          <w:color w:val="000000" w:themeColor="text1"/>
          <w:sz w:val="20"/>
          <w:szCs w:val="20"/>
        </w:rPr>
      </w:pPr>
      <w:r>
        <w:rPr>
          <w:rFonts w:ascii="Calibri" w:hAnsi="Calibri" w:cs="Calibri"/>
          <w:color w:val="000000" w:themeColor="text1"/>
          <w:sz w:val="20"/>
          <w:szCs w:val="20"/>
        </w:rPr>
        <w:t>Tutte le attività e le riunioni del Team devono essere documentate per iscritto e i verbali sono conservati dal Responsabile del Team.</w:t>
      </w:r>
    </w:p>
    <w:p w14:paraId="4A4C9504" w14:textId="77777777" w:rsidR="004930C1" w:rsidRDefault="002B6799">
      <w:pPr>
        <w:spacing w:line="320" w:lineRule="exact"/>
        <w:ind w:left="142"/>
        <w:jc w:val="both"/>
        <w:rPr>
          <w:rFonts w:ascii="Calibri" w:hAnsi="Calibri" w:cs="Calibri"/>
          <w:color w:val="000000" w:themeColor="text1"/>
          <w:sz w:val="20"/>
          <w:szCs w:val="20"/>
        </w:rPr>
      </w:pPr>
      <w:r>
        <w:rPr>
          <w:rFonts w:ascii="Calibri" w:hAnsi="Calibri" w:cs="Calibri"/>
          <w:color w:val="000000" w:themeColor="text1"/>
          <w:sz w:val="20"/>
          <w:szCs w:val="20"/>
        </w:rPr>
        <w:t>Con cadenza annuale il Responsabile del Team predispone una relazione sull'attività svolta dal Team nel corso dell'anno e la trasmette al Titolare del trattamento.</w:t>
      </w:r>
    </w:p>
    <w:p w14:paraId="76FD99C2" w14:textId="77777777" w:rsidR="004930C1" w:rsidRDefault="002B6799">
      <w:pPr>
        <w:spacing w:line="320" w:lineRule="exact"/>
        <w:ind w:left="142"/>
        <w:jc w:val="both"/>
        <w:rPr>
          <w:rFonts w:ascii="Calibri" w:hAnsi="Calibri" w:cs="Calibri"/>
          <w:color w:val="000000" w:themeColor="text1"/>
          <w:sz w:val="20"/>
          <w:szCs w:val="20"/>
        </w:rPr>
      </w:pPr>
      <w:r>
        <w:rPr>
          <w:rFonts w:ascii="Calibri" w:hAnsi="Calibri" w:cs="Calibri"/>
          <w:color w:val="000000" w:themeColor="text1"/>
          <w:sz w:val="20"/>
          <w:szCs w:val="20"/>
        </w:rPr>
        <w:t xml:space="preserve">La relazione dovrà contenere indicazioni che descrivano con precisione numero ed entità degli eventi eventualmente verificatisi e i tempi di reazione da parte del Titolare. </w:t>
      </w:r>
    </w:p>
    <w:p w14:paraId="7A00A979" w14:textId="108245EE" w:rsidR="004930C1" w:rsidRDefault="002B6799">
      <w:pPr>
        <w:spacing w:line="320" w:lineRule="exact"/>
        <w:ind w:left="142"/>
        <w:jc w:val="both"/>
        <w:rPr>
          <w:rFonts w:ascii="Calibri" w:hAnsi="Calibri" w:cs="Calibri"/>
          <w:color w:val="000000" w:themeColor="text1"/>
          <w:sz w:val="20"/>
          <w:szCs w:val="20"/>
        </w:rPr>
      </w:pPr>
      <w:r>
        <w:rPr>
          <w:rFonts w:ascii="Calibri" w:hAnsi="Calibri" w:cs="Calibri"/>
          <w:color w:val="000000" w:themeColor="text1"/>
          <w:sz w:val="20"/>
          <w:szCs w:val="20"/>
        </w:rPr>
        <w:t>Il Team ha il dovere di informare il Titolare del trattamento, nella persona del legale rappresentante</w:t>
      </w:r>
      <w:r w:rsidR="00BA51AF">
        <w:rPr>
          <w:rFonts w:ascii="Calibri" w:hAnsi="Calibri" w:cs="Calibri"/>
          <w:color w:val="000000" w:themeColor="text1"/>
          <w:sz w:val="20"/>
          <w:szCs w:val="20"/>
        </w:rPr>
        <w:t xml:space="preserve"> pro tempore</w:t>
      </w:r>
      <w:r>
        <w:rPr>
          <w:rFonts w:ascii="Calibri" w:hAnsi="Calibri" w:cs="Calibri"/>
          <w:color w:val="000000" w:themeColor="text1"/>
          <w:sz w:val="20"/>
          <w:szCs w:val="20"/>
        </w:rPr>
        <w:t>, delle decisioni e degli sviluppi nella gestione di un data breach, fin dalla prima fase di indagine e quest'ultimo ha il potere di imporre le misure che ritenga più opportune a tutela dei diritti degli interessati.</w:t>
      </w:r>
    </w:p>
    <w:p w14:paraId="06728CDC" w14:textId="1D9BAE68" w:rsidR="004930C1" w:rsidRDefault="002B6799">
      <w:pPr>
        <w:spacing w:line="320" w:lineRule="exact"/>
        <w:ind w:left="142"/>
        <w:jc w:val="both"/>
        <w:rPr>
          <w:rFonts w:ascii="Calibri" w:hAnsi="Calibri" w:cs="Calibri"/>
          <w:color w:val="000000" w:themeColor="text1"/>
          <w:sz w:val="20"/>
          <w:szCs w:val="20"/>
        </w:rPr>
      </w:pPr>
      <w:r>
        <w:rPr>
          <w:rFonts w:ascii="Calibri" w:hAnsi="Calibri" w:cs="Calibri"/>
          <w:color w:val="000000" w:themeColor="text1"/>
          <w:sz w:val="20"/>
          <w:szCs w:val="20"/>
        </w:rPr>
        <w:lastRenderedPageBreak/>
        <w:t xml:space="preserve">Qualora il Titolare del trattamento non fosse d'accordo sulle decisioni del Team, ritenendo che l'impatto delle stesse sulla reputazione/immagine e/o sull'interesse </w:t>
      </w:r>
      <w:r w:rsidR="00E75D9B">
        <w:rPr>
          <w:rFonts w:ascii="Calibri" w:hAnsi="Calibri" w:cs="Calibri"/>
          <w:color w:val="000000" w:themeColor="text1"/>
          <w:sz w:val="20"/>
          <w:szCs w:val="20"/>
        </w:rPr>
        <w:t xml:space="preserve">perseguito dall’Ente </w:t>
      </w:r>
      <w:r>
        <w:rPr>
          <w:rFonts w:ascii="Calibri" w:hAnsi="Calibri" w:cs="Calibri"/>
          <w:color w:val="000000" w:themeColor="text1"/>
          <w:sz w:val="20"/>
          <w:szCs w:val="20"/>
        </w:rPr>
        <w:t>possa essere negativo, egli si assume la responsabilità nel caso in cui decida di imporre una decisione diversa.</w:t>
      </w:r>
    </w:p>
    <w:p w14:paraId="739277CF" w14:textId="77777777" w:rsidR="004930C1" w:rsidRDefault="002B6799">
      <w:pPr>
        <w:spacing w:line="320" w:lineRule="exact"/>
        <w:ind w:left="142"/>
        <w:jc w:val="both"/>
        <w:rPr>
          <w:rFonts w:ascii="Calibri" w:hAnsi="Calibri" w:cs="Calibri"/>
          <w:color w:val="000000" w:themeColor="text1"/>
          <w:sz w:val="20"/>
          <w:szCs w:val="20"/>
        </w:rPr>
      </w:pPr>
      <w:r>
        <w:rPr>
          <w:rFonts w:ascii="Calibri" w:hAnsi="Calibri" w:cs="Calibri"/>
          <w:color w:val="000000" w:themeColor="text1"/>
          <w:sz w:val="20"/>
          <w:szCs w:val="20"/>
        </w:rPr>
        <w:t>In tal caso il Team darà atto nel verbale delle differenti posizioni e della decisione del Titolare del trattamento, e comunicherà a quest'ultimo il verbale.</w:t>
      </w:r>
    </w:p>
    <w:p w14:paraId="6C2FB53C" w14:textId="35990FEB" w:rsidR="009816FC" w:rsidRDefault="002B6799" w:rsidP="009523A5">
      <w:pPr>
        <w:spacing w:line="320" w:lineRule="exact"/>
        <w:ind w:left="142"/>
        <w:jc w:val="both"/>
        <w:rPr>
          <w:rFonts w:ascii="Calibri" w:hAnsi="Calibri" w:cs="Calibri"/>
          <w:color w:val="000000" w:themeColor="text1"/>
          <w:sz w:val="20"/>
          <w:szCs w:val="20"/>
        </w:rPr>
      </w:pPr>
      <w:r>
        <w:rPr>
          <w:rFonts w:ascii="Calibri" w:hAnsi="Calibri" w:cs="Calibri"/>
          <w:color w:val="000000" w:themeColor="text1"/>
          <w:sz w:val="20"/>
          <w:szCs w:val="20"/>
        </w:rPr>
        <w:t>Il Team e il Titolare del trattamento possono essere coadiuvati nell'analisi, nella valutazione e nella gestione dell'evento (ivi compresa la fase decisionale) da professionisti esterni, i quali opereranno previa sottoscrizione di un accordo di riservatezza.</w:t>
      </w:r>
    </w:p>
    <w:p w14:paraId="6A525CEF" w14:textId="77777777" w:rsidR="009816FC" w:rsidRPr="009816FC" w:rsidRDefault="009816FC" w:rsidP="009816FC">
      <w:pPr>
        <w:pStyle w:val="Titolo1"/>
      </w:pPr>
      <w:bookmarkStart w:id="11" w:name="_Ref110501410"/>
      <w:bookmarkStart w:id="12" w:name="_Toc110501596"/>
      <w:r w:rsidRPr="009816FC">
        <w:t>Registro delle violazioni</w:t>
      </w:r>
      <w:bookmarkEnd w:id="11"/>
      <w:bookmarkEnd w:id="12"/>
      <w:r w:rsidRPr="009816FC">
        <w:t xml:space="preserve"> </w:t>
      </w:r>
    </w:p>
    <w:p w14:paraId="7D48BE52" w14:textId="51815979" w:rsidR="009816FC" w:rsidRDefault="009816FC" w:rsidP="009816FC">
      <w:pPr>
        <w:pStyle w:val="Titolo1"/>
        <w:numPr>
          <w:ilvl w:val="0"/>
          <w:numId w:val="0"/>
        </w:numPr>
        <w:ind w:left="142"/>
      </w:pPr>
    </w:p>
    <w:p w14:paraId="520485A8" w14:textId="77777777" w:rsidR="009816FC" w:rsidRPr="009816FC" w:rsidRDefault="009816FC" w:rsidP="009816FC">
      <w:pPr>
        <w:spacing w:line="276" w:lineRule="auto"/>
        <w:ind w:left="34" w:hanging="5"/>
        <w:jc w:val="both"/>
        <w:rPr>
          <w:rFonts w:ascii="Calibri" w:hAnsi="Calibri"/>
          <w:sz w:val="20"/>
          <w:szCs w:val="20"/>
        </w:rPr>
      </w:pPr>
      <w:r w:rsidRPr="009816FC">
        <w:rPr>
          <w:rFonts w:ascii="Calibri" w:hAnsi="Calibri"/>
          <w:sz w:val="20"/>
          <w:szCs w:val="20"/>
        </w:rPr>
        <w:t>È istituito un registro interno delle violazioni, gestito tramite il software privacy “Data Protection Manager”, dove vengono annotate sia le violazioni non notificabili che quelle notificabili.</w:t>
      </w:r>
    </w:p>
    <w:p w14:paraId="12885D91" w14:textId="77777777" w:rsidR="009816FC" w:rsidRPr="009816FC" w:rsidRDefault="009816FC" w:rsidP="009816FC">
      <w:pPr>
        <w:pStyle w:val="Corpodeltesto100"/>
        <w:shd w:val="clear" w:color="auto" w:fill="auto"/>
        <w:spacing w:line="276" w:lineRule="auto"/>
        <w:ind w:left="34"/>
        <w:rPr>
          <w:rFonts w:ascii="Calibri" w:hAnsi="Calibri"/>
          <w:i w:val="0"/>
          <w:iCs w:val="0"/>
          <w:color w:val="000000"/>
          <w:shd w:val="clear" w:color="auto" w:fill="FFFFFF"/>
          <w:lang w:bidi="it-IT"/>
        </w:rPr>
      </w:pPr>
      <w:r w:rsidRPr="009816FC">
        <w:rPr>
          <w:rStyle w:val="Corpodeltesto10Noncorsivo"/>
          <w:rFonts w:ascii="Calibri" w:hAnsi="Calibri"/>
          <w:sz w:val="20"/>
          <w:szCs w:val="20"/>
        </w:rPr>
        <w:t xml:space="preserve">In ossequio al principio di responsabilizzazione di cui agli artt. 5 par. 2 e 24 GDPR, il titolare del trattamento conserva la documentazione di tutte le violazioni, come stabilito all’articolo 33, paragrafo 5: </w:t>
      </w:r>
      <w:r w:rsidRPr="009816FC">
        <w:rPr>
          <w:rFonts w:ascii="Calibri" w:hAnsi="Calibri"/>
        </w:rPr>
        <w:t>“Il titolare del trattamento documenta qualsiasi violazione dei dati personali, comprese le circostanze a essa relative, le sue conseguenze e i provvedimenti adottati per porvi rimedio. Tale documentazione consente all’autorità di controllo di verificare il rispetto del presente articolo”.</w:t>
      </w:r>
    </w:p>
    <w:p w14:paraId="147A4DDC" w14:textId="77777777" w:rsidR="009816FC" w:rsidRPr="009816FC" w:rsidRDefault="009816FC" w:rsidP="009816FC">
      <w:pPr>
        <w:spacing w:line="276" w:lineRule="auto"/>
        <w:ind w:left="35" w:hanging="6"/>
        <w:jc w:val="both"/>
        <w:rPr>
          <w:rFonts w:ascii="Calibri" w:hAnsi="Calibri"/>
          <w:sz w:val="20"/>
          <w:szCs w:val="20"/>
        </w:rPr>
      </w:pPr>
      <w:r w:rsidRPr="009816FC">
        <w:rPr>
          <w:rFonts w:ascii="Calibri" w:hAnsi="Calibri"/>
          <w:sz w:val="20"/>
          <w:szCs w:val="20"/>
        </w:rPr>
        <w:t>Il registro deve contenere i seguenti dati:</w:t>
      </w:r>
    </w:p>
    <w:p w14:paraId="33099DA8" w14:textId="77777777" w:rsidR="009816FC" w:rsidRPr="009816FC" w:rsidRDefault="009816FC" w:rsidP="009816FC">
      <w:pPr>
        <w:widowControl w:val="0"/>
        <w:numPr>
          <w:ilvl w:val="0"/>
          <w:numId w:val="17"/>
        </w:numPr>
        <w:suppressAutoHyphens w:val="0"/>
        <w:autoSpaceDN w:val="0"/>
        <w:spacing w:line="276" w:lineRule="auto"/>
        <w:ind w:left="395"/>
        <w:jc w:val="both"/>
        <w:rPr>
          <w:rFonts w:ascii="Calibri" w:hAnsi="Calibri"/>
          <w:sz w:val="20"/>
          <w:szCs w:val="20"/>
        </w:rPr>
      </w:pPr>
      <w:r w:rsidRPr="009816FC">
        <w:rPr>
          <w:rFonts w:ascii="Calibri" w:hAnsi="Calibri"/>
          <w:sz w:val="20"/>
          <w:szCs w:val="20"/>
        </w:rPr>
        <w:t xml:space="preserve">i dettagli relativi alla violazione (cause, fatti e dati personali interessati); </w:t>
      </w:r>
    </w:p>
    <w:p w14:paraId="12F1FA5E" w14:textId="77777777" w:rsidR="009816FC" w:rsidRPr="009816FC" w:rsidRDefault="009816FC" w:rsidP="009816FC">
      <w:pPr>
        <w:widowControl w:val="0"/>
        <w:numPr>
          <w:ilvl w:val="0"/>
          <w:numId w:val="17"/>
        </w:numPr>
        <w:suppressAutoHyphens w:val="0"/>
        <w:autoSpaceDN w:val="0"/>
        <w:spacing w:line="276" w:lineRule="auto"/>
        <w:ind w:left="395"/>
        <w:jc w:val="both"/>
        <w:rPr>
          <w:rFonts w:ascii="Calibri" w:hAnsi="Calibri"/>
          <w:sz w:val="20"/>
          <w:szCs w:val="20"/>
        </w:rPr>
      </w:pPr>
      <w:r w:rsidRPr="009816FC">
        <w:rPr>
          <w:rFonts w:ascii="Calibri" w:hAnsi="Calibri"/>
          <w:sz w:val="20"/>
          <w:szCs w:val="20"/>
        </w:rPr>
        <w:t xml:space="preserve">gli effetti e le conseguenze della violazione; </w:t>
      </w:r>
    </w:p>
    <w:p w14:paraId="681EB4CC" w14:textId="77777777" w:rsidR="009816FC" w:rsidRPr="009816FC" w:rsidRDefault="009816FC" w:rsidP="009816FC">
      <w:pPr>
        <w:widowControl w:val="0"/>
        <w:numPr>
          <w:ilvl w:val="0"/>
          <w:numId w:val="17"/>
        </w:numPr>
        <w:suppressAutoHyphens w:val="0"/>
        <w:autoSpaceDN w:val="0"/>
        <w:spacing w:line="276" w:lineRule="auto"/>
        <w:ind w:left="395"/>
        <w:jc w:val="both"/>
        <w:rPr>
          <w:rFonts w:ascii="Calibri" w:hAnsi="Calibri"/>
          <w:sz w:val="20"/>
          <w:szCs w:val="20"/>
        </w:rPr>
      </w:pPr>
      <w:r w:rsidRPr="009816FC">
        <w:rPr>
          <w:rFonts w:ascii="Calibri" w:hAnsi="Calibri"/>
          <w:sz w:val="20"/>
          <w:szCs w:val="20"/>
        </w:rPr>
        <w:t>i provvedimenti adottati per porvi rimedio;</w:t>
      </w:r>
    </w:p>
    <w:p w14:paraId="7D0AEF57" w14:textId="77777777" w:rsidR="009816FC" w:rsidRPr="009816FC" w:rsidRDefault="009816FC" w:rsidP="009816FC">
      <w:pPr>
        <w:widowControl w:val="0"/>
        <w:numPr>
          <w:ilvl w:val="0"/>
          <w:numId w:val="17"/>
        </w:numPr>
        <w:suppressAutoHyphens w:val="0"/>
        <w:autoSpaceDN w:val="0"/>
        <w:spacing w:line="276" w:lineRule="auto"/>
        <w:ind w:left="395"/>
        <w:jc w:val="both"/>
        <w:rPr>
          <w:rFonts w:ascii="Calibri" w:hAnsi="Calibri"/>
          <w:sz w:val="20"/>
          <w:szCs w:val="20"/>
        </w:rPr>
      </w:pPr>
      <w:r w:rsidRPr="009816FC">
        <w:rPr>
          <w:rFonts w:ascii="Calibri" w:hAnsi="Calibri"/>
          <w:sz w:val="20"/>
          <w:szCs w:val="20"/>
        </w:rPr>
        <w:t>il ragionamento alla base delle decisioni prese in risposta a una violazione (con particolare riferimento alle violazioni non notificate ed alle violazioni notificate con ritardo);</w:t>
      </w:r>
    </w:p>
    <w:p w14:paraId="278CD8C3" w14:textId="0C81A103" w:rsidR="009816FC" w:rsidRPr="009816FC" w:rsidRDefault="009816FC" w:rsidP="009816FC">
      <w:pPr>
        <w:spacing w:line="276" w:lineRule="auto"/>
        <w:jc w:val="both"/>
        <w:rPr>
          <w:rFonts w:ascii="Calibri" w:hAnsi="Calibri"/>
          <w:sz w:val="20"/>
          <w:szCs w:val="20"/>
        </w:rPr>
      </w:pPr>
      <w:r w:rsidRPr="009816FC">
        <w:rPr>
          <w:rFonts w:ascii="Calibri" w:hAnsi="Calibri"/>
          <w:sz w:val="20"/>
          <w:szCs w:val="20"/>
        </w:rPr>
        <w:t>Il titolare conserva la documentazione in conformità dell’articolo 33, paragrafo 5, anche al fine di poter fornire prontamente le prove dall’</w:t>
      </w:r>
      <w:r w:rsidR="00EB4E82">
        <w:rPr>
          <w:rFonts w:ascii="Calibri" w:hAnsi="Calibri"/>
          <w:sz w:val="20"/>
          <w:szCs w:val="20"/>
        </w:rPr>
        <w:t>a</w:t>
      </w:r>
      <w:r w:rsidRPr="009816FC">
        <w:rPr>
          <w:rFonts w:ascii="Calibri" w:hAnsi="Calibri"/>
          <w:sz w:val="20"/>
          <w:szCs w:val="20"/>
        </w:rPr>
        <w:t>utorità di controllo in caso di suo intervento.</w:t>
      </w:r>
    </w:p>
    <w:p w14:paraId="4E8DA6D8" w14:textId="77777777" w:rsidR="004930C1" w:rsidRDefault="002B6799" w:rsidP="007A2135">
      <w:pPr>
        <w:pStyle w:val="Titolo1"/>
      </w:pPr>
      <w:bookmarkStart w:id="13" w:name="_Toc26539471"/>
      <w:bookmarkStart w:id="14" w:name="_Toc110501598"/>
      <w:r>
        <w:t>Registrazione Evento/Segnalazione</w:t>
      </w:r>
      <w:bookmarkEnd w:id="13"/>
      <w:bookmarkEnd w:id="14"/>
    </w:p>
    <w:p w14:paraId="2B468E8D" w14:textId="77777777" w:rsidR="004930C1"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Segnalazione</w:t>
      </w:r>
    </w:p>
    <w:p w14:paraId="4CD78825"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Il Team, se del caso, procede alla raccolta di ulteriori informazioni (es. tramite organi di stampa, richieste di approfondimento) al fine di chiarire la veridicità, la portata e la reale sussistenza dell’evento segnalato.</w:t>
      </w:r>
    </w:p>
    <w:p w14:paraId="038ED3E1" w14:textId="77777777" w:rsidR="004930C1"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Dopo la segnalazione</w:t>
      </w:r>
    </w:p>
    <w:p w14:paraId="19630973"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Il Team valuta eventuali azioni per contenere gli effetti dell’evento attivando e documentando le risorse e azioni necessarie: preliminarmente alle valutazioni sulla conseguenza dell’evento, predispone un Report interno sulla violazione dei dati personali contenente le necessarie informazioni (ad esempio quali sono i dati personali colpiti, qual è la portata, ad esempio calcolando il numero e/o la percentuale di interessati e il numero di dati, qual è l'arco temporale). </w:t>
      </w:r>
    </w:p>
    <w:p w14:paraId="076E48CA" w14:textId="77777777" w:rsidR="004930C1"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Decisione di non procedere</w:t>
      </w:r>
    </w:p>
    <w:p w14:paraId="2CEB0FDA"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Qualora fosse accertata, anche dopo eventuali approfondimenti, l’insussistenza di situazioni in grado di mettere a rischio i dati degli interessati, il Team registrerà la decisione nel suddetto Registro delle violazioni e comunicherà formalmente la decisione al Titolare, che ha la facoltà, comunque, di richiedere un ulteriore approfondimento. </w:t>
      </w:r>
    </w:p>
    <w:p w14:paraId="50CBE6F3" w14:textId="77777777" w:rsidR="004930C1"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Accertamento di una violazione</w:t>
      </w:r>
    </w:p>
    <w:p w14:paraId="3967E06E"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lastRenderedPageBreak/>
        <w:t>Nell’ipotesi in cui, invece, una violazione dei dati personali fosse effettivamente accertata, il Team procederà con la Analisi del rischio e valuterà la necessità intraprendere eventuali azioni correttive al fine di impedire il protrarsi della violazione e di circoscrivere i danni nei confronti degli interessati coinvolti.</w:t>
      </w:r>
    </w:p>
    <w:p w14:paraId="6119A1DE"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Contestualmente, il Responsabile del Team riporta l’esito della valutazione di pertinenza, e si occupa di annotare l’evento sul Registro delle violazioni. </w:t>
      </w:r>
    </w:p>
    <w:p w14:paraId="2F63AD8C" w14:textId="77777777" w:rsidR="004930C1"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Esecuzione Analisi del Rischio e registrazione risultati</w:t>
      </w:r>
    </w:p>
    <w:p w14:paraId="1E059CEB" w14:textId="70728CB0" w:rsidR="004930C1" w:rsidRDefault="002B6799">
      <w:pPr>
        <w:spacing w:line="320" w:lineRule="exact"/>
        <w:jc w:val="both"/>
        <w:rPr>
          <w:color w:val="000000" w:themeColor="text1"/>
        </w:rPr>
      </w:pPr>
      <w:r>
        <w:rPr>
          <w:rFonts w:ascii="Calibri" w:hAnsi="Calibri" w:cs="Calibri"/>
          <w:color w:val="000000" w:themeColor="text1"/>
          <w:sz w:val="20"/>
          <w:szCs w:val="20"/>
        </w:rPr>
        <w:t xml:space="preserve">Il Team procede alla stima della gravità del data breach alla luce dei criteri di cui all’articolo </w:t>
      </w:r>
      <w:r w:rsidR="00F326BC">
        <w:rPr>
          <w:rFonts w:ascii="Calibri" w:hAnsi="Calibri" w:cs="Calibri"/>
          <w:color w:val="000000" w:themeColor="text1"/>
          <w:sz w:val="20"/>
          <w:szCs w:val="20"/>
        </w:rPr>
        <w:fldChar w:fldCharType="begin"/>
      </w:r>
      <w:r w:rsidR="00F326BC">
        <w:rPr>
          <w:rFonts w:ascii="Calibri" w:hAnsi="Calibri" w:cs="Calibri"/>
          <w:color w:val="000000" w:themeColor="text1"/>
          <w:sz w:val="20"/>
          <w:szCs w:val="20"/>
        </w:rPr>
        <w:instrText xml:space="preserve"> REF _Ref110500007 \r \h </w:instrText>
      </w:r>
      <w:r w:rsidR="00F326BC">
        <w:rPr>
          <w:rFonts w:ascii="Calibri" w:hAnsi="Calibri" w:cs="Calibri"/>
          <w:color w:val="000000" w:themeColor="text1"/>
          <w:sz w:val="20"/>
          <w:szCs w:val="20"/>
        </w:rPr>
      </w:r>
      <w:r w:rsidR="00F326BC">
        <w:rPr>
          <w:rFonts w:ascii="Calibri" w:hAnsi="Calibri" w:cs="Calibri"/>
          <w:color w:val="000000" w:themeColor="text1"/>
          <w:sz w:val="20"/>
          <w:szCs w:val="20"/>
        </w:rPr>
        <w:fldChar w:fldCharType="separate"/>
      </w:r>
      <w:r w:rsidR="00F326BC">
        <w:rPr>
          <w:rFonts w:ascii="Calibri" w:hAnsi="Calibri" w:cs="Calibri"/>
          <w:color w:val="000000" w:themeColor="text1"/>
          <w:sz w:val="20"/>
          <w:szCs w:val="20"/>
        </w:rPr>
        <w:t>Art. 10)</w:t>
      </w:r>
      <w:r w:rsidR="00F326BC">
        <w:rPr>
          <w:rFonts w:ascii="Calibri" w:hAnsi="Calibri" w:cs="Calibri"/>
          <w:color w:val="000000" w:themeColor="text1"/>
          <w:sz w:val="20"/>
          <w:szCs w:val="20"/>
        </w:rPr>
        <w:fldChar w:fldCharType="end"/>
      </w:r>
      <w:r w:rsidR="003C019F">
        <w:rPr>
          <w:rFonts w:ascii="Calibri" w:hAnsi="Calibri" w:cs="Calibri"/>
          <w:color w:val="000000" w:themeColor="text1"/>
          <w:sz w:val="20"/>
          <w:szCs w:val="20"/>
        </w:rPr>
        <w:t xml:space="preserve"> </w:t>
      </w:r>
      <w:r>
        <w:rPr>
          <w:rFonts w:ascii="Calibri" w:hAnsi="Calibri" w:cs="Calibri"/>
          <w:color w:val="000000" w:themeColor="text1"/>
          <w:sz w:val="20"/>
          <w:szCs w:val="20"/>
        </w:rPr>
        <w:t>e tenendo conto del significato associato a:</w:t>
      </w:r>
    </w:p>
    <w:p w14:paraId="58619AAB" w14:textId="1BEFA098"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b/>
          <w:color w:val="000000" w:themeColor="text1"/>
          <w:sz w:val="20"/>
          <w:szCs w:val="20"/>
        </w:rPr>
        <w:t>Riservatezza</w:t>
      </w:r>
      <w:r>
        <w:rPr>
          <w:rFonts w:ascii="Calibri" w:hAnsi="Calibri" w:cs="Calibri"/>
          <w:color w:val="000000" w:themeColor="text1"/>
          <w:sz w:val="20"/>
          <w:szCs w:val="20"/>
        </w:rPr>
        <w:t>: stima del danno/impatto che la perdita di riservatezza comporterebbe per l</w:t>
      </w:r>
      <w:r w:rsidR="006D68B3">
        <w:rPr>
          <w:rFonts w:ascii="Calibri" w:hAnsi="Calibri" w:cs="Calibri"/>
          <w:color w:val="000000" w:themeColor="text1"/>
          <w:sz w:val="20"/>
          <w:szCs w:val="20"/>
        </w:rPr>
        <w:t>’Ente</w:t>
      </w:r>
      <w:r>
        <w:rPr>
          <w:rFonts w:ascii="Calibri" w:hAnsi="Calibri" w:cs="Calibri"/>
          <w:color w:val="000000" w:themeColor="text1"/>
          <w:sz w:val="20"/>
          <w:szCs w:val="20"/>
        </w:rPr>
        <w:t>, in bilanciamento con la tutela interessato.</w:t>
      </w:r>
    </w:p>
    <w:p w14:paraId="33776DE9" w14:textId="6245D03F"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b/>
          <w:color w:val="000000" w:themeColor="text1"/>
          <w:sz w:val="20"/>
          <w:szCs w:val="20"/>
        </w:rPr>
        <w:t>Integrità</w:t>
      </w:r>
      <w:r>
        <w:rPr>
          <w:rFonts w:ascii="Calibri" w:hAnsi="Calibri" w:cs="Calibri"/>
          <w:color w:val="000000" w:themeColor="text1"/>
          <w:sz w:val="20"/>
          <w:szCs w:val="20"/>
        </w:rPr>
        <w:t>: stima del danno/impatto che la perdita di integrità comporterebbe per l</w:t>
      </w:r>
      <w:r w:rsidR="00DF740B">
        <w:rPr>
          <w:rFonts w:ascii="Calibri" w:hAnsi="Calibri" w:cs="Calibri"/>
          <w:color w:val="000000" w:themeColor="text1"/>
          <w:sz w:val="20"/>
          <w:szCs w:val="20"/>
        </w:rPr>
        <w:t>’Ente</w:t>
      </w:r>
      <w:r>
        <w:rPr>
          <w:rFonts w:ascii="Calibri" w:hAnsi="Calibri" w:cs="Calibri"/>
          <w:color w:val="000000" w:themeColor="text1"/>
          <w:sz w:val="20"/>
          <w:szCs w:val="20"/>
        </w:rPr>
        <w:t>, in bilanciamento con la tutela interessato.</w:t>
      </w:r>
    </w:p>
    <w:p w14:paraId="07C04AAE" w14:textId="68CE60C0"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b/>
          <w:color w:val="000000" w:themeColor="text1"/>
          <w:sz w:val="20"/>
          <w:szCs w:val="20"/>
        </w:rPr>
        <w:t>Disponibilità</w:t>
      </w:r>
      <w:r>
        <w:rPr>
          <w:rFonts w:ascii="Calibri" w:hAnsi="Calibri" w:cs="Calibri"/>
          <w:color w:val="000000" w:themeColor="text1"/>
          <w:sz w:val="20"/>
          <w:szCs w:val="20"/>
        </w:rPr>
        <w:t xml:space="preserve">: stima del danno/impatto che la perdita di disponibilità comporterebbe per i servizi </w:t>
      </w:r>
      <w:r w:rsidR="00DF740B">
        <w:rPr>
          <w:rFonts w:ascii="Calibri" w:hAnsi="Calibri" w:cs="Calibri"/>
          <w:color w:val="000000" w:themeColor="text1"/>
          <w:sz w:val="20"/>
          <w:szCs w:val="20"/>
        </w:rPr>
        <w:t xml:space="preserve">al cittadino </w:t>
      </w:r>
      <w:r>
        <w:rPr>
          <w:rFonts w:ascii="Calibri" w:hAnsi="Calibri" w:cs="Calibri"/>
          <w:color w:val="000000" w:themeColor="text1"/>
          <w:sz w:val="20"/>
          <w:szCs w:val="20"/>
        </w:rPr>
        <w:t>offerti</w:t>
      </w:r>
      <w:r w:rsidR="00DF740B">
        <w:rPr>
          <w:rFonts w:ascii="Calibri" w:hAnsi="Calibri" w:cs="Calibri"/>
          <w:color w:val="000000" w:themeColor="text1"/>
          <w:sz w:val="20"/>
          <w:szCs w:val="20"/>
        </w:rPr>
        <w:t xml:space="preserve"> dall’Ente</w:t>
      </w:r>
      <w:r>
        <w:rPr>
          <w:rFonts w:ascii="Calibri" w:hAnsi="Calibri" w:cs="Calibri"/>
          <w:color w:val="000000" w:themeColor="text1"/>
          <w:sz w:val="20"/>
          <w:szCs w:val="20"/>
        </w:rPr>
        <w:t>, in bilanciamento con la tutela interessato.</w:t>
      </w:r>
    </w:p>
    <w:p w14:paraId="76FDB02D" w14:textId="77777777" w:rsidR="004930C1" w:rsidRDefault="002B6799">
      <w:pPr>
        <w:pStyle w:val="Paragrafoelenco"/>
        <w:spacing w:line="320" w:lineRule="exact"/>
        <w:ind w:left="862"/>
        <w:jc w:val="both"/>
        <w:rPr>
          <w:rFonts w:ascii="Calibri" w:hAnsi="Calibri" w:cs="Calibri"/>
          <w:color w:val="000000" w:themeColor="text1"/>
          <w:sz w:val="20"/>
          <w:szCs w:val="20"/>
        </w:rPr>
      </w:pPr>
      <w:r>
        <w:rPr>
          <w:rFonts w:ascii="Calibri" w:hAnsi="Calibri" w:cs="Calibri"/>
          <w:color w:val="000000" w:themeColor="text1"/>
          <w:sz w:val="20"/>
          <w:szCs w:val="20"/>
        </w:rPr>
        <w:t xml:space="preserve">All’esito della valutazione si informa il Titolare del trattamento che ha la facoltà, comunque, di valutare diversamente la gravità del danno. </w:t>
      </w:r>
    </w:p>
    <w:p w14:paraId="7D5CACAC" w14:textId="77777777" w:rsidR="004930C1"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 xml:space="preserve">Azioni a seguito delle decisioni </w:t>
      </w:r>
    </w:p>
    <w:p w14:paraId="67594C47"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Sulla base della casistica in cui si ricade, debbono essere svolte le seguenti azioni: </w:t>
      </w:r>
    </w:p>
    <w:p w14:paraId="67D01B21"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b/>
          <w:color w:val="000000" w:themeColor="text1"/>
          <w:sz w:val="20"/>
          <w:szCs w:val="20"/>
        </w:rPr>
        <w:t>CASO A</w:t>
      </w:r>
      <w:r>
        <w:rPr>
          <w:rFonts w:ascii="Calibri" w:hAnsi="Calibri" w:cs="Calibri"/>
          <w:color w:val="000000" w:themeColor="text1"/>
          <w:sz w:val="20"/>
          <w:szCs w:val="20"/>
        </w:rPr>
        <w:t xml:space="preserve"> – </w:t>
      </w:r>
      <w:r>
        <w:rPr>
          <w:rFonts w:ascii="Calibri" w:hAnsi="Calibri" w:cs="Calibri"/>
          <w:b/>
          <w:bCs/>
          <w:color w:val="000000" w:themeColor="text1"/>
          <w:sz w:val="20"/>
          <w:szCs w:val="20"/>
        </w:rPr>
        <w:t>BASSO RISCHIO CALCOLATO</w:t>
      </w:r>
      <w:r>
        <w:rPr>
          <w:rFonts w:ascii="Calibri" w:hAnsi="Calibri" w:cs="Calibri"/>
          <w:color w:val="000000" w:themeColor="text1"/>
          <w:sz w:val="20"/>
          <w:szCs w:val="20"/>
        </w:rPr>
        <w:t xml:space="preserve"> (livello di gravità della violazione dati: basso):</w:t>
      </w:r>
    </w:p>
    <w:p w14:paraId="35ADAAF0"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si aggiorna il Registro delle violazioni e si chiude l’evento senza eseguire ulteriori comunicazioni; </w:t>
      </w:r>
    </w:p>
    <w:p w14:paraId="62838CE1"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b/>
          <w:color w:val="000000" w:themeColor="text1"/>
          <w:sz w:val="20"/>
          <w:szCs w:val="20"/>
        </w:rPr>
        <w:t>CASO B</w:t>
      </w:r>
      <w:r>
        <w:rPr>
          <w:rFonts w:ascii="Calibri" w:hAnsi="Calibri" w:cs="Calibri"/>
          <w:color w:val="000000" w:themeColor="text1"/>
          <w:sz w:val="20"/>
          <w:szCs w:val="20"/>
        </w:rPr>
        <w:t xml:space="preserve"> - </w:t>
      </w:r>
      <w:r>
        <w:rPr>
          <w:rFonts w:ascii="Calibri" w:hAnsi="Calibri" w:cs="Calibri"/>
          <w:b/>
          <w:bCs/>
          <w:color w:val="000000" w:themeColor="text1"/>
          <w:sz w:val="20"/>
          <w:szCs w:val="20"/>
        </w:rPr>
        <w:t>MEDIO RISCHIO CALCOLATO</w:t>
      </w:r>
      <w:r>
        <w:rPr>
          <w:rFonts w:ascii="Calibri" w:hAnsi="Calibri" w:cs="Calibri"/>
          <w:color w:val="000000" w:themeColor="text1"/>
          <w:sz w:val="20"/>
          <w:szCs w:val="20"/>
        </w:rPr>
        <w:t xml:space="preserve"> che implica l’adozione di trattamento dell’evento ed eventuale Azione Correttiva (livello di gravità della violazione dati: medio):</w:t>
      </w:r>
    </w:p>
    <w:p w14:paraId="6BC08FD1"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si aggiorna il Registro delle violazioni e si procede con le eventuali Azioni Correttive comunicando internamente l’adozione delle azioni di trattamento convenute; </w:t>
      </w:r>
    </w:p>
    <w:p w14:paraId="555A3D56"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b/>
          <w:color w:val="000000" w:themeColor="text1"/>
          <w:sz w:val="20"/>
          <w:szCs w:val="20"/>
        </w:rPr>
        <w:t>CASO C</w:t>
      </w:r>
      <w:r>
        <w:rPr>
          <w:rFonts w:ascii="Calibri" w:hAnsi="Calibri" w:cs="Calibri"/>
          <w:color w:val="000000" w:themeColor="text1"/>
          <w:sz w:val="20"/>
          <w:szCs w:val="20"/>
        </w:rPr>
        <w:t xml:space="preserve"> - </w:t>
      </w:r>
      <w:r>
        <w:rPr>
          <w:rFonts w:ascii="Calibri" w:hAnsi="Calibri" w:cs="Calibri"/>
          <w:b/>
          <w:bCs/>
          <w:color w:val="000000" w:themeColor="text1"/>
          <w:sz w:val="20"/>
          <w:szCs w:val="20"/>
        </w:rPr>
        <w:t>ALTO RISCHIO CALCOLATO</w:t>
      </w:r>
      <w:r>
        <w:rPr>
          <w:rFonts w:ascii="Calibri" w:hAnsi="Calibri" w:cs="Calibri"/>
          <w:color w:val="000000" w:themeColor="text1"/>
          <w:sz w:val="20"/>
          <w:szCs w:val="20"/>
        </w:rPr>
        <w:t xml:space="preserve"> che implica l’adozione di trattamento dell’evento, l’Azione Correttiva e la notifica obbligatoria all'Autorità Garante:</w:t>
      </w:r>
    </w:p>
    <w:p w14:paraId="01EFE230"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si aggiorna il Registro delle violazioni; </w:t>
      </w:r>
    </w:p>
    <w:p w14:paraId="6AC50C06"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si procede con l’adozione di azioni di trattamento dell’evento con le Azioni Correttive; </w:t>
      </w:r>
    </w:p>
    <w:p w14:paraId="246B320D"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si procede con la notifica all’Autorità Garante;</w:t>
      </w:r>
    </w:p>
    <w:p w14:paraId="3F6BEE78"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b/>
          <w:color w:val="000000" w:themeColor="text1"/>
          <w:sz w:val="20"/>
          <w:szCs w:val="20"/>
        </w:rPr>
        <w:t>CASO D - CRITICO RISCHIO CALCOLATO</w:t>
      </w:r>
      <w:r>
        <w:rPr>
          <w:rFonts w:ascii="Calibri" w:hAnsi="Calibri" w:cs="Calibri"/>
          <w:bCs/>
          <w:color w:val="000000" w:themeColor="text1"/>
          <w:sz w:val="20"/>
          <w:szCs w:val="20"/>
        </w:rPr>
        <w:t xml:space="preserve"> che implica, oltre a quanto previsto dal “caso C”, anche la comunicazione obbligatoria agli interessati coinvolti:</w:t>
      </w:r>
      <w:r>
        <w:rPr>
          <w:rFonts w:ascii="Calibri" w:hAnsi="Calibri" w:cs="Calibri"/>
          <w:color w:val="000000" w:themeColor="text1"/>
          <w:sz w:val="20"/>
          <w:szCs w:val="20"/>
        </w:rPr>
        <w:t xml:space="preserve"> </w:t>
      </w:r>
    </w:p>
    <w:p w14:paraId="2AA851F4" w14:textId="01A9B640"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si prepara apposita comunicazione per gli interessati; non sono ammesse forme di comunicazione attraverso canali standard e generalizzate, come social network, sito internet dell</w:t>
      </w:r>
      <w:r w:rsidR="00DF740B">
        <w:rPr>
          <w:rFonts w:ascii="Calibri" w:hAnsi="Calibri" w:cs="Calibri"/>
          <w:color w:val="000000" w:themeColor="text1"/>
          <w:sz w:val="20"/>
          <w:szCs w:val="20"/>
        </w:rPr>
        <w:t>’Ente</w:t>
      </w:r>
      <w:r>
        <w:rPr>
          <w:rFonts w:ascii="Calibri" w:hAnsi="Calibri" w:cs="Calibri"/>
          <w:color w:val="000000" w:themeColor="text1"/>
          <w:sz w:val="20"/>
          <w:szCs w:val="20"/>
        </w:rPr>
        <w:t>, newsletter. Devono essere utilizzate solo comunicazioni con modalità “dedicata” che rendano certo il destinatario, salvi casi, previsti dall'art. 9, nei quali gli interessati non siano raggiungibili o la comunicazione richiederebbe sforzi sproporzionati</w:t>
      </w:r>
      <w:r w:rsidR="00EB4E82">
        <w:rPr>
          <w:rFonts w:ascii="Calibri" w:hAnsi="Calibri" w:cs="Calibri"/>
          <w:color w:val="000000" w:themeColor="text1"/>
          <w:sz w:val="20"/>
          <w:szCs w:val="20"/>
        </w:rPr>
        <w:t>.</w:t>
      </w:r>
    </w:p>
    <w:p w14:paraId="165CC7BF" w14:textId="77777777" w:rsidR="004930C1" w:rsidRDefault="002B6799" w:rsidP="007A2135">
      <w:pPr>
        <w:pStyle w:val="Titolo1"/>
      </w:pPr>
      <w:bookmarkStart w:id="15" w:name="_Toc26539472"/>
      <w:bookmarkStart w:id="16" w:name="_Toc110501599"/>
      <w:r>
        <w:t>Gestione dell’evento e Azioni Correttive</w:t>
      </w:r>
      <w:bookmarkEnd w:id="15"/>
      <w:bookmarkEnd w:id="16"/>
    </w:p>
    <w:p w14:paraId="0067B685"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Quando è prevista un’attività di mitigazione dell’incidente volta a minimizzare gli impatti per gli interessati e, ove possibile, ripristinare la situazione precedente all’incidente, il Team definisce modalità e tempi.  </w:t>
      </w:r>
    </w:p>
    <w:p w14:paraId="25D1AE69"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Il Team valuta la necessità di aggiornare l’analisi dei rischi ed eventualmente la DPIA, se prevista, per tale trattamento e la documentazione (es. procedure di riferimento, nomina a Responsabile del trattamento).  </w:t>
      </w:r>
    </w:p>
    <w:p w14:paraId="781CBE6B"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lastRenderedPageBreak/>
        <w:t>Il Team monitora lo stato di avanzamento delle azioni di mitigazione previste e tiene aggiornato il Registro delle Violazioni.</w:t>
      </w:r>
    </w:p>
    <w:p w14:paraId="01C21A04" w14:textId="77777777" w:rsidR="004930C1" w:rsidRDefault="004930C1">
      <w:pPr>
        <w:spacing w:line="320" w:lineRule="exact"/>
        <w:jc w:val="both"/>
        <w:rPr>
          <w:rFonts w:ascii="Calibri" w:hAnsi="Calibri" w:cs="Calibri"/>
          <w:color w:val="000000" w:themeColor="text1"/>
          <w:sz w:val="20"/>
          <w:szCs w:val="20"/>
        </w:rPr>
      </w:pPr>
    </w:p>
    <w:p w14:paraId="0E6CCAC5" w14:textId="77777777" w:rsidR="004930C1"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 xml:space="preserve">Situazioni anomale o di emergenza </w:t>
      </w:r>
    </w:p>
    <w:p w14:paraId="7EABADB3"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In caso di segnalazioni in situazioni anomale o di emergenza, quali:</w:t>
      </w:r>
    </w:p>
    <w:p w14:paraId="1B339D79"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chiusura temporanea degli uffici (es. periodo di ferie)  </w:t>
      </w:r>
    </w:p>
    <w:p w14:paraId="262CDEBC"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assenza di figure apicali del Team </w:t>
      </w:r>
    </w:p>
    <w:p w14:paraId="2269997B"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assenza di possibilità di collegamento </w:t>
      </w:r>
    </w:p>
    <w:p w14:paraId="4831CC97"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devono essere considerate le seguenti misure: </w:t>
      </w:r>
    </w:p>
    <w:p w14:paraId="39828C94"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 il Team può operare anche con una sola persona tra quelle che lo compongono; </w:t>
      </w:r>
    </w:p>
    <w:p w14:paraId="6057EDCB" w14:textId="77777777" w:rsidR="004930C1" w:rsidRDefault="002B6799">
      <w:pPr>
        <w:pStyle w:val="Paragrafoelenco"/>
        <w:spacing w:line="320" w:lineRule="exact"/>
        <w:ind w:left="862"/>
        <w:jc w:val="both"/>
        <w:rPr>
          <w:rFonts w:ascii="Calibri" w:hAnsi="Calibri" w:cs="Calibri"/>
          <w:color w:val="000000" w:themeColor="text1"/>
          <w:sz w:val="20"/>
          <w:szCs w:val="20"/>
        </w:rPr>
      </w:pPr>
      <w:r>
        <w:rPr>
          <w:rFonts w:ascii="Calibri" w:hAnsi="Calibri" w:cs="Calibri"/>
          <w:color w:val="000000" w:themeColor="text1"/>
          <w:sz w:val="20"/>
          <w:szCs w:val="20"/>
        </w:rPr>
        <w:t>le riunioni del Team possono essere tenute in luoghi diversi dalla sede e tramite altre tipologie di strumenti elettronici (es. conference call, videocall).</w:t>
      </w:r>
    </w:p>
    <w:p w14:paraId="284A7165" w14:textId="77777777" w:rsidR="004930C1" w:rsidRDefault="002B6799" w:rsidP="007A2135">
      <w:pPr>
        <w:pStyle w:val="Titolo1"/>
      </w:pPr>
      <w:bookmarkStart w:id="17" w:name="_Toc26539473"/>
      <w:bookmarkStart w:id="18" w:name="_Toc110501600"/>
      <w:r>
        <w:t>Comunicazioni al Garante e agli interessati</w:t>
      </w:r>
      <w:bookmarkEnd w:id="17"/>
      <w:bookmarkEnd w:id="18"/>
    </w:p>
    <w:p w14:paraId="4AECF1B4"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A seguito di un evento di data breach, deve essere effettuata la notificazione all’Autorità Garante e, nei casi previsti (es. caso D), anche la comunicazione agli interessati.</w:t>
      </w:r>
    </w:p>
    <w:p w14:paraId="7F016133"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La notificazione e la comunicazione sono coordinate dal </w:t>
      </w:r>
      <w:r>
        <w:rPr>
          <w:rFonts w:ascii="Calibri" w:hAnsi="Calibri" w:cs="Calibri"/>
          <w:b/>
          <w:color w:val="000000" w:themeColor="text1"/>
          <w:sz w:val="20"/>
          <w:szCs w:val="20"/>
        </w:rPr>
        <w:t>Team</w:t>
      </w:r>
      <w:r>
        <w:rPr>
          <w:rFonts w:ascii="Calibri" w:hAnsi="Calibri" w:cs="Calibri"/>
          <w:color w:val="000000" w:themeColor="text1"/>
          <w:sz w:val="20"/>
          <w:szCs w:val="20"/>
        </w:rPr>
        <w:t xml:space="preserve">. Le evidenze di tutte le comunicazioni devono essere conservate.  </w:t>
      </w:r>
    </w:p>
    <w:p w14:paraId="1D5F05B4" w14:textId="616A7B2B" w:rsidR="00785436"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Notificazione al Garante</w:t>
      </w:r>
    </w:p>
    <w:p w14:paraId="64C41237" w14:textId="188A61B2" w:rsidR="00DB52C7" w:rsidRPr="00DB52C7" w:rsidRDefault="002B6799" w:rsidP="00DB52C7">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La notificazione al Garante deve essere eseguita </w:t>
      </w:r>
      <w:r w:rsidR="00DB52C7" w:rsidRPr="00DB52C7">
        <w:rPr>
          <w:rFonts w:ascii="Calibri" w:hAnsi="Calibri" w:cs="Calibri"/>
          <w:color w:val="000000" w:themeColor="text1"/>
          <w:sz w:val="20"/>
          <w:szCs w:val="20"/>
        </w:rPr>
        <w:t xml:space="preserve">tramite </w:t>
      </w:r>
      <w:r w:rsidR="00DB52C7">
        <w:rPr>
          <w:rFonts w:ascii="Calibri" w:hAnsi="Calibri" w:cs="Calibri"/>
          <w:color w:val="000000" w:themeColor="text1"/>
          <w:sz w:val="20"/>
          <w:szCs w:val="20"/>
        </w:rPr>
        <w:t>l</w:t>
      </w:r>
      <w:r w:rsidR="00DB52C7" w:rsidRPr="00DB52C7">
        <w:rPr>
          <w:rFonts w:ascii="Calibri" w:hAnsi="Calibri" w:cs="Calibri"/>
          <w:color w:val="000000" w:themeColor="text1"/>
          <w:sz w:val="20"/>
          <w:szCs w:val="20"/>
        </w:rPr>
        <w:t>’apposita procedura telematica, resa disponibile nel portale dei servizi online dell’Autorità, e raggiungibile  all’indirizzo</w:t>
      </w:r>
      <w:r w:rsidR="00DB52C7">
        <w:rPr>
          <w:rFonts w:ascii="Calibri" w:hAnsi="Calibri" w:cs="Calibri"/>
          <w:color w:val="000000" w:themeColor="text1"/>
          <w:sz w:val="20"/>
          <w:szCs w:val="20"/>
        </w:rPr>
        <w:t xml:space="preserve"> </w:t>
      </w:r>
      <w:hyperlink r:id="rId8" w:history="1">
        <w:r w:rsidR="00DB52C7" w:rsidRPr="00291117">
          <w:rPr>
            <w:rStyle w:val="Collegamentoipertestuale"/>
            <w:rFonts w:ascii="Calibri" w:hAnsi="Calibri" w:cs="Calibri"/>
            <w:sz w:val="20"/>
            <w:szCs w:val="20"/>
          </w:rPr>
          <w:t>https://servizi.gpdp.it/databreach/s/</w:t>
        </w:r>
      </w:hyperlink>
      <w:r w:rsidR="00DB52C7">
        <w:rPr>
          <w:rFonts w:ascii="Calibri" w:hAnsi="Calibri" w:cs="Calibri"/>
          <w:color w:val="000000" w:themeColor="text1"/>
          <w:sz w:val="20"/>
          <w:szCs w:val="20"/>
        </w:rPr>
        <w:t xml:space="preserve"> </w:t>
      </w:r>
      <w:r w:rsidR="00DB52C7" w:rsidRPr="00DB52C7">
        <w:rPr>
          <w:rFonts w:ascii="Calibri" w:hAnsi="Calibri" w:cs="Calibri"/>
          <w:color w:val="000000" w:themeColor="text1"/>
          <w:sz w:val="20"/>
          <w:szCs w:val="20"/>
        </w:rPr>
        <w:t>(V</w:t>
      </w:r>
      <w:r w:rsidR="00785436">
        <w:rPr>
          <w:rFonts w:ascii="Calibri" w:hAnsi="Calibri" w:cs="Calibri"/>
          <w:color w:val="000000" w:themeColor="text1"/>
          <w:sz w:val="20"/>
          <w:szCs w:val="20"/>
        </w:rPr>
        <w:t>edi</w:t>
      </w:r>
      <w:r w:rsidR="00DB52C7" w:rsidRPr="00DB52C7">
        <w:rPr>
          <w:rFonts w:ascii="Calibri" w:hAnsi="Calibri" w:cs="Calibri"/>
          <w:color w:val="000000" w:themeColor="text1"/>
          <w:sz w:val="20"/>
          <w:szCs w:val="20"/>
        </w:rPr>
        <w:t>: </w:t>
      </w:r>
      <w:hyperlink r:id="rId9" w:history="1">
        <w:r w:rsidR="00DB52C7" w:rsidRPr="00DB52C7">
          <w:rPr>
            <w:rStyle w:val="Collegamentoipertestuale"/>
            <w:rFonts w:ascii="Calibri" w:hAnsi="Calibri" w:cs="Calibri"/>
            <w:sz w:val="20"/>
            <w:szCs w:val="20"/>
          </w:rPr>
          <w:t>Provvedimento del 27 maggio 2021</w:t>
        </w:r>
      </w:hyperlink>
      <w:r w:rsidR="00DB52C7" w:rsidRPr="00DB52C7">
        <w:rPr>
          <w:rFonts w:ascii="Calibri" w:hAnsi="Calibri" w:cs="Calibri"/>
          <w:color w:val="000000" w:themeColor="text1"/>
          <w:sz w:val="20"/>
          <w:szCs w:val="20"/>
        </w:rPr>
        <w:t>).</w:t>
      </w:r>
    </w:p>
    <w:p w14:paraId="23E62756" w14:textId="240C828F"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Il termine entro cui il Titolare del trattamento deve effettuare la notifica è </w:t>
      </w:r>
      <w:r>
        <w:rPr>
          <w:rFonts w:ascii="Calibri" w:hAnsi="Calibri" w:cs="Calibri"/>
          <w:b/>
          <w:color w:val="000000" w:themeColor="text1"/>
          <w:sz w:val="20"/>
          <w:szCs w:val="20"/>
        </w:rPr>
        <w:t>ove possibile, entro le 72 ore e comunque senza ingiustificato ritardo</w:t>
      </w:r>
      <w:r>
        <w:rPr>
          <w:rFonts w:ascii="Calibri" w:hAnsi="Calibri" w:cs="Calibri"/>
          <w:color w:val="000000" w:themeColor="text1"/>
          <w:sz w:val="20"/>
          <w:szCs w:val="20"/>
        </w:rPr>
        <w:t xml:space="preserve">. Esso decorre dal momento in cui il Titolare del trattamento è venuto a conoscenza della violazione. Ciò significa che la notifica al Garante deve essere fatta tempestivamente e comunque non oltre le 72 ore. Qualora non sia possibile inoltrare la notifica entro il termine indicato di 72 ore, spetterà al Titolare del trattamento giustificare tale circostanza, corredando la notifica tardiva dei motivi del ritardo. È possibile altresì procedere con la </w:t>
      </w:r>
      <w:r w:rsidRPr="00125164">
        <w:rPr>
          <w:rFonts w:ascii="Calibri" w:hAnsi="Calibri" w:cs="Calibri"/>
          <w:b/>
          <w:bCs/>
          <w:color w:val="000000" w:themeColor="text1"/>
          <w:sz w:val="20"/>
          <w:szCs w:val="20"/>
        </w:rPr>
        <w:t>notifica “per fasi”</w:t>
      </w:r>
      <w:r>
        <w:rPr>
          <w:rFonts w:ascii="Calibri" w:hAnsi="Calibri" w:cs="Calibri"/>
          <w:color w:val="000000" w:themeColor="text1"/>
          <w:sz w:val="20"/>
          <w:szCs w:val="20"/>
        </w:rPr>
        <w:t xml:space="preserve"> ogniqualvolta non sia possibile corredare la notifica di tutta la documentazione utile (ad es. perché l'indagine sul Data Breach non si è ancora conclusa e non si dispone di tutti gli elementi atti a circostanziarlo). Si procederà allora con una prima notifica sommaria</w:t>
      </w:r>
      <w:r w:rsidR="00125164">
        <w:rPr>
          <w:rFonts w:ascii="Calibri" w:hAnsi="Calibri" w:cs="Calibri"/>
          <w:color w:val="000000" w:themeColor="text1"/>
          <w:sz w:val="20"/>
          <w:szCs w:val="20"/>
        </w:rPr>
        <w:t xml:space="preserve"> (cd. “notifica preliminare”)</w:t>
      </w:r>
      <w:r>
        <w:rPr>
          <w:rFonts w:ascii="Calibri" w:hAnsi="Calibri" w:cs="Calibri"/>
          <w:color w:val="000000" w:themeColor="text1"/>
          <w:sz w:val="20"/>
          <w:szCs w:val="20"/>
        </w:rPr>
        <w:t>, seguita poi da quelle più dettagliate</w:t>
      </w:r>
      <w:r w:rsidR="00125164">
        <w:rPr>
          <w:rFonts w:ascii="Calibri" w:hAnsi="Calibri" w:cs="Calibri"/>
          <w:color w:val="000000" w:themeColor="text1"/>
          <w:sz w:val="20"/>
          <w:szCs w:val="20"/>
        </w:rPr>
        <w:t xml:space="preserve"> (cd. “notifica integrativa”)</w:t>
      </w:r>
      <w:r>
        <w:rPr>
          <w:rFonts w:ascii="Calibri" w:hAnsi="Calibri" w:cs="Calibri"/>
          <w:color w:val="000000" w:themeColor="text1"/>
          <w:sz w:val="20"/>
          <w:szCs w:val="20"/>
        </w:rPr>
        <w:t>.</w:t>
      </w:r>
    </w:p>
    <w:p w14:paraId="4F7FD56C"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Nello specifico, la notifica al Garante sarà effettuata dal Titolare del trattamento tramite la piattaforma dedicata</w:t>
      </w:r>
      <w:r>
        <w:rPr>
          <w:rStyle w:val="Richiamoallanotaapidipagina"/>
          <w:rFonts w:ascii="Calibri" w:hAnsi="Calibri" w:cs="Calibri"/>
          <w:color w:val="000000" w:themeColor="text1"/>
          <w:sz w:val="20"/>
          <w:szCs w:val="20"/>
        </w:rPr>
        <w:footnoteReference w:id="1"/>
      </w:r>
      <w:r>
        <w:rPr>
          <w:rFonts w:ascii="Calibri" w:hAnsi="Calibri" w:cs="Calibri"/>
          <w:color w:val="000000" w:themeColor="text1"/>
          <w:sz w:val="20"/>
          <w:szCs w:val="20"/>
        </w:rPr>
        <w:t>.</w:t>
      </w:r>
    </w:p>
    <w:p w14:paraId="762B7F80" w14:textId="32F3B50F"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La notifica deve essere sottoscritta digitalmente con firma elettronica qualificata/firma digitale.</w:t>
      </w:r>
    </w:p>
    <w:p w14:paraId="7DC74795"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Si può effettuare una unica complessiva notifica al Garante nelle ipotesi in cui si verifichino nel breve periodo ripetute violazioni, simili tra loro per categorie di dati e tipologia di violazione.</w:t>
      </w:r>
    </w:p>
    <w:p w14:paraId="61122985" w14:textId="77777777" w:rsidR="004930C1"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 xml:space="preserve">Comunicazione agli interessati </w:t>
      </w:r>
    </w:p>
    <w:p w14:paraId="10CFC00A"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La comunicazione all'interessato è obbligatoria </w:t>
      </w:r>
      <w:r>
        <w:rPr>
          <w:rFonts w:ascii="Calibri" w:hAnsi="Calibri" w:cs="Calibri"/>
          <w:b/>
          <w:color w:val="000000" w:themeColor="text1"/>
          <w:sz w:val="20"/>
          <w:szCs w:val="20"/>
        </w:rPr>
        <w:t>se la violazione è suscettibile di presentare un rischio elevato per i suoi diritti e libertà</w:t>
      </w:r>
      <w:r>
        <w:rPr>
          <w:rFonts w:ascii="Calibri" w:hAnsi="Calibri" w:cs="Calibri"/>
          <w:color w:val="000000" w:themeColor="text1"/>
          <w:sz w:val="20"/>
          <w:szCs w:val="20"/>
        </w:rPr>
        <w:t xml:space="preserve"> e può avvenire con modalità diverse, tra le quali: </w:t>
      </w:r>
    </w:p>
    <w:p w14:paraId="0D07089E"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lastRenderedPageBreak/>
        <w:t>comunicazione diretta agli interessati, attraverso un canale dedicato che renda certa l'evidenza al destinatario (es. invio di un'apposita e-mail);</w:t>
      </w:r>
    </w:p>
    <w:p w14:paraId="61E245BA" w14:textId="77777777" w:rsidR="004930C1" w:rsidRDefault="002B6799">
      <w:pPr>
        <w:spacing w:line="320" w:lineRule="exact"/>
        <w:jc w:val="both"/>
        <w:rPr>
          <w:color w:val="000000" w:themeColor="text1"/>
        </w:rPr>
      </w:pPr>
      <w:r>
        <w:rPr>
          <w:rFonts w:ascii="Calibri" w:hAnsi="Calibri" w:cs="Calibri"/>
          <w:color w:val="000000" w:themeColor="text1"/>
          <w:sz w:val="20"/>
          <w:szCs w:val="20"/>
        </w:rPr>
        <w:t>Solo laddove no</w:t>
      </w:r>
      <w:bookmarkStart w:id="19" w:name="__DdeLink__5930_2919128293"/>
      <w:r>
        <w:rPr>
          <w:rFonts w:ascii="Calibri" w:hAnsi="Calibri" w:cs="Calibri"/>
          <w:color w:val="000000" w:themeColor="text1"/>
          <w:sz w:val="20"/>
          <w:szCs w:val="20"/>
        </w:rPr>
        <w:t>n sia possibile raggiungere gli interessati, o la comunicazione richiederebbe sforzi sproporzionati, ad esempio per il numero elevato degli interessati,</w:t>
      </w:r>
      <w:bookmarkEnd w:id="19"/>
      <w:r>
        <w:rPr>
          <w:rFonts w:ascii="Calibri" w:hAnsi="Calibri" w:cs="Calibri"/>
          <w:color w:val="000000" w:themeColor="text1"/>
          <w:sz w:val="20"/>
          <w:szCs w:val="20"/>
        </w:rPr>
        <w:t xml:space="preserve"> attraverso una modalità di comunicazione dedicata:</w:t>
      </w:r>
    </w:p>
    <w:p w14:paraId="4099D07B"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comunicato stampa;</w:t>
      </w:r>
    </w:p>
    <w:p w14:paraId="228CB0DD" w14:textId="31FE02BC" w:rsidR="00EF0108" w:rsidRPr="00EF0108" w:rsidRDefault="002B6799" w:rsidP="00EF0108">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altre forme;</w:t>
      </w:r>
    </w:p>
    <w:p w14:paraId="0EA27F76" w14:textId="77777777" w:rsidR="004930C1" w:rsidRDefault="002B6799">
      <w:pPr>
        <w:spacing w:line="360" w:lineRule="auto"/>
        <w:jc w:val="both"/>
        <w:rPr>
          <w:rFonts w:ascii="Calibri" w:hAnsi="Calibri" w:cs="Calibri"/>
          <w:color w:val="000000" w:themeColor="text1"/>
          <w:sz w:val="20"/>
          <w:szCs w:val="20"/>
        </w:rPr>
      </w:pPr>
      <w:r>
        <w:rPr>
          <w:rFonts w:ascii="Calibri" w:hAnsi="Calibri" w:cs="Calibri"/>
          <w:color w:val="000000" w:themeColor="text1"/>
          <w:sz w:val="20"/>
          <w:szCs w:val="20"/>
        </w:rPr>
        <w:t>Il Titolare deve procedere all'adempimento senza ingiustificato ritardo, ovvero il prima possibile a partire dal momento in cui si è avuta conoscenza dell'evento.</w:t>
      </w:r>
    </w:p>
    <w:p w14:paraId="0B009814" w14:textId="77777777" w:rsidR="004930C1" w:rsidRDefault="002B6799">
      <w:pPr>
        <w:spacing w:line="360" w:lineRule="auto"/>
        <w:jc w:val="both"/>
        <w:rPr>
          <w:rFonts w:ascii="Calibri" w:hAnsi="Calibri" w:cs="Calibri"/>
          <w:color w:val="000000" w:themeColor="text1"/>
          <w:sz w:val="20"/>
          <w:szCs w:val="20"/>
        </w:rPr>
      </w:pPr>
      <w:r>
        <w:rPr>
          <w:rFonts w:ascii="Calibri" w:hAnsi="Calibri" w:cs="Calibri"/>
          <w:color w:val="000000" w:themeColor="text1"/>
          <w:sz w:val="20"/>
          <w:szCs w:val="20"/>
        </w:rPr>
        <w:t>La comunicazione deve essere congruente con quanto di seguito indicato.</w:t>
      </w:r>
    </w:p>
    <w:p w14:paraId="30D6F24F" w14:textId="77777777" w:rsidR="004930C1"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 xml:space="preserve">Linee Guida per la redazione delle comunicazioni agli interessati </w:t>
      </w:r>
    </w:p>
    <w:p w14:paraId="411A9FA2"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Aspetti generali: </w:t>
      </w:r>
    </w:p>
    <w:p w14:paraId="356AE903"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definire il tono della comunicazione che può essere più informale (comunicato) o più formale (dichiarazione ufficiale); </w:t>
      </w:r>
    </w:p>
    <w:p w14:paraId="6179E5CA"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fornire un titolo “giornalistico” che, per quanto possibile, rassicuri gli interessati o perlomeno riduca il livello di allarme, utilizzando parole chiave facilmente rintracciabili sui motori di ricerca qualora venissero ricercate informazioni con tali modalità; </w:t>
      </w:r>
    </w:p>
    <w:p w14:paraId="1C715E16" w14:textId="2367D3FC"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le comunicazioni potrebbero non riguardare soltanto l’evento di </w:t>
      </w:r>
      <w:r w:rsidR="005966CD">
        <w:rPr>
          <w:rFonts w:ascii="Calibri" w:hAnsi="Calibri" w:cs="Calibri"/>
          <w:color w:val="000000" w:themeColor="text1"/>
          <w:sz w:val="20"/>
          <w:szCs w:val="20"/>
        </w:rPr>
        <w:t>d</w:t>
      </w:r>
      <w:r>
        <w:rPr>
          <w:rFonts w:ascii="Calibri" w:hAnsi="Calibri" w:cs="Calibri"/>
          <w:color w:val="000000" w:themeColor="text1"/>
          <w:sz w:val="20"/>
          <w:szCs w:val="20"/>
        </w:rPr>
        <w:t xml:space="preserve">ata </w:t>
      </w:r>
      <w:r w:rsidR="005966CD">
        <w:rPr>
          <w:rFonts w:ascii="Calibri" w:hAnsi="Calibri" w:cs="Calibri"/>
          <w:color w:val="000000" w:themeColor="text1"/>
          <w:sz w:val="20"/>
          <w:szCs w:val="20"/>
        </w:rPr>
        <w:t>b</w:t>
      </w:r>
      <w:r>
        <w:rPr>
          <w:rFonts w:ascii="Calibri" w:hAnsi="Calibri" w:cs="Calibri"/>
          <w:color w:val="000000" w:themeColor="text1"/>
          <w:sz w:val="20"/>
          <w:szCs w:val="20"/>
        </w:rPr>
        <w:t xml:space="preserve">reach, ma anche le informazioni sull’andamento dello stesso nel tempo; </w:t>
      </w:r>
    </w:p>
    <w:p w14:paraId="44333474"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assicurare forme di comunicazione oneste, concrete e trasparenti; </w:t>
      </w:r>
    </w:p>
    <w:p w14:paraId="7B702466"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fare riferimento al Team, al suo ruolo ed al suo impegno nella gestione dell'evento; </w:t>
      </w:r>
    </w:p>
    <w:p w14:paraId="18314A3A" w14:textId="1D032A6B"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mettere in evidenza la storia, l’impegno dell</w:t>
      </w:r>
      <w:r w:rsidR="00DF740B">
        <w:rPr>
          <w:rFonts w:ascii="Calibri" w:hAnsi="Calibri" w:cs="Calibri"/>
          <w:color w:val="000000" w:themeColor="text1"/>
          <w:sz w:val="20"/>
          <w:szCs w:val="20"/>
        </w:rPr>
        <w:t>’Ente</w:t>
      </w:r>
      <w:r>
        <w:rPr>
          <w:rFonts w:ascii="Calibri" w:hAnsi="Calibri" w:cs="Calibri"/>
          <w:color w:val="000000" w:themeColor="text1"/>
          <w:sz w:val="20"/>
          <w:szCs w:val="20"/>
        </w:rPr>
        <w:t xml:space="preserve"> nell’assicurare l’attenzione al tema, gli investimenti fatti, le misure applicate; </w:t>
      </w:r>
    </w:p>
    <w:p w14:paraId="35F95F93" w14:textId="5BE8A7DD"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descrivere l’evento in modo facilmente comprensibile, quale impatto ha avuto sui dati (o quale impatto presumibile può avere – informazioni perse, violate, comunicate a terzi non autorizzati, diffuse, ecc.), come lo si sta affrontando/è stato affrontato, specificare cosa l</w:t>
      </w:r>
      <w:r w:rsidR="00DF740B">
        <w:rPr>
          <w:rFonts w:ascii="Calibri" w:hAnsi="Calibri" w:cs="Calibri"/>
          <w:color w:val="000000" w:themeColor="text1"/>
          <w:sz w:val="20"/>
          <w:szCs w:val="20"/>
        </w:rPr>
        <w:t xml:space="preserve">’Ente </w:t>
      </w:r>
      <w:r>
        <w:rPr>
          <w:rFonts w:ascii="Calibri" w:hAnsi="Calibri" w:cs="Calibri"/>
          <w:color w:val="000000" w:themeColor="text1"/>
          <w:sz w:val="20"/>
          <w:szCs w:val="20"/>
        </w:rPr>
        <w:t xml:space="preserve">sta facendo concretamente per proteggere i dati degli interessati; </w:t>
      </w:r>
    </w:p>
    <w:p w14:paraId="3AD44F56"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indicare quali misure tecniche sono state/saranno implementate per affrontare la violazione dei dati; </w:t>
      </w:r>
    </w:p>
    <w:p w14:paraId="7DF47446"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indicare come e quando è stata coinvolta l’Autorità Garante per la Protezione dei dati personali; </w:t>
      </w:r>
    </w:p>
    <w:p w14:paraId="261DA00F" w14:textId="7416CF39"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inserire un contatto diretto per contattare </w:t>
      </w:r>
      <w:r w:rsidR="00DF740B">
        <w:rPr>
          <w:rFonts w:ascii="Calibri" w:hAnsi="Calibri" w:cs="Calibri"/>
          <w:color w:val="000000" w:themeColor="text1"/>
          <w:sz w:val="20"/>
          <w:szCs w:val="20"/>
        </w:rPr>
        <w:t>il Comune</w:t>
      </w:r>
      <w:r>
        <w:rPr>
          <w:rFonts w:ascii="Calibri" w:hAnsi="Calibri" w:cs="Calibri"/>
          <w:color w:val="000000" w:themeColor="text1"/>
          <w:sz w:val="20"/>
          <w:szCs w:val="20"/>
        </w:rPr>
        <w:t xml:space="preserve"> ed il Team; </w:t>
      </w:r>
    </w:p>
    <w:p w14:paraId="59923863"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considerare di attivare un numero dedicato per rispondere agli interessati; </w:t>
      </w:r>
    </w:p>
    <w:p w14:paraId="598A1F1B"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prevedere link alla pagina del sito web dove sono reperibili ulteriori informazioni sul Data Breach ed anche lo stato dell’andamento dello stesso nel tempo.</w:t>
      </w:r>
    </w:p>
    <w:p w14:paraId="22D8334A" w14:textId="77777777" w:rsidR="004930C1" w:rsidRDefault="002B6799" w:rsidP="007A2135">
      <w:pPr>
        <w:pStyle w:val="Titolo1"/>
      </w:pPr>
      <w:bookmarkStart w:id="20" w:name="_Toc26539474"/>
      <w:bookmarkStart w:id="21" w:name="_Ref110500007"/>
      <w:bookmarkStart w:id="22" w:name="_Toc110501601"/>
      <w:r>
        <w:t>Stima della gravità del Data Breach</w:t>
      </w:r>
      <w:bookmarkEnd w:id="20"/>
      <w:bookmarkEnd w:id="21"/>
      <w:bookmarkEnd w:id="22"/>
    </w:p>
    <w:p w14:paraId="5B34679C"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I principali criteri che si devono prendere in considerazione durante la valutazione della gravità di una violazione dei dati personali (Personal Data Breach) sono:</w:t>
      </w:r>
    </w:p>
    <w:p w14:paraId="0477C1B0" w14:textId="77777777" w:rsidR="004930C1" w:rsidRDefault="002B6799">
      <w:pPr>
        <w:pStyle w:val="Paragrafoelenco"/>
        <w:numPr>
          <w:ilvl w:val="7"/>
          <w:numId w:val="4"/>
        </w:numPr>
        <w:spacing w:line="320" w:lineRule="exact"/>
        <w:ind w:left="567"/>
        <w:jc w:val="both"/>
        <w:rPr>
          <w:rFonts w:ascii="Calibri" w:hAnsi="Calibri" w:cs="Calibri"/>
          <w:color w:val="000000" w:themeColor="text1"/>
          <w:sz w:val="20"/>
          <w:szCs w:val="20"/>
        </w:rPr>
      </w:pPr>
      <w:r>
        <w:rPr>
          <w:rFonts w:ascii="Calibri" w:hAnsi="Calibri" w:cs="Calibri"/>
          <w:b/>
          <w:bCs/>
          <w:color w:val="000000" w:themeColor="text1"/>
          <w:sz w:val="20"/>
          <w:szCs w:val="20"/>
        </w:rPr>
        <w:t>Contesto del trattamento</w:t>
      </w:r>
      <w:r>
        <w:rPr>
          <w:rFonts w:ascii="Calibri" w:hAnsi="Calibri" w:cs="Calibri"/>
          <w:color w:val="000000" w:themeColor="text1"/>
          <w:sz w:val="20"/>
          <w:szCs w:val="20"/>
        </w:rPr>
        <w:t xml:space="preserve"> dei dati: tipologia di dati violati insieme a una serie di fattori collegati al contesto generale della loro elaborazione.  Il contesto è un elemento centrale della metodologia e valuta la criticità di un determinato insieme di dati in un ambito di elaborazione specifico.</w:t>
      </w:r>
    </w:p>
    <w:p w14:paraId="014E33A4" w14:textId="77777777" w:rsidR="004930C1" w:rsidRDefault="002B6799">
      <w:pPr>
        <w:pStyle w:val="Paragrafoelenco"/>
        <w:numPr>
          <w:ilvl w:val="7"/>
          <w:numId w:val="4"/>
        </w:numPr>
        <w:spacing w:line="320" w:lineRule="exact"/>
        <w:ind w:left="567"/>
        <w:jc w:val="both"/>
        <w:rPr>
          <w:rFonts w:ascii="Calibri" w:hAnsi="Calibri" w:cs="Calibri"/>
          <w:color w:val="000000" w:themeColor="text1"/>
          <w:sz w:val="20"/>
          <w:szCs w:val="20"/>
        </w:rPr>
      </w:pPr>
      <w:r>
        <w:rPr>
          <w:rFonts w:ascii="Calibri" w:hAnsi="Calibri" w:cs="Calibri"/>
          <w:b/>
          <w:bCs/>
          <w:color w:val="000000" w:themeColor="text1"/>
          <w:sz w:val="20"/>
          <w:szCs w:val="20"/>
        </w:rPr>
        <w:t>Facilità di identificazione</w:t>
      </w:r>
      <w:r>
        <w:rPr>
          <w:rFonts w:ascii="Calibri" w:hAnsi="Calibri" w:cs="Calibri"/>
          <w:color w:val="000000" w:themeColor="text1"/>
          <w:sz w:val="20"/>
          <w:szCs w:val="20"/>
        </w:rPr>
        <w:t xml:space="preserve">: facilità con cui l'identità degli individui può essere dedotta dai dati coinvolti nella violazione. Tale parametro è un fattore di correzione del Contesto di elaborazione dati, infatti, la criticità complessiva di un Personal Data Breach può essere ridotta in base al valore di facilità di identificazione degli </w:t>
      </w:r>
      <w:r>
        <w:rPr>
          <w:rFonts w:ascii="Calibri" w:hAnsi="Calibri" w:cs="Calibri"/>
          <w:color w:val="000000" w:themeColor="text1"/>
          <w:sz w:val="20"/>
          <w:szCs w:val="20"/>
        </w:rPr>
        <w:lastRenderedPageBreak/>
        <w:t>interessati. In altre parole, minore è la facilità di identificazione dell’individuo, minore è il punteggio complessivo da attribuire alla violazione del dato. Pertanto, la combinazione di Facilità di identificazione e Contesto dell’elaborazione dati (moltiplicazione) fornisce il punteggio iniziale della gravità della violazione dei dati.</w:t>
      </w:r>
    </w:p>
    <w:p w14:paraId="301FBE9F" w14:textId="77777777" w:rsidR="004930C1" w:rsidRDefault="002B6799">
      <w:pPr>
        <w:pStyle w:val="Paragrafoelenco"/>
        <w:numPr>
          <w:ilvl w:val="7"/>
          <w:numId w:val="4"/>
        </w:numPr>
        <w:spacing w:line="320" w:lineRule="exact"/>
        <w:ind w:left="567"/>
        <w:jc w:val="both"/>
        <w:rPr>
          <w:rFonts w:ascii="Calibri" w:hAnsi="Calibri" w:cs="Calibri"/>
          <w:color w:val="000000" w:themeColor="text1"/>
          <w:sz w:val="20"/>
          <w:szCs w:val="20"/>
        </w:rPr>
      </w:pPr>
      <w:r>
        <w:rPr>
          <w:rFonts w:ascii="Calibri" w:hAnsi="Calibri" w:cs="Calibri"/>
          <w:b/>
          <w:bCs/>
          <w:color w:val="000000" w:themeColor="text1"/>
          <w:sz w:val="20"/>
          <w:szCs w:val="20"/>
        </w:rPr>
        <w:t>Circostanze di violazione</w:t>
      </w:r>
      <w:r>
        <w:rPr>
          <w:rFonts w:ascii="Calibri" w:hAnsi="Calibri" w:cs="Calibri"/>
          <w:color w:val="000000" w:themeColor="text1"/>
          <w:sz w:val="20"/>
          <w:szCs w:val="20"/>
        </w:rPr>
        <w:t xml:space="preserve">: criterio che tiene conto delle specifiche circostanze della violazione, inclusa principalmente la perdita di sicurezza dei dati violati, nonché qualsiasi intento malevolo coinvolto. Questo parametro quantifica le circostanze specifiche della violazione che possono essere presenti o meno in una particolare situazione. </w:t>
      </w:r>
    </w:p>
    <w:p w14:paraId="4CE09B66" w14:textId="77777777" w:rsidR="004930C1" w:rsidRDefault="004930C1">
      <w:pPr>
        <w:spacing w:line="320" w:lineRule="exact"/>
        <w:jc w:val="both"/>
        <w:rPr>
          <w:rFonts w:ascii="Calibri" w:hAnsi="Calibri" w:cs="Calibri"/>
          <w:color w:val="000000" w:themeColor="text1"/>
          <w:sz w:val="20"/>
          <w:szCs w:val="20"/>
        </w:rPr>
      </w:pPr>
    </w:p>
    <w:p w14:paraId="5FB681E4"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Sulla base dei criteri di cui sopra, il punteggio finale della valutazione della gravità della violazione di dati Personali (Personal Data Breach) è estratto utilizzando la seguente formula:</w:t>
      </w:r>
    </w:p>
    <w:p w14:paraId="77A1E449" w14:textId="77777777" w:rsidR="004930C1"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Gravità = (Contesto di trattamento dati * Facilità identificazione) + Circostanze violazione</w:t>
      </w:r>
    </w:p>
    <w:p w14:paraId="18BFCA45"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Il risultato finale della gravità corrisponde a uno dei seguenti quattro livelli: basso, medio, alto e critico (cfr. Tabella A.2).</w:t>
      </w:r>
    </w:p>
    <w:p w14:paraId="10BF7563" w14:textId="77777777" w:rsidR="004930C1" w:rsidRDefault="004930C1">
      <w:pPr>
        <w:spacing w:line="320" w:lineRule="exact"/>
        <w:jc w:val="both"/>
        <w:rPr>
          <w:rFonts w:ascii="Calibri" w:hAnsi="Calibri" w:cs="Calibri"/>
          <w:color w:val="000000" w:themeColor="text1"/>
          <w:sz w:val="20"/>
          <w:szCs w:val="20"/>
        </w:rPr>
      </w:pPr>
    </w:p>
    <w:p w14:paraId="1C0712E9" w14:textId="77777777" w:rsidR="004930C1" w:rsidRDefault="002B6799">
      <w:pPr>
        <w:spacing w:line="320" w:lineRule="exact"/>
        <w:jc w:val="both"/>
        <w:rPr>
          <w:rFonts w:ascii="Calibri" w:hAnsi="Calibri" w:cs="Calibri"/>
          <w:b/>
          <w:i/>
          <w:color w:val="000000" w:themeColor="text1"/>
          <w:sz w:val="20"/>
          <w:szCs w:val="20"/>
        </w:rPr>
      </w:pPr>
      <w:r>
        <w:rPr>
          <w:rFonts w:ascii="Calibri" w:hAnsi="Calibri" w:cs="Calibri"/>
          <w:b/>
          <w:i/>
          <w:color w:val="000000" w:themeColor="text1"/>
          <w:sz w:val="20"/>
          <w:szCs w:val="20"/>
        </w:rPr>
        <w:t>Punteggio Contesto</w:t>
      </w:r>
    </w:p>
    <w:p w14:paraId="566D341C" w14:textId="312ADF60"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Classificare i dati in almeno una delle tre categorie: Personali/Anagrafici/identificativi, Rischiosi, Particolari / Relativi a condanne penali e reati. A ciascuna categoria dovrà essere attribuita una descrizione e attribuito un punteggio.</w:t>
      </w:r>
    </w:p>
    <w:p w14:paraId="54C8293C" w14:textId="77777777" w:rsidR="00137E75" w:rsidRDefault="00137E75">
      <w:pPr>
        <w:spacing w:line="320" w:lineRule="exact"/>
        <w:jc w:val="both"/>
        <w:rPr>
          <w:rFonts w:ascii="Calibri" w:hAnsi="Calibri" w:cs="Calibri"/>
          <w:color w:val="000000" w:themeColor="text1"/>
          <w:sz w:val="20"/>
          <w:szCs w:val="20"/>
        </w:rPr>
      </w:pPr>
    </w:p>
    <w:p w14:paraId="3674EA3E" w14:textId="77777777" w:rsidR="004930C1" w:rsidRDefault="002B6799">
      <w:pPr>
        <w:pStyle w:val="Paragrafoelenco"/>
        <w:numPr>
          <w:ilvl w:val="0"/>
          <w:numId w:val="3"/>
        </w:num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Personale/ Anagrafico/Identificativo</w:t>
      </w:r>
    </w:p>
    <w:p w14:paraId="3E4B1EB8"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62E65CA5" w14:textId="758C27C2" w:rsidR="004930C1" w:rsidRDefault="002B6799">
      <w:pPr>
        <w:spacing w:line="320" w:lineRule="exact"/>
        <w:jc w:val="both"/>
        <w:rPr>
          <w:rFonts w:ascii="Calibri" w:hAnsi="Calibri" w:cs="Calibri"/>
          <w:b/>
          <w:i/>
          <w:color w:val="000000" w:themeColor="text1"/>
          <w:sz w:val="20"/>
          <w:szCs w:val="20"/>
        </w:rPr>
      </w:pPr>
      <w:r>
        <w:rPr>
          <w:rFonts w:ascii="Calibri" w:hAnsi="Calibri" w:cs="Calibri"/>
          <w:b/>
          <w:i/>
          <w:color w:val="000000" w:themeColor="text1"/>
          <w:sz w:val="20"/>
          <w:szCs w:val="20"/>
        </w:rPr>
        <w:t>Punteggio</w:t>
      </w:r>
      <w:r w:rsidR="003C019F">
        <w:rPr>
          <w:rFonts w:ascii="Calibri" w:hAnsi="Calibri" w:cs="Calibri"/>
          <w:b/>
          <w:i/>
          <w:color w:val="000000" w:themeColor="text1"/>
          <w:sz w:val="20"/>
          <w:szCs w:val="20"/>
        </w:rPr>
        <w:t xml:space="preserve"> </w:t>
      </w:r>
      <w:r>
        <w:rPr>
          <w:rFonts w:ascii="Calibri" w:hAnsi="Calibri" w:cs="Calibri"/>
          <w:b/>
          <w:i/>
          <w:color w:val="000000" w:themeColor="text1"/>
          <w:sz w:val="20"/>
          <w:szCs w:val="20"/>
        </w:rPr>
        <w:t>1</w:t>
      </w:r>
    </w:p>
    <w:p w14:paraId="3A7D240C" w14:textId="77777777" w:rsidR="004930C1" w:rsidRDefault="004930C1">
      <w:pPr>
        <w:spacing w:line="320" w:lineRule="exact"/>
        <w:jc w:val="both"/>
        <w:rPr>
          <w:rFonts w:ascii="Calibri" w:hAnsi="Calibri" w:cs="Calibri"/>
          <w:b/>
          <w:i/>
          <w:color w:val="000000" w:themeColor="text1"/>
          <w:sz w:val="20"/>
          <w:szCs w:val="20"/>
        </w:rPr>
      </w:pPr>
    </w:p>
    <w:p w14:paraId="6DDCAEBB" w14:textId="77777777" w:rsidR="004930C1" w:rsidRDefault="002B6799">
      <w:pPr>
        <w:pStyle w:val="Paragrafoelenco"/>
        <w:numPr>
          <w:ilvl w:val="0"/>
          <w:numId w:val="3"/>
        </w:num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Rischioso</w:t>
      </w:r>
    </w:p>
    <w:p w14:paraId="46283BFC"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Qualsiasi informazione consistente nell'utilizzo di dati personali atti a valutare determinati aspetti personali relativi a una persona fisica. Ad esempio, per analizzare o prevedere aspetti riguardanti il rendimento professionale, la situazione economica, le preferenze personali, gli interessi, l'affidabilità, il comportamento, l'ubicazione o gli spostamenti di detta persona fisica. </w:t>
      </w:r>
    </w:p>
    <w:p w14:paraId="10921CB9" w14:textId="77777777" w:rsidR="004930C1" w:rsidRDefault="002B6799">
      <w:pPr>
        <w:spacing w:line="320" w:lineRule="exact"/>
        <w:jc w:val="both"/>
        <w:rPr>
          <w:rFonts w:ascii="Calibri" w:hAnsi="Calibri" w:cs="Calibri"/>
          <w:b/>
          <w:i/>
          <w:color w:val="000000" w:themeColor="text1"/>
          <w:sz w:val="20"/>
          <w:szCs w:val="20"/>
        </w:rPr>
      </w:pPr>
      <w:r>
        <w:rPr>
          <w:rFonts w:ascii="Calibri" w:hAnsi="Calibri" w:cs="Calibri"/>
          <w:b/>
          <w:i/>
          <w:color w:val="000000" w:themeColor="text1"/>
          <w:sz w:val="20"/>
          <w:szCs w:val="20"/>
        </w:rPr>
        <w:t>Punteggio 2</w:t>
      </w:r>
    </w:p>
    <w:p w14:paraId="5064A771" w14:textId="77777777" w:rsidR="004930C1" w:rsidRDefault="004930C1">
      <w:pPr>
        <w:spacing w:line="320" w:lineRule="exact"/>
        <w:jc w:val="both"/>
        <w:rPr>
          <w:rFonts w:ascii="Calibri" w:hAnsi="Calibri" w:cs="Calibri"/>
          <w:b/>
          <w:i/>
          <w:color w:val="000000" w:themeColor="text1"/>
          <w:sz w:val="20"/>
          <w:szCs w:val="20"/>
        </w:rPr>
      </w:pPr>
    </w:p>
    <w:p w14:paraId="407889C5" w14:textId="77777777" w:rsidR="004930C1" w:rsidRDefault="002B6799">
      <w:pPr>
        <w:pStyle w:val="Paragrafoelenco"/>
        <w:numPr>
          <w:ilvl w:val="0"/>
          <w:numId w:val="3"/>
        </w:num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Categorie Particolari di dati e/o relativi a reati o condanne penali</w:t>
      </w:r>
    </w:p>
    <w:p w14:paraId="6B4A1DBC"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In questa categoria rientrano una o più tipologie di informazioni:</w:t>
      </w:r>
    </w:p>
    <w:p w14:paraId="1563A6F7"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“dati genetici”: i dati personali relativi alle caratteristiche genetiche ereditarie o acquisite di una persona fisica che forniscono informazioni univoche sulla fisiologia o sulla salute di detta persona fisica, e che risultano in particolare dall'analisi di un campione biologico della persona fisica in questione; </w:t>
      </w:r>
    </w:p>
    <w:p w14:paraId="2B091A56"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“dati biometrici”: i dati personali ottenuti da un trattamento tecnico specifico relativi alle caratteristiche fisiche, fisiologiche o comportamentali di una persona fisica che ne consentono o confermano l'identificazione univoca, quali l'immagine facciale o i dati dattiloscopici; </w:t>
      </w:r>
    </w:p>
    <w:p w14:paraId="17442F75"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“dati relativi alla salute”: i dati personali attinenti alla salute fisica o mentale di una persona fisica, compresa la prestazione di servizi di assistenza sanitaria, che rivelano informazioni relative al suo stato di salute;</w:t>
      </w:r>
    </w:p>
    <w:p w14:paraId="2DDD69A8"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lastRenderedPageBreak/>
        <w:t>dati che rivelino l'origine razziale o etnica, le opinioni politiche, le convinzioni religiose o filosofiche, l'appartenenza sindacale o la vita sessuale o all'orientamento sessuale della persona;</w:t>
      </w:r>
    </w:p>
    <w:p w14:paraId="222B16D1"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“dati relativi a condanne penali e reati”: dati personali relativi a condanne penali e a reati o a connesse misure di sicurezza.</w:t>
      </w:r>
    </w:p>
    <w:p w14:paraId="6A172006" w14:textId="77777777" w:rsidR="004930C1" w:rsidRDefault="002B6799">
      <w:pPr>
        <w:rPr>
          <w:rFonts w:ascii="Calibri" w:hAnsi="Calibri" w:cs="Calibri"/>
          <w:b/>
          <w:i/>
          <w:color w:val="000000" w:themeColor="text1"/>
          <w:sz w:val="20"/>
          <w:szCs w:val="20"/>
        </w:rPr>
      </w:pPr>
      <w:r>
        <w:rPr>
          <w:rFonts w:ascii="Calibri" w:hAnsi="Calibri" w:cs="Calibri"/>
          <w:b/>
          <w:i/>
          <w:color w:val="000000" w:themeColor="text1"/>
          <w:sz w:val="20"/>
          <w:szCs w:val="20"/>
        </w:rPr>
        <w:t>Punteggio 3</w:t>
      </w:r>
    </w:p>
    <w:p w14:paraId="143466B1" w14:textId="77777777" w:rsidR="004930C1" w:rsidRDefault="004930C1">
      <w:pPr>
        <w:rPr>
          <w:rFonts w:ascii="Calibri" w:hAnsi="Calibri" w:cs="Calibri"/>
          <w:b/>
          <w:color w:val="000000" w:themeColor="text1"/>
          <w:sz w:val="20"/>
          <w:szCs w:val="20"/>
        </w:rPr>
      </w:pPr>
    </w:p>
    <w:p w14:paraId="395445FB" w14:textId="77777777" w:rsidR="004930C1"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Punteggio Facilità di identificazione</w:t>
      </w:r>
    </w:p>
    <w:p w14:paraId="710D7211"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La facilità d’identificazione valuta quanto sarà facile abbinare univocamente i dati violati all’identità di una determinata persona e quindi quanto è probabile la sua identificazione.</w:t>
      </w:r>
    </w:p>
    <w:p w14:paraId="2BDDE5BF"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Ai fini di questa metodologia sono stati definiti tre livelli (trascurabile, significativo e massimo) descritti in dettaglio nel seguente elenco:</w:t>
      </w:r>
    </w:p>
    <w:p w14:paraId="7AC395B1" w14:textId="77777777" w:rsidR="004930C1" w:rsidRDefault="002B6799">
      <w:pPr>
        <w:widowControl w:val="0"/>
        <w:numPr>
          <w:ilvl w:val="0"/>
          <w:numId w:val="2"/>
        </w:num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Livello Trascurabile → Punteggio 0,25</w:t>
      </w:r>
    </w:p>
    <w:p w14:paraId="3C52A82E"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Quando il dato oggetto di Data Breach, di per sé, non rileva l’identità dell’individuo e non è possibile associarvi ulteriori informazioni (es. i dati sono cifrati).</w:t>
      </w:r>
    </w:p>
    <w:p w14:paraId="4A0AB05F" w14:textId="77777777" w:rsidR="004930C1" w:rsidRDefault="004930C1">
      <w:pPr>
        <w:spacing w:line="320" w:lineRule="exact"/>
        <w:jc w:val="both"/>
        <w:rPr>
          <w:rFonts w:ascii="Calibri" w:hAnsi="Calibri" w:cs="Calibri"/>
          <w:color w:val="000000" w:themeColor="text1"/>
          <w:sz w:val="20"/>
          <w:szCs w:val="20"/>
        </w:rPr>
      </w:pPr>
    </w:p>
    <w:p w14:paraId="171D072E" w14:textId="77777777" w:rsidR="004930C1" w:rsidRDefault="002B6799">
      <w:pPr>
        <w:widowControl w:val="0"/>
        <w:numPr>
          <w:ilvl w:val="0"/>
          <w:numId w:val="2"/>
        </w:num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Livello Significativo → Punteggio 0,75</w:t>
      </w:r>
    </w:p>
    <w:p w14:paraId="4FA91AF2"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Quando il dato oggetto di Data Breach, di per sé, non rileva l’identità dell’individuo ma ne rivela ulteriori informazioni identificative (ad es. la data di nascita) ed è collegato ad altri dati (ad esempio indirizzo postale).</w:t>
      </w:r>
    </w:p>
    <w:p w14:paraId="257B8856" w14:textId="77777777" w:rsidR="004930C1" w:rsidRDefault="004930C1">
      <w:pPr>
        <w:spacing w:line="320" w:lineRule="exact"/>
        <w:jc w:val="both"/>
        <w:rPr>
          <w:rFonts w:ascii="Calibri" w:hAnsi="Calibri" w:cs="Calibri"/>
          <w:color w:val="000000" w:themeColor="text1"/>
          <w:sz w:val="20"/>
          <w:szCs w:val="20"/>
        </w:rPr>
      </w:pPr>
    </w:p>
    <w:p w14:paraId="0F2A1D97" w14:textId="77777777" w:rsidR="004930C1" w:rsidRDefault="002B6799">
      <w:pPr>
        <w:widowControl w:val="0"/>
        <w:numPr>
          <w:ilvl w:val="0"/>
          <w:numId w:val="2"/>
        </w:num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 xml:space="preserve">Livello Massimo → Punteggio 1 </w:t>
      </w:r>
    </w:p>
    <w:p w14:paraId="5DBDF53B"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Quando i dati oggetto del Data Breach rivelano l’identità dell’individuo.</w:t>
      </w:r>
    </w:p>
    <w:p w14:paraId="5B75CE4B" w14:textId="77777777" w:rsidR="004930C1" w:rsidRDefault="004930C1">
      <w:pPr>
        <w:spacing w:line="360" w:lineRule="auto"/>
        <w:jc w:val="both"/>
        <w:rPr>
          <w:rFonts w:ascii="Calibri" w:hAnsi="Calibri" w:cs="Calibri"/>
          <w:color w:val="000000" w:themeColor="text1"/>
          <w:sz w:val="20"/>
          <w:szCs w:val="20"/>
        </w:rPr>
      </w:pPr>
    </w:p>
    <w:p w14:paraId="517808BC" w14:textId="77777777" w:rsidR="004930C1" w:rsidRDefault="002B6799">
      <w:pPr>
        <w:spacing w:line="320" w:lineRule="exact"/>
        <w:jc w:val="both"/>
        <w:rPr>
          <w:rFonts w:ascii="Calibri" w:hAnsi="Calibri" w:cs="Calibri"/>
          <w:b/>
          <w:i/>
          <w:color w:val="000000" w:themeColor="text1"/>
          <w:sz w:val="20"/>
          <w:szCs w:val="20"/>
        </w:rPr>
      </w:pPr>
      <w:r>
        <w:rPr>
          <w:rFonts w:ascii="Calibri" w:hAnsi="Calibri" w:cs="Calibri"/>
          <w:b/>
          <w:i/>
          <w:color w:val="000000" w:themeColor="text1"/>
          <w:sz w:val="20"/>
          <w:szCs w:val="20"/>
        </w:rPr>
        <w:t xml:space="preserve">Punteggio Circostanze della violazione </w:t>
      </w:r>
    </w:p>
    <w:p w14:paraId="04F3E6F2"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Gli elementi considerati riguardanti le circostanze della violazione sono la perdita di sicurezza (riservatezza, integrità, disponibilità) e le intenzioni malevole:</w:t>
      </w:r>
    </w:p>
    <w:p w14:paraId="1BEF92CE"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b/>
          <w:color w:val="000000" w:themeColor="text1"/>
          <w:sz w:val="20"/>
          <w:szCs w:val="20"/>
        </w:rPr>
        <w:t>Perdita di riservatezza:</w:t>
      </w:r>
      <w:r>
        <w:rPr>
          <w:rFonts w:ascii="Calibri" w:hAnsi="Calibri" w:cs="Calibri"/>
          <w:color w:val="000000" w:themeColor="text1"/>
          <w:sz w:val="20"/>
          <w:szCs w:val="20"/>
        </w:rPr>
        <w:t xml:space="preserve"> si verifica quando le informazioni sono accessibili da parti che non sono autorizzate o che non hanno uno scopo legittimo nell'accedervi. L'entità della perdita di riservatezza varia a seconda della portata della divulgazione, ovvero il numero potenziale e il tipo di parti che possono avere accesso illecito all'informazione.</w:t>
      </w:r>
    </w:p>
    <w:p w14:paraId="50DFA7DA"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b/>
          <w:color w:val="000000" w:themeColor="text1"/>
          <w:sz w:val="20"/>
          <w:szCs w:val="20"/>
        </w:rPr>
        <w:t>Perdita di integrità:</w:t>
      </w:r>
      <w:r>
        <w:rPr>
          <w:rFonts w:ascii="Calibri" w:hAnsi="Calibri" w:cs="Calibri"/>
          <w:color w:val="000000" w:themeColor="text1"/>
          <w:sz w:val="20"/>
          <w:szCs w:val="20"/>
        </w:rPr>
        <w:t xml:space="preserve"> si verifica quando le informazioni originali vengono alterate e la sostituzione dei dati può essere pregiudizievole per l'individuo. La situazione più grave si verifica quando esistono gravi possibilità che i dati modificati siano stati utilizzati in un modo tale da danneggiare l'individuo.</w:t>
      </w:r>
    </w:p>
    <w:p w14:paraId="2F3726D2"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b/>
          <w:color w:val="000000" w:themeColor="text1"/>
          <w:sz w:val="20"/>
          <w:szCs w:val="20"/>
        </w:rPr>
        <w:t>Perdita di disponibilità:</w:t>
      </w:r>
      <w:r>
        <w:rPr>
          <w:rFonts w:ascii="Calibri" w:hAnsi="Calibri" w:cs="Calibri"/>
          <w:color w:val="000000" w:themeColor="text1"/>
          <w:sz w:val="20"/>
          <w:szCs w:val="20"/>
        </w:rPr>
        <w:t xml:space="preserve"> la perdita di disponibilità si verifica quando non è possibile accedere ai dati originali. Può essere temporanea (i dati sono recuperabili ma in un apprezzabile periodo di tempo) o permanente (i dati non possono essere recuperati).</w:t>
      </w:r>
    </w:p>
    <w:p w14:paraId="71D90AD9" w14:textId="77777777" w:rsidR="004930C1" w:rsidRDefault="002B6799">
      <w:pPr>
        <w:pStyle w:val="Paragrafoelenco"/>
        <w:numPr>
          <w:ilvl w:val="0"/>
          <w:numId w:val="3"/>
        </w:numPr>
        <w:spacing w:line="320" w:lineRule="exact"/>
        <w:jc w:val="both"/>
        <w:rPr>
          <w:rFonts w:ascii="Calibri" w:hAnsi="Calibri" w:cs="Calibri"/>
          <w:color w:val="000000" w:themeColor="text1"/>
          <w:sz w:val="20"/>
          <w:szCs w:val="20"/>
        </w:rPr>
      </w:pPr>
      <w:r>
        <w:rPr>
          <w:rFonts w:ascii="Calibri" w:hAnsi="Calibri" w:cs="Calibri"/>
          <w:b/>
          <w:color w:val="000000" w:themeColor="text1"/>
          <w:sz w:val="20"/>
          <w:szCs w:val="20"/>
        </w:rPr>
        <w:t>Intento malevolo:</w:t>
      </w:r>
      <w:r>
        <w:rPr>
          <w:rFonts w:ascii="Calibri" w:hAnsi="Calibri" w:cs="Calibri"/>
          <w:color w:val="000000" w:themeColor="text1"/>
          <w:sz w:val="20"/>
          <w:szCs w:val="20"/>
        </w:rPr>
        <w:t xml:space="preserve"> questo elemento esamina se la violazione è dovuta a un errore, umano o tecnico, o è stata causata da un'azione intenzionale. Violazioni fraudolente includono casi di furto e hacking che mirano a danneggiare le persone (ad es. esponendo i loro dati personali a terzi non autorizzati). In altri casi, l'intento malevolo potrebbe includere il trasferimento di dati personali a terzi a scopo di lucro (ad es. la vendita di elenchi di dati personali). In alcuni casi, l'intento malevolo potrebbe anche essere desunto da azioni volte a danneggiare il responsabile del trattamento dei dati (ad esempio attraverso il furto e l'esposizione dei dati personali a soggetti non autorizzati).</w:t>
      </w:r>
    </w:p>
    <w:p w14:paraId="2E820864" w14:textId="77777777" w:rsidR="004930C1" w:rsidRDefault="004930C1">
      <w:pPr>
        <w:spacing w:line="320" w:lineRule="exact"/>
        <w:jc w:val="both"/>
        <w:rPr>
          <w:rFonts w:ascii="Calibri" w:hAnsi="Calibri" w:cs="Calibri"/>
          <w:color w:val="000000" w:themeColor="text1"/>
          <w:sz w:val="20"/>
          <w:szCs w:val="20"/>
        </w:rPr>
      </w:pPr>
    </w:p>
    <w:p w14:paraId="4D88AAFC" w14:textId="77777777" w:rsidR="004930C1" w:rsidRDefault="002B6799">
      <w:pPr>
        <w:pStyle w:val="Paragrafoelenco"/>
        <w:numPr>
          <w:ilvl w:val="0"/>
          <w:numId w:val="5"/>
        </w:numPr>
        <w:jc w:val="both"/>
        <w:rPr>
          <w:rFonts w:ascii="Calibri" w:hAnsi="Calibri" w:cs="Calibri"/>
          <w:color w:val="000000" w:themeColor="text1"/>
          <w:sz w:val="20"/>
          <w:szCs w:val="20"/>
        </w:rPr>
      </w:pPr>
      <w:r>
        <w:rPr>
          <w:rFonts w:ascii="Calibri" w:hAnsi="Calibri" w:cs="Calibri"/>
          <w:b/>
          <w:color w:val="000000" w:themeColor="text1"/>
          <w:sz w:val="20"/>
          <w:szCs w:val="20"/>
        </w:rPr>
        <w:lastRenderedPageBreak/>
        <w:t>N.B.</w:t>
      </w:r>
      <w:r>
        <w:rPr>
          <w:rFonts w:ascii="Calibri" w:hAnsi="Calibri" w:cs="Calibri"/>
          <w:color w:val="000000" w:themeColor="text1"/>
          <w:sz w:val="20"/>
          <w:szCs w:val="20"/>
        </w:rPr>
        <w:t xml:space="preserve"> Nella valutazione delle Circostanze deve essere preso il punteggio più alto associato alle tipologie di violazione esaminate.</w:t>
      </w:r>
    </w:p>
    <w:p w14:paraId="0F146A67"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Di seguito i diversi punteggi per ciascuna caratteristica della sicurezza dei dati e per i diversi tipi di circostanze.</w:t>
      </w:r>
    </w:p>
    <w:p w14:paraId="1D42B7A1" w14:textId="77777777" w:rsidR="004930C1" w:rsidRDefault="004930C1">
      <w:pPr>
        <w:spacing w:line="320" w:lineRule="exact"/>
        <w:jc w:val="both"/>
        <w:rPr>
          <w:rFonts w:ascii="Calibri" w:hAnsi="Calibri" w:cs="Calibri"/>
          <w:color w:val="000000" w:themeColor="text1"/>
          <w:sz w:val="20"/>
          <w:szCs w:val="20"/>
        </w:rPr>
      </w:pPr>
    </w:p>
    <w:p w14:paraId="238B5689"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Tabella A1</w:t>
      </w:r>
    </w:p>
    <w:tbl>
      <w:tblPr>
        <w:tblW w:w="9925" w:type="dxa"/>
        <w:tblInd w:w="-5" w:type="dxa"/>
        <w:tblLayout w:type="fixed"/>
        <w:tblCellMar>
          <w:left w:w="103" w:type="dxa"/>
        </w:tblCellMar>
        <w:tblLook w:val="04A0" w:firstRow="1" w:lastRow="0" w:firstColumn="1" w:lastColumn="0" w:noHBand="0" w:noVBand="1"/>
      </w:tblPr>
      <w:tblGrid>
        <w:gridCol w:w="2212"/>
        <w:gridCol w:w="1796"/>
        <w:gridCol w:w="2054"/>
        <w:gridCol w:w="2811"/>
        <w:gridCol w:w="1052"/>
      </w:tblGrid>
      <w:tr w:rsidR="004930C1" w14:paraId="544762E7" w14:textId="77777777">
        <w:trPr>
          <w:tblHeader/>
        </w:trPr>
        <w:tc>
          <w:tcPr>
            <w:tcW w:w="8873" w:type="dxa"/>
            <w:gridSpan w:val="4"/>
            <w:tcBorders>
              <w:top w:val="single" w:sz="4" w:space="0" w:color="00000A"/>
              <w:left w:val="single" w:sz="4" w:space="0" w:color="00000A"/>
              <w:bottom w:val="single" w:sz="4" w:space="0" w:color="00000A"/>
              <w:right w:val="single" w:sz="4" w:space="0" w:color="00000A"/>
            </w:tcBorders>
            <w:shd w:val="clear" w:color="auto" w:fill="808080"/>
          </w:tcPr>
          <w:p w14:paraId="33837E57" w14:textId="77777777" w:rsidR="004930C1" w:rsidRDefault="002B6799">
            <w:pPr>
              <w:pStyle w:val="PreformattatoHTML"/>
              <w:jc w:val="center"/>
              <w:rPr>
                <w:rFonts w:asciiTheme="minorHAnsi" w:eastAsia="Calibri" w:hAnsiTheme="minorHAnsi" w:cstheme="minorHAnsi"/>
                <w:b/>
                <w:color w:val="000000" w:themeColor="text1"/>
                <w:lang w:eastAsia="en-US"/>
              </w:rPr>
            </w:pPr>
            <w:r>
              <w:rPr>
                <w:rFonts w:asciiTheme="minorHAnsi" w:eastAsia="Calibri" w:hAnsiTheme="minorHAnsi" w:cstheme="minorHAnsi"/>
                <w:b/>
                <w:color w:val="000000" w:themeColor="text1"/>
                <w:lang w:eastAsia="en-US"/>
              </w:rPr>
              <w:t>TIPOLOGIA VIOLAZIONE</w:t>
            </w:r>
          </w:p>
        </w:tc>
        <w:tc>
          <w:tcPr>
            <w:tcW w:w="1052" w:type="dxa"/>
            <w:tcBorders>
              <w:top w:val="single" w:sz="4" w:space="0" w:color="00000A"/>
              <w:left w:val="single" w:sz="4" w:space="0" w:color="00000A"/>
              <w:bottom w:val="single" w:sz="4" w:space="0" w:color="00000A"/>
              <w:right w:val="single" w:sz="4" w:space="0" w:color="00000A"/>
            </w:tcBorders>
            <w:shd w:val="clear" w:color="auto" w:fill="808080"/>
          </w:tcPr>
          <w:p w14:paraId="5692AEC3" w14:textId="77777777" w:rsidR="004930C1" w:rsidRDefault="002B6799">
            <w:pPr>
              <w:pStyle w:val="PreformattatoHTML"/>
              <w:jc w:val="center"/>
              <w:rPr>
                <w:rFonts w:asciiTheme="minorHAnsi" w:eastAsia="Calibri" w:hAnsiTheme="minorHAnsi" w:cstheme="minorHAnsi"/>
                <w:b/>
                <w:color w:val="000000" w:themeColor="text1"/>
                <w:lang w:eastAsia="en-US"/>
              </w:rPr>
            </w:pPr>
            <w:r>
              <w:rPr>
                <w:rFonts w:asciiTheme="minorHAnsi" w:eastAsia="Calibri" w:hAnsiTheme="minorHAnsi" w:cstheme="minorHAnsi"/>
                <w:b/>
                <w:color w:val="000000" w:themeColor="text1"/>
                <w:lang w:eastAsia="en-US"/>
              </w:rPr>
              <w:t>Punteggio</w:t>
            </w:r>
          </w:p>
        </w:tc>
      </w:tr>
      <w:tr w:rsidR="004930C1" w14:paraId="029B374D" w14:textId="77777777">
        <w:trPr>
          <w:tblHeader/>
        </w:trPr>
        <w:tc>
          <w:tcPr>
            <w:tcW w:w="2212" w:type="dxa"/>
            <w:tcBorders>
              <w:top w:val="single" w:sz="4" w:space="0" w:color="00000A"/>
              <w:left w:val="single" w:sz="4" w:space="0" w:color="00000A"/>
              <w:bottom w:val="single" w:sz="4" w:space="0" w:color="00000A"/>
              <w:right w:val="single" w:sz="4" w:space="0" w:color="00000A"/>
            </w:tcBorders>
            <w:shd w:val="clear" w:color="auto" w:fill="D9D9D9"/>
          </w:tcPr>
          <w:p w14:paraId="51AA1F9E" w14:textId="77777777" w:rsidR="004930C1" w:rsidRDefault="002B6799">
            <w:pPr>
              <w:pStyle w:val="PreformattatoHTML"/>
              <w:jc w:val="center"/>
              <w:rPr>
                <w:rFonts w:asciiTheme="minorHAnsi" w:eastAsia="Calibri" w:hAnsiTheme="minorHAnsi" w:cstheme="minorHAnsi"/>
                <w:b/>
                <w:color w:val="000000" w:themeColor="text1"/>
                <w:lang w:eastAsia="en-US"/>
              </w:rPr>
            </w:pPr>
            <w:r>
              <w:rPr>
                <w:rFonts w:asciiTheme="minorHAnsi" w:eastAsia="Calibri" w:hAnsiTheme="minorHAnsi" w:cstheme="minorHAnsi"/>
                <w:b/>
                <w:color w:val="000000" w:themeColor="text1"/>
                <w:lang w:eastAsia="en-US"/>
              </w:rPr>
              <w:t>Riservatezza</w:t>
            </w:r>
          </w:p>
        </w:tc>
        <w:tc>
          <w:tcPr>
            <w:tcW w:w="1796" w:type="dxa"/>
            <w:tcBorders>
              <w:top w:val="single" w:sz="4" w:space="0" w:color="00000A"/>
              <w:left w:val="single" w:sz="4" w:space="0" w:color="00000A"/>
              <w:bottom w:val="single" w:sz="4" w:space="0" w:color="00000A"/>
              <w:right w:val="single" w:sz="4" w:space="0" w:color="00000A"/>
            </w:tcBorders>
            <w:shd w:val="clear" w:color="auto" w:fill="D9D9D9"/>
          </w:tcPr>
          <w:p w14:paraId="068BD93A" w14:textId="77777777" w:rsidR="004930C1" w:rsidRDefault="002B6799">
            <w:pPr>
              <w:pStyle w:val="PreformattatoHTML"/>
              <w:jc w:val="center"/>
              <w:rPr>
                <w:rFonts w:asciiTheme="minorHAnsi" w:eastAsia="Calibri" w:hAnsiTheme="minorHAnsi" w:cstheme="minorHAnsi"/>
                <w:b/>
                <w:color w:val="000000" w:themeColor="text1"/>
                <w:lang w:eastAsia="en-US"/>
              </w:rPr>
            </w:pPr>
            <w:r>
              <w:rPr>
                <w:rFonts w:asciiTheme="minorHAnsi" w:eastAsia="Calibri" w:hAnsiTheme="minorHAnsi" w:cstheme="minorHAnsi"/>
                <w:b/>
                <w:color w:val="000000" w:themeColor="text1"/>
                <w:lang w:eastAsia="en-US"/>
              </w:rPr>
              <w:t>Integrità</w:t>
            </w:r>
          </w:p>
        </w:tc>
        <w:tc>
          <w:tcPr>
            <w:tcW w:w="2054" w:type="dxa"/>
            <w:tcBorders>
              <w:top w:val="single" w:sz="4" w:space="0" w:color="00000A"/>
              <w:left w:val="single" w:sz="4" w:space="0" w:color="00000A"/>
              <w:bottom w:val="single" w:sz="4" w:space="0" w:color="00000A"/>
              <w:right w:val="single" w:sz="4" w:space="0" w:color="00000A"/>
            </w:tcBorders>
            <w:shd w:val="clear" w:color="auto" w:fill="D9D9D9"/>
          </w:tcPr>
          <w:p w14:paraId="3E193DF8" w14:textId="77777777" w:rsidR="004930C1" w:rsidRDefault="002B6799">
            <w:pPr>
              <w:pStyle w:val="PreformattatoHTML"/>
              <w:jc w:val="center"/>
              <w:rPr>
                <w:rFonts w:asciiTheme="minorHAnsi" w:eastAsia="Calibri" w:hAnsiTheme="minorHAnsi" w:cstheme="minorHAnsi"/>
                <w:b/>
                <w:color w:val="000000" w:themeColor="text1"/>
                <w:lang w:eastAsia="en-US"/>
              </w:rPr>
            </w:pPr>
            <w:r>
              <w:rPr>
                <w:rFonts w:asciiTheme="minorHAnsi" w:eastAsia="Calibri" w:hAnsiTheme="minorHAnsi" w:cstheme="minorHAnsi"/>
                <w:b/>
                <w:color w:val="000000" w:themeColor="text1"/>
                <w:lang w:eastAsia="en-US"/>
              </w:rPr>
              <w:t>Disponibilità</w:t>
            </w:r>
          </w:p>
        </w:tc>
        <w:tc>
          <w:tcPr>
            <w:tcW w:w="2811" w:type="dxa"/>
            <w:tcBorders>
              <w:top w:val="single" w:sz="4" w:space="0" w:color="00000A"/>
              <w:left w:val="single" w:sz="4" w:space="0" w:color="00000A"/>
              <w:bottom w:val="single" w:sz="4" w:space="0" w:color="00000A"/>
              <w:right w:val="single" w:sz="4" w:space="0" w:color="00000A"/>
            </w:tcBorders>
            <w:shd w:val="clear" w:color="auto" w:fill="D9D9D9"/>
          </w:tcPr>
          <w:p w14:paraId="696B19E6" w14:textId="77777777" w:rsidR="004930C1" w:rsidRDefault="002B6799">
            <w:pPr>
              <w:pStyle w:val="PreformattatoHTML"/>
              <w:jc w:val="center"/>
              <w:rPr>
                <w:rFonts w:asciiTheme="minorHAnsi" w:eastAsia="Calibri" w:hAnsiTheme="minorHAnsi" w:cstheme="minorHAnsi"/>
                <w:b/>
                <w:color w:val="000000" w:themeColor="text1"/>
                <w:lang w:eastAsia="en-US"/>
              </w:rPr>
            </w:pPr>
            <w:r>
              <w:rPr>
                <w:rFonts w:asciiTheme="minorHAnsi" w:eastAsia="Calibri" w:hAnsiTheme="minorHAnsi" w:cstheme="minorHAnsi"/>
                <w:b/>
                <w:color w:val="000000" w:themeColor="text1"/>
                <w:lang w:eastAsia="en-US"/>
              </w:rPr>
              <w:t>Intento Malevolo</w:t>
            </w:r>
          </w:p>
        </w:tc>
        <w:tc>
          <w:tcPr>
            <w:tcW w:w="1052" w:type="dxa"/>
            <w:tcBorders>
              <w:top w:val="single" w:sz="4" w:space="0" w:color="00000A"/>
              <w:left w:val="single" w:sz="4" w:space="0" w:color="00000A"/>
              <w:bottom w:val="single" w:sz="4" w:space="0" w:color="00000A"/>
              <w:right w:val="single" w:sz="4" w:space="0" w:color="00000A"/>
            </w:tcBorders>
            <w:shd w:val="clear" w:color="auto" w:fill="D9D9D9"/>
          </w:tcPr>
          <w:p w14:paraId="4CCD7F58" w14:textId="77777777" w:rsidR="004930C1" w:rsidRDefault="004930C1">
            <w:pPr>
              <w:pStyle w:val="PreformattatoHTML"/>
              <w:jc w:val="center"/>
              <w:rPr>
                <w:rFonts w:asciiTheme="minorHAnsi" w:eastAsia="Calibri" w:hAnsiTheme="minorHAnsi" w:cstheme="minorHAnsi"/>
                <w:b/>
                <w:color w:val="000000" w:themeColor="text1"/>
                <w:lang w:eastAsia="en-US"/>
              </w:rPr>
            </w:pPr>
          </w:p>
        </w:tc>
      </w:tr>
      <w:tr w:rsidR="004930C1" w14:paraId="00CADC56" w14:textId="77777777">
        <w:tc>
          <w:tcPr>
            <w:tcW w:w="2212" w:type="dxa"/>
            <w:tcBorders>
              <w:top w:val="single" w:sz="4" w:space="0" w:color="00000A"/>
              <w:left w:val="single" w:sz="4" w:space="0" w:color="00000A"/>
              <w:bottom w:val="single" w:sz="4" w:space="0" w:color="00000A"/>
              <w:right w:val="single" w:sz="4" w:space="0" w:color="00000A"/>
            </w:tcBorders>
            <w:shd w:val="clear" w:color="auto" w:fill="auto"/>
          </w:tcPr>
          <w:p w14:paraId="17A540C5"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0"/>
              </w:rPr>
            </w:pPr>
            <w:r>
              <w:rPr>
                <w:rFonts w:asciiTheme="minorHAnsi" w:hAnsiTheme="minorHAnsi" w:cstheme="minorHAnsi"/>
                <w:color w:val="000000" w:themeColor="text1"/>
                <w:sz w:val="20"/>
              </w:rPr>
              <w:t>Dati esposti a rischi di riservatezza senza che vi sia una reale possibilità di utilizzo (es. i dati sono cifrati)</w:t>
            </w:r>
          </w:p>
        </w:tc>
        <w:tc>
          <w:tcPr>
            <w:tcW w:w="1796" w:type="dxa"/>
            <w:tcBorders>
              <w:top w:val="single" w:sz="4" w:space="0" w:color="00000A"/>
              <w:left w:val="single" w:sz="4" w:space="0" w:color="00000A"/>
              <w:bottom w:val="single" w:sz="4" w:space="0" w:color="00000A"/>
              <w:right w:val="single" w:sz="4" w:space="0" w:color="00000A"/>
            </w:tcBorders>
            <w:shd w:val="clear" w:color="auto" w:fill="auto"/>
          </w:tcPr>
          <w:p w14:paraId="39B27719"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0"/>
              </w:rPr>
            </w:pPr>
            <w:r>
              <w:rPr>
                <w:rFonts w:asciiTheme="minorHAnsi" w:hAnsiTheme="minorHAnsi" w:cstheme="minorHAnsi"/>
                <w:color w:val="000000" w:themeColor="text1"/>
                <w:sz w:val="20"/>
              </w:rPr>
              <w:t>N.A.</w:t>
            </w:r>
          </w:p>
        </w:tc>
        <w:tc>
          <w:tcPr>
            <w:tcW w:w="2054" w:type="dxa"/>
            <w:tcBorders>
              <w:top w:val="single" w:sz="4" w:space="0" w:color="00000A"/>
              <w:left w:val="single" w:sz="4" w:space="0" w:color="00000A"/>
              <w:bottom w:val="single" w:sz="4" w:space="0" w:color="00000A"/>
              <w:right w:val="single" w:sz="4" w:space="0" w:color="00000A"/>
            </w:tcBorders>
            <w:shd w:val="clear" w:color="auto" w:fill="auto"/>
          </w:tcPr>
          <w:p w14:paraId="0E8FC709"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0"/>
              </w:rPr>
            </w:pPr>
            <w:r>
              <w:rPr>
                <w:rFonts w:asciiTheme="minorHAnsi" w:hAnsiTheme="minorHAnsi" w:cstheme="minorHAnsi"/>
                <w:color w:val="000000" w:themeColor="text1"/>
                <w:sz w:val="20"/>
              </w:rPr>
              <w:t>N.A.</w:t>
            </w:r>
          </w:p>
        </w:tc>
        <w:tc>
          <w:tcPr>
            <w:tcW w:w="2811" w:type="dxa"/>
            <w:tcBorders>
              <w:top w:val="single" w:sz="4" w:space="0" w:color="00000A"/>
              <w:left w:val="single" w:sz="4" w:space="0" w:color="00000A"/>
              <w:bottom w:val="single" w:sz="4" w:space="0" w:color="00000A"/>
              <w:right w:val="single" w:sz="4" w:space="0" w:color="00000A"/>
            </w:tcBorders>
            <w:shd w:val="clear" w:color="auto" w:fill="auto"/>
          </w:tcPr>
          <w:p w14:paraId="3CD36CA7"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0"/>
              </w:rPr>
            </w:pPr>
            <w:r>
              <w:rPr>
                <w:rFonts w:asciiTheme="minorHAnsi" w:hAnsiTheme="minorHAnsi" w:cstheme="minorHAnsi"/>
                <w:color w:val="000000" w:themeColor="text1"/>
                <w:sz w:val="20"/>
              </w:rPr>
              <w:t>N.A.</w:t>
            </w:r>
          </w:p>
        </w:tc>
        <w:tc>
          <w:tcPr>
            <w:tcW w:w="1052" w:type="dxa"/>
            <w:tcBorders>
              <w:top w:val="single" w:sz="4" w:space="0" w:color="00000A"/>
              <w:left w:val="single" w:sz="4" w:space="0" w:color="00000A"/>
              <w:bottom w:val="single" w:sz="4" w:space="0" w:color="00000A"/>
              <w:right w:val="single" w:sz="4" w:space="0" w:color="00000A"/>
            </w:tcBorders>
            <w:shd w:val="clear" w:color="auto" w:fill="auto"/>
          </w:tcPr>
          <w:p w14:paraId="15FC07FB"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0.25</w:t>
            </w:r>
          </w:p>
        </w:tc>
      </w:tr>
      <w:tr w:rsidR="004930C1" w14:paraId="639ABCA5" w14:textId="77777777">
        <w:tc>
          <w:tcPr>
            <w:tcW w:w="2212" w:type="dxa"/>
            <w:tcBorders>
              <w:top w:val="single" w:sz="4" w:space="0" w:color="00000A"/>
              <w:left w:val="single" w:sz="4" w:space="0" w:color="00000A"/>
              <w:bottom w:val="single" w:sz="4" w:space="0" w:color="00000A"/>
              <w:right w:val="single" w:sz="4" w:space="0" w:color="00000A"/>
            </w:tcBorders>
            <w:shd w:val="clear" w:color="auto" w:fill="auto"/>
          </w:tcPr>
          <w:p w14:paraId="017392E8"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0"/>
              </w:rPr>
            </w:pPr>
            <w:r>
              <w:rPr>
                <w:rFonts w:asciiTheme="minorHAnsi" w:hAnsiTheme="minorHAnsi" w:cstheme="minorHAnsi"/>
                <w:color w:val="000000" w:themeColor="text1"/>
                <w:sz w:val="20"/>
              </w:rPr>
              <w:t>Dati esposti a rischio di riservatezza su un certo numero di destinatari noti.</w:t>
            </w:r>
          </w:p>
        </w:tc>
        <w:tc>
          <w:tcPr>
            <w:tcW w:w="1796" w:type="dxa"/>
            <w:tcBorders>
              <w:top w:val="single" w:sz="4" w:space="0" w:color="00000A"/>
              <w:left w:val="single" w:sz="4" w:space="0" w:color="00000A"/>
              <w:bottom w:val="single" w:sz="4" w:space="0" w:color="00000A"/>
              <w:right w:val="single" w:sz="4" w:space="0" w:color="00000A"/>
            </w:tcBorders>
            <w:shd w:val="clear" w:color="auto" w:fill="auto"/>
          </w:tcPr>
          <w:p w14:paraId="49D78295"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0"/>
              </w:rPr>
            </w:pPr>
            <w:r>
              <w:rPr>
                <w:rFonts w:asciiTheme="minorHAnsi" w:hAnsiTheme="minorHAnsi" w:cstheme="minorHAnsi"/>
                <w:color w:val="000000" w:themeColor="text1"/>
                <w:sz w:val="20"/>
              </w:rPr>
              <w:t>Dati modificati ma con possibilità di recuperare gli originali.</w:t>
            </w:r>
          </w:p>
        </w:tc>
        <w:tc>
          <w:tcPr>
            <w:tcW w:w="2054" w:type="dxa"/>
            <w:tcBorders>
              <w:top w:val="single" w:sz="4" w:space="0" w:color="00000A"/>
              <w:left w:val="single" w:sz="4" w:space="0" w:color="00000A"/>
              <w:bottom w:val="single" w:sz="4" w:space="0" w:color="00000A"/>
              <w:right w:val="single" w:sz="4" w:space="0" w:color="00000A"/>
            </w:tcBorders>
            <w:shd w:val="clear" w:color="auto" w:fill="auto"/>
          </w:tcPr>
          <w:p w14:paraId="6BB96B39"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0"/>
              </w:rPr>
            </w:pPr>
            <w:r>
              <w:rPr>
                <w:rFonts w:asciiTheme="minorHAnsi" w:hAnsiTheme="minorHAnsi" w:cstheme="minorHAnsi"/>
                <w:color w:val="000000" w:themeColor="text1"/>
                <w:sz w:val="20"/>
              </w:rPr>
              <w:t>Indisponibilità temporale.</w:t>
            </w:r>
          </w:p>
        </w:tc>
        <w:tc>
          <w:tcPr>
            <w:tcW w:w="2811" w:type="dxa"/>
            <w:tcBorders>
              <w:top w:val="single" w:sz="4" w:space="0" w:color="00000A"/>
              <w:left w:val="single" w:sz="4" w:space="0" w:color="00000A"/>
              <w:bottom w:val="single" w:sz="4" w:space="0" w:color="00000A"/>
              <w:right w:val="single" w:sz="4" w:space="0" w:color="00000A"/>
            </w:tcBorders>
            <w:shd w:val="clear" w:color="auto" w:fill="auto"/>
          </w:tcPr>
          <w:p w14:paraId="43535A2D"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0"/>
              </w:rPr>
            </w:pPr>
            <w:r>
              <w:rPr>
                <w:rFonts w:asciiTheme="minorHAnsi" w:hAnsiTheme="minorHAnsi" w:cstheme="minorHAnsi"/>
                <w:color w:val="000000" w:themeColor="text1"/>
                <w:sz w:val="20"/>
              </w:rPr>
              <w:t>N.A.</w:t>
            </w:r>
          </w:p>
        </w:tc>
        <w:tc>
          <w:tcPr>
            <w:tcW w:w="1052" w:type="dxa"/>
            <w:tcBorders>
              <w:top w:val="single" w:sz="4" w:space="0" w:color="00000A"/>
              <w:left w:val="single" w:sz="4" w:space="0" w:color="00000A"/>
              <w:bottom w:val="single" w:sz="4" w:space="0" w:color="00000A"/>
              <w:right w:val="single" w:sz="4" w:space="0" w:color="00000A"/>
            </w:tcBorders>
            <w:shd w:val="clear" w:color="auto" w:fill="auto"/>
          </w:tcPr>
          <w:p w14:paraId="6FB73C8C"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0.50</w:t>
            </w:r>
          </w:p>
        </w:tc>
      </w:tr>
      <w:tr w:rsidR="004930C1" w14:paraId="1476AFAB" w14:textId="77777777">
        <w:tc>
          <w:tcPr>
            <w:tcW w:w="2212" w:type="dxa"/>
            <w:tcBorders>
              <w:top w:val="single" w:sz="4" w:space="0" w:color="00000A"/>
              <w:left w:val="single" w:sz="4" w:space="0" w:color="00000A"/>
              <w:bottom w:val="single" w:sz="4" w:space="0" w:color="00000A"/>
              <w:right w:val="single" w:sz="4" w:space="0" w:color="00000A"/>
            </w:tcBorders>
            <w:shd w:val="clear" w:color="auto" w:fill="auto"/>
          </w:tcPr>
          <w:p w14:paraId="4243F476"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0"/>
              </w:rPr>
            </w:pPr>
            <w:r>
              <w:rPr>
                <w:rFonts w:asciiTheme="minorHAnsi" w:hAnsiTheme="minorHAnsi" w:cstheme="minorHAnsi"/>
                <w:color w:val="000000" w:themeColor="text1"/>
                <w:sz w:val="20"/>
              </w:rPr>
              <w:t>Dati esposti a rischio di riservatezza su un numero sconosciuto di destinatari.</w:t>
            </w:r>
          </w:p>
        </w:tc>
        <w:tc>
          <w:tcPr>
            <w:tcW w:w="1796" w:type="dxa"/>
            <w:tcBorders>
              <w:top w:val="single" w:sz="4" w:space="0" w:color="00000A"/>
              <w:left w:val="single" w:sz="4" w:space="0" w:color="00000A"/>
              <w:bottom w:val="single" w:sz="4" w:space="0" w:color="00000A"/>
              <w:right w:val="single" w:sz="4" w:space="0" w:color="00000A"/>
            </w:tcBorders>
            <w:shd w:val="clear" w:color="auto" w:fill="auto"/>
          </w:tcPr>
          <w:p w14:paraId="440629A2"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0"/>
              </w:rPr>
            </w:pPr>
            <w:r>
              <w:rPr>
                <w:rFonts w:asciiTheme="minorHAnsi" w:hAnsiTheme="minorHAnsi" w:cstheme="minorHAnsi"/>
                <w:color w:val="000000" w:themeColor="text1"/>
                <w:sz w:val="20"/>
              </w:rPr>
              <w:t>Dati modificati senza possibilità di recuperare gli originali.</w:t>
            </w:r>
          </w:p>
          <w:p w14:paraId="3B7812BB" w14:textId="77777777" w:rsidR="004930C1" w:rsidRDefault="004930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0"/>
              </w:rPr>
            </w:pPr>
          </w:p>
        </w:tc>
        <w:tc>
          <w:tcPr>
            <w:tcW w:w="2054" w:type="dxa"/>
            <w:tcBorders>
              <w:top w:val="single" w:sz="4" w:space="0" w:color="00000A"/>
              <w:left w:val="single" w:sz="4" w:space="0" w:color="00000A"/>
              <w:bottom w:val="single" w:sz="4" w:space="0" w:color="00000A"/>
              <w:right w:val="single" w:sz="4" w:space="0" w:color="00000A"/>
            </w:tcBorders>
            <w:shd w:val="clear" w:color="auto" w:fill="auto"/>
          </w:tcPr>
          <w:p w14:paraId="08735279"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0"/>
              </w:rPr>
            </w:pPr>
            <w:r>
              <w:rPr>
                <w:rFonts w:asciiTheme="minorHAnsi" w:hAnsiTheme="minorHAnsi" w:cstheme="minorHAnsi"/>
                <w:color w:val="000000" w:themeColor="text1"/>
                <w:sz w:val="20"/>
              </w:rPr>
              <w:t>Completa indisponibilità (i dati non possono essere recuperati dal controllore o dai singoli)</w:t>
            </w:r>
          </w:p>
        </w:tc>
        <w:tc>
          <w:tcPr>
            <w:tcW w:w="2811" w:type="dxa"/>
            <w:tcBorders>
              <w:top w:val="single" w:sz="4" w:space="0" w:color="00000A"/>
              <w:left w:val="single" w:sz="4" w:space="0" w:color="00000A"/>
              <w:bottom w:val="single" w:sz="4" w:space="0" w:color="00000A"/>
              <w:right w:val="single" w:sz="4" w:space="0" w:color="00000A"/>
            </w:tcBorders>
            <w:shd w:val="clear" w:color="auto" w:fill="auto"/>
          </w:tcPr>
          <w:p w14:paraId="4B2FAAD2"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Pr>
                <w:rFonts w:asciiTheme="minorHAnsi" w:hAnsiTheme="minorHAnsi" w:cstheme="minorHAnsi"/>
                <w:color w:val="000000" w:themeColor="text1"/>
                <w:sz w:val="20"/>
              </w:rPr>
              <w:t xml:space="preserve">La violazione era dovuta a un'azione intenzionale, </w:t>
            </w:r>
            <w:r>
              <w:rPr>
                <w:rFonts w:asciiTheme="minorHAnsi" w:hAnsiTheme="minorHAnsi" w:cstheme="minorHAnsi"/>
                <w:b/>
                <w:color w:val="000000" w:themeColor="text1"/>
                <w:sz w:val="20"/>
              </w:rPr>
              <w:t>1)</w:t>
            </w:r>
            <w:r>
              <w:rPr>
                <w:rFonts w:asciiTheme="minorHAnsi" w:hAnsiTheme="minorHAnsi" w:cstheme="minorHAnsi"/>
                <w:color w:val="000000" w:themeColor="text1"/>
                <w:sz w:val="20"/>
              </w:rPr>
              <w:t xml:space="preserve"> ad es. al fine di causare problemi al titolare o responsabile del trattamento (ad esempio, dimostrare la perdita di sicurezza) e/o al fine di danneggiare le persone</w:t>
            </w:r>
          </w:p>
          <w:p w14:paraId="7EB92356"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rPr>
            </w:pPr>
            <w:r>
              <w:rPr>
                <w:rFonts w:asciiTheme="minorHAnsi" w:hAnsiTheme="minorHAnsi" w:cstheme="minorHAnsi"/>
                <w:b/>
                <w:color w:val="000000" w:themeColor="text1"/>
                <w:sz w:val="20"/>
              </w:rPr>
              <w:t>2)</w:t>
            </w:r>
            <w:r>
              <w:rPr>
                <w:rFonts w:asciiTheme="minorHAnsi" w:hAnsiTheme="minorHAnsi" w:cstheme="minorHAnsi"/>
                <w:color w:val="000000" w:themeColor="text1"/>
                <w:sz w:val="20"/>
              </w:rPr>
              <w:t xml:space="preserve"> appropriarsi di dati per fini di lucro e/o frodi economiche a danno dello Stato e della Comunità Europea</w:t>
            </w:r>
          </w:p>
        </w:tc>
        <w:tc>
          <w:tcPr>
            <w:tcW w:w="1052" w:type="dxa"/>
            <w:tcBorders>
              <w:top w:val="single" w:sz="4" w:space="0" w:color="00000A"/>
              <w:left w:val="single" w:sz="4" w:space="0" w:color="00000A"/>
              <w:bottom w:val="single" w:sz="4" w:space="0" w:color="00000A"/>
              <w:right w:val="single" w:sz="4" w:space="0" w:color="00000A"/>
            </w:tcBorders>
            <w:shd w:val="clear" w:color="auto" w:fill="auto"/>
          </w:tcPr>
          <w:p w14:paraId="1F8D8D69"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0.75</w:t>
            </w:r>
          </w:p>
        </w:tc>
      </w:tr>
    </w:tbl>
    <w:p w14:paraId="283DE147" w14:textId="77777777" w:rsidR="004930C1" w:rsidRDefault="004930C1">
      <w:pPr>
        <w:spacing w:line="320" w:lineRule="exact"/>
        <w:jc w:val="both"/>
        <w:rPr>
          <w:rFonts w:ascii="Calibri" w:hAnsi="Calibri" w:cs="Calibri"/>
          <w:color w:val="000000" w:themeColor="text1"/>
          <w:sz w:val="20"/>
          <w:szCs w:val="20"/>
        </w:rPr>
      </w:pPr>
    </w:p>
    <w:p w14:paraId="68F8366F" w14:textId="77777777" w:rsidR="004930C1"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Definizione del livello di gravità</w:t>
      </w:r>
    </w:p>
    <w:p w14:paraId="154D31C5"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Come già specificato la gravità complessiva è calcolata con la seguente formula:</w:t>
      </w:r>
    </w:p>
    <w:p w14:paraId="4D7B0631" w14:textId="77777777" w:rsidR="004930C1" w:rsidRDefault="004930C1">
      <w:pPr>
        <w:spacing w:line="320" w:lineRule="exact"/>
        <w:jc w:val="both"/>
        <w:rPr>
          <w:rFonts w:ascii="Calibri" w:hAnsi="Calibri" w:cs="Calibri"/>
          <w:color w:val="000000" w:themeColor="text1"/>
          <w:sz w:val="20"/>
          <w:szCs w:val="20"/>
        </w:rPr>
      </w:pPr>
    </w:p>
    <w:p w14:paraId="03A9656A"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Gravità (G) = (Contesto di trattamento dati * Facilità identificazione) + Circostanze violazione</w:t>
      </w:r>
    </w:p>
    <w:p w14:paraId="14A43E4B" w14:textId="77777777" w:rsidR="004930C1" w:rsidRDefault="004930C1">
      <w:pPr>
        <w:spacing w:line="320" w:lineRule="exact"/>
        <w:jc w:val="both"/>
        <w:rPr>
          <w:rFonts w:ascii="Calibri" w:hAnsi="Calibri" w:cs="Calibri"/>
          <w:color w:val="000000" w:themeColor="text1"/>
          <w:sz w:val="20"/>
          <w:szCs w:val="20"/>
        </w:rPr>
      </w:pPr>
    </w:p>
    <w:p w14:paraId="7BF69238"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 xml:space="preserve">Il </w:t>
      </w:r>
      <w:r>
        <w:rPr>
          <w:rFonts w:ascii="Calibri" w:hAnsi="Calibri" w:cs="Calibri"/>
          <w:b/>
          <w:color w:val="000000" w:themeColor="text1"/>
          <w:sz w:val="20"/>
          <w:szCs w:val="20"/>
        </w:rPr>
        <w:t>punteggio finale</w:t>
      </w:r>
      <w:r>
        <w:rPr>
          <w:rFonts w:ascii="Calibri" w:hAnsi="Calibri" w:cs="Calibri"/>
          <w:color w:val="000000" w:themeColor="text1"/>
          <w:sz w:val="20"/>
          <w:szCs w:val="20"/>
        </w:rPr>
        <w:t xml:space="preserve"> </w:t>
      </w:r>
      <w:r>
        <w:rPr>
          <w:rFonts w:ascii="Calibri" w:hAnsi="Calibri" w:cs="Calibri"/>
          <w:b/>
          <w:color w:val="000000" w:themeColor="text1"/>
          <w:sz w:val="20"/>
          <w:szCs w:val="20"/>
        </w:rPr>
        <w:t>mostra</w:t>
      </w:r>
      <w:r>
        <w:rPr>
          <w:rFonts w:ascii="Calibri" w:hAnsi="Calibri" w:cs="Calibri"/>
          <w:color w:val="000000" w:themeColor="text1"/>
          <w:sz w:val="20"/>
          <w:szCs w:val="20"/>
        </w:rPr>
        <w:t xml:space="preserve"> il </w:t>
      </w:r>
      <w:r>
        <w:rPr>
          <w:rFonts w:ascii="Calibri" w:hAnsi="Calibri" w:cs="Calibri"/>
          <w:b/>
          <w:color w:val="000000" w:themeColor="text1"/>
          <w:sz w:val="20"/>
          <w:szCs w:val="20"/>
        </w:rPr>
        <w:t>livello di gravità del rischio</w:t>
      </w:r>
      <w:r>
        <w:rPr>
          <w:rFonts w:ascii="Calibri" w:hAnsi="Calibri" w:cs="Calibri"/>
          <w:color w:val="000000" w:themeColor="text1"/>
          <w:sz w:val="20"/>
          <w:szCs w:val="20"/>
        </w:rPr>
        <w:t xml:space="preserve"> per gli interessati da una determinata</w:t>
      </w:r>
      <w:r>
        <w:rPr>
          <w:color w:val="000000" w:themeColor="text1"/>
        </w:rPr>
        <w:t xml:space="preserve"> </w:t>
      </w:r>
      <w:r>
        <w:rPr>
          <w:rFonts w:ascii="Calibri" w:hAnsi="Calibri" w:cs="Calibri"/>
          <w:color w:val="000000" w:themeColor="text1"/>
          <w:sz w:val="20"/>
          <w:szCs w:val="20"/>
        </w:rPr>
        <w:t>violazione, tenendo conto dell'impatto sugli individui stessi.</w:t>
      </w:r>
    </w:p>
    <w:p w14:paraId="3D54596B" w14:textId="77777777" w:rsidR="004930C1" w:rsidRDefault="004930C1">
      <w:pPr>
        <w:spacing w:line="320" w:lineRule="exact"/>
        <w:jc w:val="both"/>
        <w:rPr>
          <w:rFonts w:ascii="Calibri" w:hAnsi="Calibri" w:cs="Calibri"/>
          <w:color w:val="000000" w:themeColor="text1"/>
          <w:sz w:val="20"/>
          <w:szCs w:val="20"/>
        </w:rPr>
      </w:pPr>
    </w:p>
    <w:p w14:paraId="67F72713" w14:textId="77777777" w:rsidR="004930C1" w:rsidRDefault="002B6799">
      <w:pPr>
        <w:rPr>
          <w:rFonts w:ascii="Calibri" w:hAnsi="Calibri" w:cs="Calibri"/>
          <w:color w:val="000000" w:themeColor="text1"/>
          <w:sz w:val="20"/>
          <w:szCs w:val="20"/>
        </w:rPr>
      </w:pPr>
      <w:r>
        <w:br w:type="page"/>
      </w:r>
    </w:p>
    <w:p w14:paraId="0FA2EF81"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lastRenderedPageBreak/>
        <w:t>Tabella A2</w:t>
      </w:r>
    </w:p>
    <w:tbl>
      <w:tblPr>
        <w:tblW w:w="9525" w:type="dxa"/>
        <w:tblInd w:w="-5" w:type="dxa"/>
        <w:tblLayout w:type="fixed"/>
        <w:tblCellMar>
          <w:left w:w="103" w:type="dxa"/>
        </w:tblCellMar>
        <w:tblLook w:val="04A0" w:firstRow="1" w:lastRow="0" w:firstColumn="1" w:lastColumn="0" w:noHBand="0" w:noVBand="1"/>
      </w:tblPr>
      <w:tblGrid>
        <w:gridCol w:w="1100"/>
        <w:gridCol w:w="992"/>
        <w:gridCol w:w="5107"/>
        <w:gridCol w:w="2326"/>
      </w:tblGrid>
      <w:tr w:rsidR="004930C1" w14:paraId="1AD84085" w14:textId="77777777">
        <w:tc>
          <w:tcPr>
            <w:tcW w:w="7198" w:type="dxa"/>
            <w:gridSpan w:val="3"/>
            <w:tcBorders>
              <w:top w:val="single" w:sz="4" w:space="0" w:color="00000A"/>
              <w:left w:val="single" w:sz="4" w:space="0" w:color="00000A"/>
              <w:bottom w:val="single" w:sz="4" w:space="0" w:color="00000A"/>
              <w:right w:val="single" w:sz="4" w:space="0" w:color="00000A"/>
            </w:tcBorders>
            <w:shd w:val="clear" w:color="auto" w:fill="808080"/>
          </w:tcPr>
          <w:p w14:paraId="78CAD50B" w14:textId="77777777" w:rsidR="004930C1" w:rsidRDefault="002B6799">
            <w:pPr>
              <w:pStyle w:val="Default"/>
              <w:widowControl w:val="0"/>
              <w:jc w:val="center"/>
              <w:rPr>
                <w:b/>
                <w:color w:val="000000" w:themeColor="text1"/>
                <w:sz w:val="20"/>
                <w:szCs w:val="20"/>
              </w:rPr>
            </w:pPr>
            <w:r>
              <w:rPr>
                <w:b/>
                <w:color w:val="000000" w:themeColor="text1"/>
                <w:sz w:val="20"/>
                <w:szCs w:val="20"/>
              </w:rPr>
              <w:t>Livello di gravità del Data Breach</w:t>
            </w:r>
          </w:p>
        </w:tc>
        <w:tc>
          <w:tcPr>
            <w:tcW w:w="2326" w:type="dxa"/>
            <w:tcBorders>
              <w:top w:val="single" w:sz="4" w:space="0" w:color="00000A"/>
              <w:left w:val="single" w:sz="4" w:space="0" w:color="00000A"/>
              <w:bottom w:val="single" w:sz="4" w:space="0" w:color="00000A"/>
              <w:right w:val="single" w:sz="4" w:space="0" w:color="00000A"/>
            </w:tcBorders>
            <w:shd w:val="clear" w:color="auto" w:fill="808080"/>
          </w:tcPr>
          <w:p w14:paraId="185BF525" w14:textId="77777777" w:rsidR="004930C1" w:rsidRDefault="002B6799">
            <w:pPr>
              <w:pStyle w:val="Default"/>
              <w:widowControl w:val="0"/>
              <w:jc w:val="center"/>
              <w:rPr>
                <w:b/>
                <w:color w:val="000000" w:themeColor="text1"/>
                <w:sz w:val="20"/>
                <w:szCs w:val="20"/>
              </w:rPr>
            </w:pPr>
            <w:r>
              <w:rPr>
                <w:b/>
                <w:color w:val="000000" w:themeColor="text1"/>
                <w:sz w:val="20"/>
                <w:szCs w:val="20"/>
              </w:rPr>
              <w:t>OBBLIGO</w:t>
            </w:r>
          </w:p>
        </w:tc>
      </w:tr>
      <w:tr w:rsidR="004930C1" w14:paraId="54B236B4" w14:textId="77777777">
        <w:tc>
          <w:tcPr>
            <w:tcW w:w="110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2FEB01"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color w:val="000000" w:themeColor="text1"/>
                <w:sz w:val="20"/>
              </w:rPr>
            </w:pPr>
            <m:oMathPara>
              <m:oMathParaPr>
                <m:jc m:val="center"/>
              </m:oMathParaPr>
              <m:oMath>
                <m:r>
                  <w:rPr>
                    <w:rFonts w:ascii="Cambria Math" w:hAnsi="Cambria Math"/>
                  </w:rPr>
                  <m:t>G≤1</m:t>
                </m:r>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578A83"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Low (Basso)</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1B6994E4" w14:textId="77777777" w:rsidR="004930C1" w:rsidRDefault="002B6799" w:rsidP="00F93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themeColor="text1"/>
                <w:sz w:val="20"/>
              </w:rPr>
            </w:pPr>
            <w:r>
              <w:rPr>
                <w:rFonts w:asciiTheme="minorHAnsi" w:hAnsiTheme="minorHAnsi" w:cstheme="minorHAnsi"/>
                <w:color w:val="000000" w:themeColor="text1"/>
                <w:sz w:val="20"/>
              </w:rPr>
              <w:t>Gli individui non saranno impattati o potrebbero solo incontrare alcuni inconvenienti, che supereranno senza alcun problema (es. tempo trascorso a reinserire informazioni).</w:t>
            </w:r>
          </w:p>
        </w:tc>
        <w:tc>
          <w:tcPr>
            <w:tcW w:w="2326" w:type="dxa"/>
            <w:tcBorders>
              <w:top w:val="single" w:sz="4" w:space="0" w:color="00000A"/>
              <w:left w:val="single" w:sz="4" w:space="0" w:color="00000A"/>
              <w:bottom w:val="single" w:sz="4" w:space="0" w:color="00000A"/>
              <w:right w:val="single" w:sz="4" w:space="0" w:color="00000A"/>
            </w:tcBorders>
            <w:shd w:val="clear" w:color="auto" w:fill="auto"/>
          </w:tcPr>
          <w:p w14:paraId="3C81A560"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Registrazione interna</w:t>
            </w:r>
          </w:p>
        </w:tc>
      </w:tr>
      <w:tr w:rsidR="004930C1" w14:paraId="19340846" w14:textId="77777777">
        <w:tc>
          <w:tcPr>
            <w:tcW w:w="110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E987A2"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color w:val="000000" w:themeColor="text1"/>
                <w:sz w:val="20"/>
              </w:rPr>
            </w:pPr>
            <m:oMathPara>
              <m:oMathParaPr>
                <m:jc m:val="center"/>
              </m:oMathParaPr>
              <m:oMath>
                <m:r>
                  <w:rPr>
                    <w:rFonts w:ascii="Cambria Math" w:hAnsi="Cambria Math"/>
                  </w:rPr>
                  <m:t>1&lt;G≤2</m:t>
                </m:r>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052F70"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Medium (Medio)</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7EF9B081" w14:textId="77777777" w:rsidR="004930C1" w:rsidRDefault="002B6799" w:rsidP="00F93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themeColor="text1"/>
                <w:sz w:val="20"/>
              </w:rPr>
            </w:pPr>
            <w:r>
              <w:rPr>
                <w:rFonts w:asciiTheme="minorHAnsi" w:hAnsiTheme="minorHAnsi" w:cstheme="minorHAnsi"/>
                <w:color w:val="000000" w:themeColor="text1"/>
                <w:sz w:val="20"/>
              </w:rPr>
              <w:t>Gli individui possono incontrare notevoli disagi, che saranno in grado di superare nonostante alcune difficoltà (es. costi aggiuntivi, impossibilità di accedere ai servizi).</w:t>
            </w:r>
          </w:p>
        </w:tc>
        <w:tc>
          <w:tcPr>
            <w:tcW w:w="2326" w:type="dxa"/>
            <w:tcBorders>
              <w:top w:val="single" w:sz="4" w:space="0" w:color="00000A"/>
              <w:left w:val="single" w:sz="4" w:space="0" w:color="00000A"/>
              <w:bottom w:val="single" w:sz="4" w:space="0" w:color="00000A"/>
              <w:right w:val="single" w:sz="4" w:space="0" w:color="00000A"/>
            </w:tcBorders>
            <w:shd w:val="clear" w:color="auto" w:fill="auto"/>
          </w:tcPr>
          <w:p w14:paraId="4BF53661"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Registrazione interna</w:t>
            </w:r>
          </w:p>
        </w:tc>
      </w:tr>
      <w:tr w:rsidR="004930C1" w14:paraId="4783256E" w14:textId="77777777">
        <w:tc>
          <w:tcPr>
            <w:tcW w:w="110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2E2185"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color w:val="000000" w:themeColor="text1"/>
                <w:sz w:val="20"/>
              </w:rPr>
            </w:pPr>
            <m:oMathPara>
              <m:oMathParaPr>
                <m:jc m:val="center"/>
              </m:oMathParaPr>
              <m:oMath>
                <m:r>
                  <w:rPr>
                    <w:rFonts w:ascii="Cambria Math" w:hAnsi="Cambria Math"/>
                  </w:rPr>
                  <m:t>2&lt;G&lt;3</m:t>
                </m:r>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C8DF15"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High (Alto)</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0522F489" w14:textId="77777777" w:rsidR="004930C1" w:rsidRDefault="002B6799" w:rsidP="00F93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themeColor="text1"/>
                <w:sz w:val="20"/>
              </w:rPr>
            </w:pPr>
            <w:r>
              <w:rPr>
                <w:rFonts w:asciiTheme="minorHAnsi" w:hAnsiTheme="minorHAnsi" w:cstheme="minorHAnsi"/>
                <w:color w:val="000000" w:themeColor="text1"/>
                <w:sz w:val="20"/>
              </w:rPr>
              <w:t>Gli individui possono incontrare conseguenze significative, che dovrebbero essere in grado di superare anche se con gravi difficoltà (appropriazione indebita di fondi, black list da parte delle banche, danni alla proprietà, perdita di posti di lavoro, citazione in giudizio, etc.).</w:t>
            </w:r>
          </w:p>
        </w:tc>
        <w:tc>
          <w:tcPr>
            <w:tcW w:w="2326" w:type="dxa"/>
            <w:tcBorders>
              <w:top w:val="single" w:sz="4" w:space="0" w:color="00000A"/>
              <w:left w:val="single" w:sz="4" w:space="0" w:color="00000A"/>
              <w:bottom w:val="single" w:sz="4" w:space="0" w:color="00000A"/>
              <w:right w:val="single" w:sz="4" w:space="0" w:color="00000A"/>
            </w:tcBorders>
            <w:shd w:val="clear" w:color="auto" w:fill="auto"/>
          </w:tcPr>
          <w:p w14:paraId="290BDF52"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Notifica al Garante Privacy</w:t>
            </w:r>
          </w:p>
        </w:tc>
      </w:tr>
      <w:tr w:rsidR="004930C1" w14:paraId="635D9B7F" w14:textId="77777777">
        <w:tc>
          <w:tcPr>
            <w:tcW w:w="110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3FC23C"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Math" w:hAnsi="Cambria Math" w:cstheme="minorHAnsi"/>
                <w:i/>
                <w:iCs/>
                <w:color w:val="000000" w:themeColor="text1"/>
                <w:sz w:val="20"/>
              </w:rPr>
            </w:pPr>
            <m:oMathPara>
              <m:oMathParaPr>
                <m:jc m:val="center"/>
              </m:oMathParaPr>
              <m:oMath>
                <m:r>
                  <w:rPr>
                    <w:rFonts w:ascii="Cambria Math" w:hAnsi="Cambria Math"/>
                  </w:rPr>
                  <m:t>3≤G</m:t>
                </m:r>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0B2008"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Math" w:hAnsi="Cambria Math" w:cstheme="minorHAnsi"/>
                <w:i/>
                <w:iCs/>
                <w:color w:val="000000" w:themeColor="text1"/>
                <w:sz w:val="20"/>
              </w:rPr>
            </w:pPr>
            <w:r>
              <w:rPr>
                <w:rFonts w:ascii="Cambria Math" w:hAnsi="Cambria Math" w:cstheme="minorHAnsi"/>
                <w:i/>
                <w:iCs/>
                <w:color w:val="000000" w:themeColor="text1"/>
                <w:sz w:val="20"/>
              </w:rPr>
              <w:t>Critical (Critica)</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5FD8C180" w14:textId="77777777" w:rsidR="004930C1" w:rsidRDefault="002B6799" w:rsidP="00F93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themeColor="text1"/>
                <w:sz w:val="20"/>
              </w:rPr>
            </w:pPr>
            <w:r>
              <w:rPr>
                <w:rFonts w:asciiTheme="minorHAnsi" w:hAnsiTheme="minorHAnsi" w:cstheme="minorHAnsi"/>
                <w:color w:val="000000" w:themeColor="text1"/>
                <w:sz w:val="20"/>
              </w:rPr>
              <w:t>Gli individui possono incontrare conseguenze significative, o addirittura irreversibili, che non possono superare (difficoltà finanziarie come debito sostanziale o incapacità lavorativa etc.)</w:t>
            </w:r>
          </w:p>
        </w:tc>
        <w:tc>
          <w:tcPr>
            <w:tcW w:w="2326" w:type="dxa"/>
            <w:tcBorders>
              <w:top w:val="single" w:sz="4" w:space="0" w:color="00000A"/>
              <w:left w:val="single" w:sz="4" w:space="0" w:color="00000A"/>
              <w:bottom w:val="single" w:sz="4" w:space="0" w:color="00000A"/>
              <w:right w:val="single" w:sz="4" w:space="0" w:color="00000A"/>
            </w:tcBorders>
            <w:shd w:val="clear" w:color="auto" w:fill="auto"/>
          </w:tcPr>
          <w:p w14:paraId="1984293D"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Notifica al Garante Privacy</w:t>
            </w:r>
          </w:p>
          <w:p w14:paraId="7E2EC58D" w14:textId="77777777" w:rsidR="004930C1" w:rsidRDefault="002B67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Comunicazione all’Interessato*</w:t>
            </w:r>
          </w:p>
        </w:tc>
      </w:tr>
      <w:tr w:rsidR="004930C1" w14:paraId="199FEDC9" w14:textId="77777777">
        <w:tc>
          <w:tcPr>
            <w:tcW w:w="9524" w:type="dxa"/>
            <w:gridSpan w:val="4"/>
            <w:tcBorders>
              <w:top w:val="single" w:sz="4" w:space="0" w:color="00000A"/>
              <w:left w:val="single" w:sz="4" w:space="0" w:color="00000A"/>
              <w:bottom w:val="single" w:sz="4" w:space="0" w:color="00000A"/>
              <w:right w:val="single" w:sz="4" w:space="0" w:color="00000A"/>
            </w:tcBorders>
            <w:shd w:val="clear" w:color="auto" w:fill="auto"/>
          </w:tcPr>
          <w:p w14:paraId="192338EC" w14:textId="77777777" w:rsidR="004930C1" w:rsidRDefault="002B6799" w:rsidP="00F93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i/>
                <w:iCs/>
                <w:color w:val="000000" w:themeColor="text1"/>
                <w:sz w:val="20"/>
              </w:rPr>
            </w:pPr>
            <w:r>
              <w:rPr>
                <w:rFonts w:asciiTheme="minorHAnsi" w:hAnsiTheme="minorHAnsi" w:cstheme="minorHAnsi"/>
                <w:i/>
                <w:iCs/>
                <w:color w:val="000000" w:themeColor="text1"/>
                <w:sz w:val="20"/>
              </w:rPr>
              <w:t>* In conformità all’art. 34 del GDPR, la comunicazione all’Interessato NON andrà comunque effettuata se è soddisfatta una delle seguenti condizioni:</w:t>
            </w:r>
          </w:p>
          <w:p w14:paraId="774B6AC8" w14:textId="18A30B91" w:rsidR="004930C1" w:rsidRDefault="00212239" w:rsidP="00F93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i/>
                <w:iCs/>
                <w:color w:val="000000" w:themeColor="text1"/>
                <w:sz w:val="20"/>
              </w:rPr>
            </w:pPr>
            <w:r>
              <w:rPr>
                <w:rFonts w:asciiTheme="minorHAnsi" w:hAnsiTheme="minorHAnsi" w:cstheme="minorHAnsi"/>
                <w:i/>
                <w:iCs/>
                <w:color w:val="000000" w:themeColor="text1"/>
                <w:sz w:val="20"/>
              </w:rPr>
              <w:t>- il Titolare del trattamento ha messo in atto misure tecniche e organizzative adeguate di protezione e tali misure erano state applicate ai dati personali oggetto della violazione, in particolare quelle destinate a rendere i dati personali incomprensibili a chiunque non sia autorizzato ad accedervi, quali la cifratura (es. l'inintelligibilità sotto forma di crittografia forte e senza compromissione chiave, può ridurre sostanzialmente l'impatto sugli individui, poiché riduce notevolmente la possibilità che parti non autorizzate accedano ai dati).</w:t>
            </w:r>
          </w:p>
          <w:p w14:paraId="234C6B93" w14:textId="006FB2CF" w:rsidR="004930C1" w:rsidRDefault="00212239" w:rsidP="00F93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i/>
                <w:iCs/>
                <w:color w:val="000000" w:themeColor="text1"/>
                <w:sz w:val="20"/>
              </w:rPr>
            </w:pPr>
            <w:r>
              <w:rPr>
                <w:rFonts w:asciiTheme="minorHAnsi" w:hAnsiTheme="minorHAnsi" w:cstheme="minorHAnsi"/>
                <w:i/>
                <w:iCs/>
                <w:color w:val="000000" w:themeColor="text1"/>
                <w:sz w:val="20"/>
              </w:rPr>
              <w:t>- il Titolare del trattamento ha successivamente adottato misure atte a scongiurare il sopraggiungere di un rischio elevato per i diritti e le libertà degli interessati.</w:t>
            </w:r>
          </w:p>
          <w:p w14:paraId="45C7B60D" w14:textId="35BEDAB9" w:rsidR="004930C1" w:rsidRDefault="00212239" w:rsidP="00F930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i/>
                <w:iCs/>
                <w:color w:val="000000" w:themeColor="text1"/>
                <w:sz w:val="20"/>
              </w:rPr>
            </w:pPr>
            <w:r>
              <w:rPr>
                <w:rFonts w:asciiTheme="minorHAnsi" w:hAnsiTheme="minorHAnsi" w:cstheme="minorHAnsi"/>
                <w:i/>
                <w:iCs/>
                <w:color w:val="000000" w:themeColor="text1"/>
                <w:sz w:val="20"/>
              </w:rPr>
              <w:t>- Detta comunicazione richiederebbe sforzi sproporzionati. In tal caso, si procede invece a una comunicazione pubblica o a una misura simile, tramite la quale gli interessati sono informati con analoga efficacia.</w:t>
            </w:r>
          </w:p>
        </w:tc>
      </w:tr>
    </w:tbl>
    <w:p w14:paraId="2772026D" w14:textId="77777777" w:rsidR="004930C1" w:rsidRPr="007A2135" w:rsidRDefault="002B6799" w:rsidP="007A2135">
      <w:pPr>
        <w:pStyle w:val="Titolo1"/>
      </w:pPr>
      <w:bookmarkStart w:id="23" w:name="_Toc26539475"/>
      <w:bookmarkStart w:id="24" w:name="_Toc110501602"/>
      <w:r w:rsidRPr="007A2135">
        <w:t>Istruzioni per il calcolo</w:t>
      </w:r>
      <w:bookmarkEnd w:id="23"/>
      <w:bookmarkEnd w:id="24"/>
    </w:p>
    <w:p w14:paraId="5BD3D13C" w14:textId="77777777" w:rsidR="004930C1"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Le soglie del livello di gravità sono definite utilizzando le matrici di calcolo dei fattori (in particolare gli addendi) che contribuiscono al calcolo di G. I razionali sono illustrati di seguito:</w:t>
      </w:r>
    </w:p>
    <w:p w14:paraId="680EC921" w14:textId="3AEBFA18" w:rsidR="004930C1" w:rsidRDefault="002B6799">
      <w:pPr>
        <w:spacing w:line="320" w:lineRule="exact"/>
        <w:jc w:val="center"/>
        <w:rPr>
          <w:rFonts w:ascii="Calibri" w:hAnsi="Calibri" w:cs="Calibri"/>
          <w:color w:val="000000" w:themeColor="text1"/>
          <w:sz w:val="20"/>
          <w:szCs w:val="20"/>
        </w:rPr>
      </w:pPr>
      <m:oMathPara>
        <m:oMathParaPr>
          <m:jc m:val="center"/>
        </m:oMathParaPr>
        <m:oMath>
          <m:r>
            <w:rPr>
              <w:rFonts w:ascii="Cambria Math" w:hAnsi="Cambria Math"/>
            </w:rPr>
            <m:t>Contesto del trattamento</m:t>
          </m:r>
          <m:d>
            <m:dPr>
              <m:ctrlPr>
                <w:rPr>
                  <w:rFonts w:ascii="Cambria Math" w:hAnsi="Cambria Math"/>
                </w:rPr>
              </m:ctrlPr>
            </m:dPr>
            <m:e>
              <m:r>
                <w:rPr>
                  <w:rFonts w:ascii="Cambria Math" w:hAnsi="Cambria Math"/>
                </w:rPr>
                <m:t>C</m:t>
              </m:r>
            </m:e>
          </m:d>
          <m:r>
            <w:rPr>
              <w:rFonts w:ascii="Cambria Math" w:hAnsi="Cambria Math"/>
            </w:rPr>
            <m:t>=</m:t>
          </m:r>
          <m:d>
            <m:dPr>
              <m:begChr m:val="{"/>
              <m:endChr m:val="}"/>
              <m:ctrlPr>
                <w:rPr>
                  <w:rFonts w:ascii="Cambria Math" w:hAnsi="Cambria Math"/>
                </w:rPr>
              </m:ctrlPr>
            </m:dPr>
            <m:e>
              <m:r>
                <w:rPr>
                  <w:rFonts w:ascii="Cambria Math" w:hAnsi="Cambria Math"/>
                </w:rPr>
                <m:t>1;2;3</m:t>
              </m:r>
            </m:e>
          </m:d>
        </m:oMath>
      </m:oMathPara>
    </w:p>
    <w:p w14:paraId="1A46EB21" w14:textId="602087CB" w:rsidR="004930C1" w:rsidRDefault="002B6799">
      <w:pPr>
        <w:spacing w:line="320" w:lineRule="exact"/>
        <w:jc w:val="center"/>
        <w:rPr>
          <w:rFonts w:ascii="Calibri" w:hAnsi="Calibri" w:cs="Calibri"/>
          <w:color w:val="000000" w:themeColor="text1"/>
          <w:sz w:val="20"/>
          <w:szCs w:val="20"/>
        </w:rPr>
      </w:pPr>
      <m:oMathPara>
        <m:oMathParaPr>
          <m:jc m:val="center"/>
        </m:oMathParaPr>
        <m:oMath>
          <m:r>
            <w:rPr>
              <w:rFonts w:ascii="Cambria Math" w:hAnsi="Cambria Math"/>
            </w:rPr>
            <m:t xml:space="preserve">Facilità identificazione </m:t>
          </m:r>
          <m:d>
            <m:dPr>
              <m:ctrlPr>
                <w:rPr>
                  <w:rFonts w:ascii="Cambria Math" w:hAnsi="Cambria Math"/>
                </w:rPr>
              </m:ctrlPr>
            </m:dPr>
            <m:e>
              <m:r>
                <w:rPr>
                  <w:rFonts w:ascii="Cambria Math" w:hAnsi="Cambria Math"/>
                </w:rPr>
                <m:t>ID</m:t>
              </m:r>
            </m:e>
          </m:d>
          <m:r>
            <w:rPr>
              <w:rFonts w:ascii="Cambria Math" w:hAnsi="Cambria Math"/>
            </w:rPr>
            <m:t>=</m:t>
          </m:r>
          <m:d>
            <m:dPr>
              <m:begChr m:val="{"/>
              <m:endChr m:val="}"/>
              <m:ctrlPr>
                <w:rPr>
                  <w:rFonts w:ascii="Cambria Math" w:hAnsi="Cambria Math"/>
                </w:rPr>
              </m:ctrlPr>
            </m:dPr>
            <m:e>
              <m:r>
                <w:rPr>
                  <w:rFonts w:ascii="Cambria Math" w:hAnsi="Cambria Math"/>
                </w:rPr>
                <m:t>0.25;0.75;1</m:t>
              </m:r>
            </m:e>
          </m:d>
        </m:oMath>
      </m:oMathPara>
    </w:p>
    <w:p w14:paraId="2DB7194C" w14:textId="20986AC4" w:rsidR="004930C1" w:rsidRDefault="002B6799">
      <w:pPr>
        <w:spacing w:line="320" w:lineRule="exact"/>
        <w:jc w:val="center"/>
        <w:rPr>
          <w:rFonts w:ascii="Calibri" w:hAnsi="Calibri" w:cs="Calibri"/>
          <w:color w:val="000000" w:themeColor="text1"/>
          <w:sz w:val="20"/>
          <w:szCs w:val="20"/>
        </w:rPr>
      </w:pPr>
      <m:oMathPara>
        <m:oMathParaPr>
          <m:jc m:val="center"/>
        </m:oMathParaPr>
        <m:oMath>
          <m:r>
            <w:rPr>
              <w:rFonts w:ascii="Cambria Math" w:hAnsi="Cambria Math"/>
            </w:rPr>
            <m:t>Circostanze del databreach</m:t>
          </m:r>
          <m:d>
            <m:dPr>
              <m:ctrlPr>
                <w:rPr>
                  <w:rFonts w:ascii="Cambria Math" w:hAnsi="Cambria Math"/>
                </w:rPr>
              </m:ctrlPr>
            </m:dPr>
            <m:e>
              <m:r>
                <w:rPr>
                  <w:rFonts w:ascii="Cambria Math" w:hAnsi="Cambria Math"/>
                </w:rPr>
                <m:t>CDB</m:t>
              </m:r>
            </m:e>
          </m:d>
          <m:r>
            <w:rPr>
              <w:rFonts w:ascii="Cambria Math" w:hAnsi="Cambria Math"/>
            </w:rPr>
            <m:t>=</m:t>
          </m:r>
          <m:d>
            <m:dPr>
              <m:begChr m:val="{"/>
              <m:endChr m:val="}"/>
              <m:ctrlPr>
                <w:rPr>
                  <w:rFonts w:ascii="Cambria Math" w:hAnsi="Cambria Math"/>
                </w:rPr>
              </m:ctrlPr>
            </m:dPr>
            <m:e>
              <m:r>
                <w:rPr>
                  <w:rFonts w:ascii="Cambria Math" w:hAnsi="Cambria Math"/>
                </w:rPr>
                <m:t>0.25;0.50;0.75</m:t>
              </m:r>
            </m:e>
          </m:d>
        </m:oMath>
      </m:oMathPara>
    </w:p>
    <w:p w14:paraId="645236F3" w14:textId="77777777" w:rsidR="004930C1" w:rsidRDefault="004930C1">
      <w:pPr>
        <w:spacing w:line="320" w:lineRule="exact"/>
        <w:jc w:val="both"/>
        <w:rPr>
          <w:rFonts w:ascii="Calibri" w:hAnsi="Calibri" w:cs="Calibri"/>
          <w:color w:val="000000" w:themeColor="text1"/>
          <w:sz w:val="20"/>
          <w:szCs w:val="20"/>
        </w:rPr>
      </w:pPr>
    </w:p>
    <w:tbl>
      <w:tblPr>
        <w:tblW w:w="4252" w:type="dxa"/>
        <w:tblInd w:w="2191" w:type="dxa"/>
        <w:tblLayout w:type="fixed"/>
        <w:tblCellMar>
          <w:left w:w="113" w:type="dxa"/>
        </w:tblCellMar>
        <w:tblLook w:val="04A0" w:firstRow="1" w:lastRow="0" w:firstColumn="1" w:lastColumn="0" w:noHBand="0" w:noVBand="1"/>
      </w:tblPr>
      <w:tblGrid>
        <w:gridCol w:w="1412"/>
        <w:gridCol w:w="713"/>
        <w:gridCol w:w="700"/>
        <w:gridCol w:w="713"/>
        <w:gridCol w:w="714"/>
      </w:tblGrid>
      <w:tr w:rsidR="004930C1" w14:paraId="76012329" w14:textId="77777777">
        <w:tc>
          <w:tcPr>
            <w:tcW w:w="1412" w:type="dxa"/>
            <w:shd w:val="clear" w:color="auto" w:fill="auto"/>
          </w:tcPr>
          <w:p w14:paraId="4112E6E9" w14:textId="77777777" w:rsidR="004930C1" w:rsidRDefault="004930C1">
            <w:pPr>
              <w:pStyle w:val="Default"/>
              <w:widowControl w:val="0"/>
              <w:rPr>
                <w:rFonts w:asciiTheme="minorHAnsi" w:hAnsiTheme="minorHAnsi" w:cstheme="minorHAnsi"/>
                <w:b/>
                <w:bCs/>
                <w:color w:val="000000" w:themeColor="text1"/>
                <w:lang w:val="es-VE" w:eastAsia="en-US"/>
              </w:rPr>
            </w:pPr>
          </w:p>
        </w:tc>
        <w:tc>
          <w:tcPr>
            <w:tcW w:w="713" w:type="dxa"/>
            <w:tcBorders>
              <w:right w:val="single" w:sz="4" w:space="0" w:color="00000A"/>
            </w:tcBorders>
            <w:shd w:val="clear" w:color="auto" w:fill="auto"/>
            <w:tcMar>
              <w:left w:w="93" w:type="dxa"/>
            </w:tcMar>
          </w:tcPr>
          <w:p w14:paraId="0D31624C" w14:textId="77777777" w:rsidR="004930C1" w:rsidRDefault="004930C1">
            <w:pPr>
              <w:pStyle w:val="Default"/>
              <w:widowControl w:val="0"/>
              <w:rPr>
                <w:rFonts w:asciiTheme="minorHAnsi" w:hAnsiTheme="minorHAnsi" w:cstheme="minorHAnsi"/>
                <w:b/>
                <w:bCs/>
                <w:color w:val="000000" w:themeColor="text1"/>
                <w:lang w:val="es-VE" w:eastAsia="en-US"/>
              </w:rPr>
            </w:pPr>
          </w:p>
        </w:tc>
        <w:tc>
          <w:tcPr>
            <w:tcW w:w="2127"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A94B56E"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C</w:t>
            </w:r>
          </w:p>
        </w:tc>
      </w:tr>
      <w:tr w:rsidR="004930C1" w14:paraId="23F6831F" w14:textId="77777777">
        <w:tc>
          <w:tcPr>
            <w:tcW w:w="1412" w:type="dxa"/>
            <w:tcBorders>
              <w:bottom w:val="single" w:sz="4" w:space="0" w:color="00000A"/>
            </w:tcBorders>
            <w:shd w:val="clear" w:color="auto" w:fill="auto"/>
          </w:tcPr>
          <w:p w14:paraId="24AED2CF" w14:textId="77777777" w:rsidR="004930C1" w:rsidRDefault="004930C1">
            <w:pPr>
              <w:pStyle w:val="Default"/>
              <w:widowControl w:val="0"/>
              <w:rPr>
                <w:rFonts w:asciiTheme="minorHAnsi" w:hAnsiTheme="minorHAnsi" w:cstheme="minorHAnsi"/>
                <w:b/>
                <w:bCs/>
                <w:color w:val="000000" w:themeColor="text1"/>
                <w:lang w:val="es-VE" w:eastAsia="en-US"/>
              </w:rPr>
            </w:pPr>
          </w:p>
        </w:tc>
        <w:tc>
          <w:tcPr>
            <w:tcW w:w="713" w:type="dxa"/>
            <w:tcBorders>
              <w:bottom w:val="single" w:sz="4" w:space="0" w:color="00000A"/>
              <w:right w:val="single" w:sz="4" w:space="0" w:color="00000A"/>
            </w:tcBorders>
            <w:shd w:val="clear" w:color="auto" w:fill="auto"/>
            <w:tcMar>
              <w:left w:w="93" w:type="dxa"/>
            </w:tcMar>
          </w:tcPr>
          <w:p w14:paraId="61DA0CDD"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w:t>
            </w:r>
          </w:p>
        </w:tc>
        <w:tc>
          <w:tcPr>
            <w:tcW w:w="700" w:type="dxa"/>
            <w:tcBorders>
              <w:top w:val="single" w:sz="4" w:space="0" w:color="00000A"/>
              <w:left w:val="single" w:sz="4" w:space="0" w:color="00000A"/>
              <w:bottom w:val="single" w:sz="12" w:space="0" w:color="00000A"/>
              <w:right w:val="single" w:sz="4" w:space="0" w:color="00000A"/>
            </w:tcBorders>
            <w:shd w:val="clear" w:color="auto" w:fill="auto"/>
            <w:tcMar>
              <w:left w:w="83" w:type="dxa"/>
            </w:tcMar>
          </w:tcPr>
          <w:p w14:paraId="052C66EF"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w:t>
            </w:r>
          </w:p>
        </w:tc>
        <w:tc>
          <w:tcPr>
            <w:tcW w:w="713" w:type="dxa"/>
            <w:tcBorders>
              <w:top w:val="single" w:sz="4" w:space="0" w:color="00000A"/>
              <w:left w:val="single" w:sz="4" w:space="0" w:color="00000A"/>
              <w:bottom w:val="single" w:sz="12" w:space="0" w:color="00000A"/>
              <w:right w:val="single" w:sz="4" w:space="0" w:color="00000A"/>
            </w:tcBorders>
            <w:shd w:val="clear" w:color="auto" w:fill="auto"/>
            <w:tcMar>
              <w:left w:w="83" w:type="dxa"/>
            </w:tcMar>
          </w:tcPr>
          <w:p w14:paraId="1375A0D7"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2</w:t>
            </w:r>
          </w:p>
        </w:tc>
        <w:tc>
          <w:tcPr>
            <w:tcW w:w="714" w:type="dxa"/>
            <w:tcBorders>
              <w:top w:val="single" w:sz="4" w:space="0" w:color="00000A"/>
              <w:left w:val="single" w:sz="4" w:space="0" w:color="00000A"/>
              <w:bottom w:val="single" w:sz="12" w:space="0" w:color="00000A"/>
              <w:right w:val="single" w:sz="4" w:space="0" w:color="00000A"/>
            </w:tcBorders>
            <w:shd w:val="clear" w:color="auto" w:fill="auto"/>
            <w:tcMar>
              <w:left w:w="83" w:type="dxa"/>
            </w:tcMar>
          </w:tcPr>
          <w:p w14:paraId="22A80C8F"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3</w:t>
            </w:r>
          </w:p>
        </w:tc>
      </w:tr>
      <w:tr w:rsidR="004930C1" w14:paraId="0497E3A2" w14:textId="77777777">
        <w:tc>
          <w:tcPr>
            <w:tcW w:w="1412"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3110671" w14:textId="77777777" w:rsidR="004930C1" w:rsidRDefault="002B6799">
            <w:pPr>
              <w:pStyle w:val="Default"/>
              <w:widowControl w:val="0"/>
              <w:jc w:val="center"/>
              <w:rPr>
                <w:rFonts w:asciiTheme="minorHAnsi" w:hAnsiTheme="minorHAnsi" w:cstheme="minorHAnsi"/>
                <w:b/>
                <w:bCs/>
                <w:color w:val="000000" w:themeColor="text1"/>
                <w:lang w:val="es-VE" w:eastAsia="en-US"/>
              </w:rPr>
            </w:pPr>
            <w:r>
              <w:rPr>
                <w:rFonts w:asciiTheme="minorHAnsi" w:hAnsiTheme="minorHAnsi" w:cstheme="minorHAnsi"/>
                <w:b/>
                <w:bCs/>
                <w:color w:val="000000" w:themeColor="text1"/>
                <w:lang w:val="es-VE" w:eastAsia="en-US"/>
              </w:rPr>
              <w:t>ID</w:t>
            </w:r>
          </w:p>
        </w:tc>
        <w:tc>
          <w:tcPr>
            <w:tcW w:w="713" w:type="dxa"/>
            <w:tcBorders>
              <w:top w:val="single" w:sz="4" w:space="0" w:color="00000A"/>
              <w:left w:val="single" w:sz="4" w:space="0" w:color="00000A"/>
              <w:bottom w:val="single" w:sz="4" w:space="0" w:color="00000A"/>
              <w:right w:val="single" w:sz="12" w:space="0" w:color="00000A"/>
            </w:tcBorders>
            <w:shd w:val="clear" w:color="auto" w:fill="auto"/>
            <w:tcMar>
              <w:left w:w="83" w:type="dxa"/>
            </w:tcMar>
          </w:tcPr>
          <w:p w14:paraId="7F30F025"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0.25</w:t>
            </w:r>
          </w:p>
        </w:tc>
        <w:tc>
          <w:tcPr>
            <w:tcW w:w="700" w:type="dxa"/>
            <w:tcBorders>
              <w:top w:val="single" w:sz="12" w:space="0" w:color="00000A"/>
              <w:left w:val="single" w:sz="12" w:space="0" w:color="00000A"/>
              <w:bottom w:val="single" w:sz="12" w:space="0" w:color="00000A"/>
              <w:right w:val="single" w:sz="12" w:space="0" w:color="00000A"/>
            </w:tcBorders>
            <w:shd w:val="clear" w:color="auto" w:fill="auto"/>
            <w:tcMar>
              <w:left w:w="23" w:type="dxa"/>
            </w:tcMar>
          </w:tcPr>
          <w:p w14:paraId="1379A624"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0.25</w:t>
            </w:r>
          </w:p>
        </w:tc>
        <w:tc>
          <w:tcPr>
            <w:tcW w:w="713" w:type="dxa"/>
            <w:tcBorders>
              <w:top w:val="single" w:sz="12" w:space="0" w:color="00000A"/>
              <w:left w:val="single" w:sz="12" w:space="0" w:color="00000A"/>
              <w:bottom w:val="single" w:sz="12" w:space="0" w:color="00000A"/>
              <w:right w:val="single" w:sz="12" w:space="0" w:color="00000A"/>
            </w:tcBorders>
            <w:shd w:val="clear" w:color="auto" w:fill="auto"/>
            <w:tcMar>
              <w:left w:w="23" w:type="dxa"/>
            </w:tcMar>
          </w:tcPr>
          <w:p w14:paraId="3CE77FBB"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0.50</w:t>
            </w:r>
          </w:p>
        </w:tc>
        <w:tc>
          <w:tcPr>
            <w:tcW w:w="714" w:type="dxa"/>
            <w:tcBorders>
              <w:top w:val="single" w:sz="12" w:space="0" w:color="00000A"/>
              <w:left w:val="single" w:sz="12" w:space="0" w:color="00000A"/>
              <w:bottom w:val="single" w:sz="12" w:space="0" w:color="00000A"/>
              <w:right w:val="single" w:sz="12" w:space="0" w:color="00000A"/>
            </w:tcBorders>
            <w:shd w:val="clear" w:color="auto" w:fill="auto"/>
            <w:tcMar>
              <w:left w:w="23" w:type="dxa"/>
            </w:tcMar>
          </w:tcPr>
          <w:p w14:paraId="181BFBCF"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0.75</w:t>
            </w:r>
          </w:p>
        </w:tc>
      </w:tr>
      <w:tr w:rsidR="004930C1" w14:paraId="4D688FAB"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2047081" w14:textId="77777777" w:rsidR="004930C1" w:rsidRDefault="004930C1">
            <w:pPr>
              <w:widowControl w:val="0"/>
              <w:rPr>
                <w:rFonts w:asciiTheme="minorHAnsi" w:hAnsiTheme="minorHAnsi" w:cstheme="minorHAnsi"/>
                <w:color w:val="000000" w:themeColor="text1"/>
              </w:rPr>
            </w:pPr>
          </w:p>
        </w:tc>
        <w:tc>
          <w:tcPr>
            <w:tcW w:w="713" w:type="dxa"/>
            <w:tcBorders>
              <w:top w:val="single" w:sz="4" w:space="0" w:color="00000A"/>
              <w:left w:val="single" w:sz="4" w:space="0" w:color="00000A"/>
              <w:bottom w:val="single" w:sz="4" w:space="0" w:color="00000A"/>
              <w:right w:val="single" w:sz="12" w:space="0" w:color="00000A"/>
            </w:tcBorders>
            <w:shd w:val="clear" w:color="auto" w:fill="auto"/>
            <w:tcMar>
              <w:left w:w="83" w:type="dxa"/>
            </w:tcMar>
          </w:tcPr>
          <w:p w14:paraId="0F5CD69D"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0.75</w:t>
            </w:r>
          </w:p>
        </w:tc>
        <w:tc>
          <w:tcPr>
            <w:tcW w:w="700" w:type="dxa"/>
            <w:tcBorders>
              <w:top w:val="single" w:sz="12" w:space="0" w:color="00000A"/>
              <w:left w:val="single" w:sz="12" w:space="0" w:color="00000A"/>
              <w:bottom w:val="single" w:sz="12" w:space="0" w:color="00000A"/>
              <w:right w:val="single" w:sz="12" w:space="0" w:color="00000A"/>
            </w:tcBorders>
            <w:shd w:val="clear" w:color="auto" w:fill="auto"/>
            <w:tcMar>
              <w:left w:w="23" w:type="dxa"/>
            </w:tcMar>
          </w:tcPr>
          <w:p w14:paraId="77A1FF07"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0.75</w:t>
            </w:r>
          </w:p>
        </w:tc>
        <w:tc>
          <w:tcPr>
            <w:tcW w:w="713" w:type="dxa"/>
            <w:tcBorders>
              <w:top w:val="single" w:sz="12" w:space="0" w:color="00000A"/>
              <w:left w:val="single" w:sz="12" w:space="0" w:color="00000A"/>
              <w:bottom w:val="single" w:sz="12" w:space="0" w:color="00000A"/>
              <w:right w:val="single" w:sz="12" w:space="0" w:color="00000A"/>
            </w:tcBorders>
            <w:shd w:val="clear" w:color="auto" w:fill="auto"/>
            <w:tcMar>
              <w:left w:w="23" w:type="dxa"/>
            </w:tcMar>
          </w:tcPr>
          <w:p w14:paraId="1CC1A003"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1.5</w:t>
            </w:r>
          </w:p>
        </w:tc>
        <w:tc>
          <w:tcPr>
            <w:tcW w:w="714" w:type="dxa"/>
            <w:tcBorders>
              <w:top w:val="single" w:sz="12" w:space="0" w:color="00000A"/>
              <w:left w:val="single" w:sz="12" w:space="0" w:color="00000A"/>
              <w:bottom w:val="single" w:sz="12" w:space="0" w:color="00000A"/>
              <w:right w:val="single" w:sz="12" w:space="0" w:color="00000A"/>
            </w:tcBorders>
            <w:shd w:val="clear" w:color="auto" w:fill="auto"/>
            <w:tcMar>
              <w:left w:w="23" w:type="dxa"/>
            </w:tcMar>
          </w:tcPr>
          <w:p w14:paraId="4B245F4B"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2.25</w:t>
            </w:r>
          </w:p>
        </w:tc>
      </w:tr>
      <w:tr w:rsidR="004930C1" w14:paraId="79659EEC"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F5C81A4" w14:textId="77777777" w:rsidR="004930C1" w:rsidRDefault="004930C1">
            <w:pPr>
              <w:widowControl w:val="0"/>
              <w:rPr>
                <w:rFonts w:asciiTheme="minorHAnsi" w:hAnsiTheme="minorHAnsi" w:cstheme="minorHAnsi"/>
                <w:color w:val="000000" w:themeColor="text1"/>
              </w:rPr>
            </w:pPr>
          </w:p>
        </w:tc>
        <w:tc>
          <w:tcPr>
            <w:tcW w:w="713" w:type="dxa"/>
            <w:tcBorders>
              <w:top w:val="single" w:sz="4" w:space="0" w:color="00000A"/>
              <w:left w:val="single" w:sz="4" w:space="0" w:color="00000A"/>
              <w:bottom w:val="single" w:sz="4" w:space="0" w:color="00000A"/>
              <w:right w:val="single" w:sz="12" w:space="0" w:color="00000A"/>
            </w:tcBorders>
            <w:shd w:val="clear" w:color="auto" w:fill="auto"/>
            <w:tcMar>
              <w:left w:w="83" w:type="dxa"/>
            </w:tcMar>
          </w:tcPr>
          <w:p w14:paraId="5AE64758"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w:t>
            </w:r>
          </w:p>
        </w:tc>
        <w:tc>
          <w:tcPr>
            <w:tcW w:w="700" w:type="dxa"/>
            <w:tcBorders>
              <w:top w:val="single" w:sz="12" w:space="0" w:color="00000A"/>
              <w:left w:val="single" w:sz="12" w:space="0" w:color="00000A"/>
              <w:bottom w:val="single" w:sz="12" w:space="0" w:color="00000A"/>
              <w:right w:val="single" w:sz="12" w:space="0" w:color="00000A"/>
            </w:tcBorders>
            <w:shd w:val="clear" w:color="auto" w:fill="auto"/>
            <w:tcMar>
              <w:left w:w="23" w:type="dxa"/>
            </w:tcMar>
          </w:tcPr>
          <w:p w14:paraId="4F4BE1D8"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w:t>
            </w:r>
          </w:p>
        </w:tc>
        <w:tc>
          <w:tcPr>
            <w:tcW w:w="713" w:type="dxa"/>
            <w:tcBorders>
              <w:top w:val="single" w:sz="12" w:space="0" w:color="00000A"/>
              <w:left w:val="single" w:sz="12" w:space="0" w:color="00000A"/>
              <w:bottom w:val="single" w:sz="12" w:space="0" w:color="00000A"/>
              <w:right w:val="single" w:sz="12" w:space="0" w:color="00000A"/>
            </w:tcBorders>
            <w:shd w:val="clear" w:color="auto" w:fill="auto"/>
            <w:tcMar>
              <w:left w:w="23" w:type="dxa"/>
            </w:tcMar>
          </w:tcPr>
          <w:p w14:paraId="2D24045F"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2</w:t>
            </w:r>
          </w:p>
        </w:tc>
        <w:tc>
          <w:tcPr>
            <w:tcW w:w="714" w:type="dxa"/>
            <w:tcBorders>
              <w:top w:val="single" w:sz="12" w:space="0" w:color="00000A"/>
              <w:left w:val="single" w:sz="12" w:space="0" w:color="00000A"/>
              <w:bottom w:val="single" w:sz="12" w:space="0" w:color="00000A"/>
              <w:right w:val="single" w:sz="12" w:space="0" w:color="00000A"/>
            </w:tcBorders>
            <w:shd w:val="clear" w:color="auto" w:fill="auto"/>
            <w:tcMar>
              <w:left w:w="23" w:type="dxa"/>
            </w:tcMar>
          </w:tcPr>
          <w:p w14:paraId="59C86F60"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3</w:t>
            </w:r>
          </w:p>
        </w:tc>
      </w:tr>
    </w:tbl>
    <w:p w14:paraId="4A8EB6E6" w14:textId="77777777" w:rsidR="004930C1" w:rsidRDefault="004930C1">
      <w:pPr>
        <w:pStyle w:val="Didascalia"/>
        <w:rPr>
          <w:color w:val="000000" w:themeColor="text1"/>
          <w:sz w:val="16"/>
          <w:szCs w:val="16"/>
          <w:lang w:val="es-VE"/>
        </w:rPr>
      </w:pPr>
    </w:p>
    <w:tbl>
      <w:tblPr>
        <w:tblW w:w="7452" w:type="dxa"/>
        <w:tblInd w:w="841" w:type="dxa"/>
        <w:tblLayout w:type="fixed"/>
        <w:tblCellMar>
          <w:left w:w="113" w:type="dxa"/>
        </w:tblCellMar>
        <w:tblLook w:val="04A0" w:firstRow="1" w:lastRow="0" w:firstColumn="1" w:lastColumn="0" w:noHBand="0" w:noVBand="1"/>
      </w:tblPr>
      <w:tblGrid>
        <w:gridCol w:w="1062"/>
        <w:gridCol w:w="714"/>
        <w:gridCol w:w="713"/>
        <w:gridCol w:w="714"/>
        <w:gridCol w:w="699"/>
        <w:gridCol w:w="714"/>
        <w:gridCol w:w="710"/>
        <w:gridCol w:w="700"/>
        <w:gridCol w:w="715"/>
        <w:gridCol w:w="711"/>
      </w:tblGrid>
      <w:tr w:rsidR="004930C1" w14:paraId="67B1C3A1" w14:textId="77777777">
        <w:tc>
          <w:tcPr>
            <w:tcW w:w="1061" w:type="dxa"/>
            <w:shd w:val="clear" w:color="auto" w:fill="auto"/>
          </w:tcPr>
          <w:p w14:paraId="600B766F" w14:textId="77777777" w:rsidR="004930C1" w:rsidRDefault="004930C1">
            <w:pPr>
              <w:pStyle w:val="Default"/>
              <w:widowControl w:val="0"/>
              <w:rPr>
                <w:rFonts w:asciiTheme="minorHAnsi" w:hAnsiTheme="minorHAnsi" w:cstheme="minorHAnsi"/>
                <w:b/>
                <w:bCs/>
                <w:color w:val="000000" w:themeColor="text1"/>
                <w:lang w:val="es-VE" w:eastAsia="en-US"/>
              </w:rPr>
            </w:pPr>
          </w:p>
        </w:tc>
        <w:tc>
          <w:tcPr>
            <w:tcW w:w="714" w:type="dxa"/>
            <w:tcBorders>
              <w:right w:val="single" w:sz="4" w:space="0" w:color="00000A"/>
            </w:tcBorders>
            <w:shd w:val="clear" w:color="auto" w:fill="auto"/>
            <w:tcMar>
              <w:left w:w="93" w:type="dxa"/>
            </w:tcMar>
          </w:tcPr>
          <w:p w14:paraId="32CB7B35" w14:textId="77777777" w:rsidR="004930C1" w:rsidRDefault="004930C1">
            <w:pPr>
              <w:pStyle w:val="Default"/>
              <w:widowControl w:val="0"/>
              <w:rPr>
                <w:rFonts w:asciiTheme="minorHAnsi" w:hAnsiTheme="minorHAnsi" w:cstheme="minorHAnsi"/>
                <w:b/>
                <w:bCs/>
                <w:color w:val="000000" w:themeColor="text1"/>
                <w:lang w:val="es-VE" w:eastAsia="en-US"/>
              </w:rPr>
            </w:pPr>
          </w:p>
        </w:tc>
        <w:tc>
          <w:tcPr>
            <w:tcW w:w="5676" w:type="dxa"/>
            <w:gridSpan w:val="8"/>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34275E6"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C*ID</w:t>
            </w:r>
          </w:p>
        </w:tc>
      </w:tr>
      <w:tr w:rsidR="004930C1" w14:paraId="235E9773" w14:textId="77777777">
        <w:tc>
          <w:tcPr>
            <w:tcW w:w="1061" w:type="dxa"/>
            <w:tcBorders>
              <w:bottom w:val="single" w:sz="4" w:space="0" w:color="00000A"/>
            </w:tcBorders>
            <w:shd w:val="clear" w:color="auto" w:fill="auto"/>
          </w:tcPr>
          <w:p w14:paraId="29AAF7D8" w14:textId="77777777" w:rsidR="004930C1" w:rsidRDefault="004930C1">
            <w:pPr>
              <w:pStyle w:val="Default"/>
              <w:widowControl w:val="0"/>
              <w:rPr>
                <w:rFonts w:asciiTheme="minorHAnsi" w:hAnsiTheme="minorHAnsi" w:cstheme="minorHAnsi"/>
                <w:b/>
                <w:bCs/>
                <w:color w:val="000000" w:themeColor="text1"/>
                <w:lang w:val="es-VE" w:eastAsia="en-US"/>
              </w:rPr>
            </w:pPr>
          </w:p>
        </w:tc>
        <w:tc>
          <w:tcPr>
            <w:tcW w:w="714" w:type="dxa"/>
            <w:tcBorders>
              <w:bottom w:val="single" w:sz="4" w:space="0" w:color="00000A"/>
              <w:right w:val="single" w:sz="4" w:space="0" w:color="00000A"/>
            </w:tcBorders>
            <w:shd w:val="clear" w:color="auto" w:fill="auto"/>
            <w:tcMar>
              <w:left w:w="93" w:type="dxa"/>
            </w:tcMar>
          </w:tcPr>
          <w:p w14:paraId="1EF2D2B7"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w:t>
            </w:r>
          </w:p>
        </w:tc>
        <w:tc>
          <w:tcPr>
            <w:tcW w:w="713" w:type="dxa"/>
            <w:tcBorders>
              <w:top w:val="single" w:sz="4" w:space="0" w:color="00000A"/>
              <w:left w:val="single" w:sz="4" w:space="0" w:color="00000A"/>
              <w:bottom w:val="single" w:sz="12" w:space="0" w:color="00000A"/>
              <w:right w:val="single" w:sz="4" w:space="0" w:color="00000A"/>
            </w:tcBorders>
            <w:shd w:val="clear" w:color="auto" w:fill="auto"/>
            <w:tcMar>
              <w:left w:w="83" w:type="dxa"/>
            </w:tcMar>
          </w:tcPr>
          <w:p w14:paraId="648A87A0"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0.25</w:t>
            </w:r>
          </w:p>
        </w:tc>
        <w:tc>
          <w:tcPr>
            <w:tcW w:w="714" w:type="dxa"/>
            <w:tcBorders>
              <w:top w:val="single" w:sz="4" w:space="0" w:color="00000A"/>
              <w:left w:val="single" w:sz="4" w:space="0" w:color="00000A"/>
              <w:bottom w:val="single" w:sz="12" w:space="0" w:color="00000A"/>
              <w:right w:val="single" w:sz="4" w:space="0" w:color="00000A"/>
            </w:tcBorders>
            <w:shd w:val="clear" w:color="auto" w:fill="auto"/>
            <w:tcMar>
              <w:left w:w="83" w:type="dxa"/>
            </w:tcMar>
          </w:tcPr>
          <w:p w14:paraId="3181FA77"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0.50</w:t>
            </w:r>
          </w:p>
        </w:tc>
        <w:tc>
          <w:tcPr>
            <w:tcW w:w="699" w:type="dxa"/>
            <w:tcBorders>
              <w:top w:val="single" w:sz="4" w:space="0" w:color="00000A"/>
              <w:left w:val="single" w:sz="4" w:space="0" w:color="00000A"/>
              <w:bottom w:val="single" w:sz="12" w:space="0" w:color="00000A"/>
              <w:right w:val="single" w:sz="4" w:space="0" w:color="00000A"/>
            </w:tcBorders>
            <w:shd w:val="clear" w:color="auto" w:fill="auto"/>
            <w:tcMar>
              <w:left w:w="83" w:type="dxa"/>
            </w:tcMar>
          </w:tcPr>
          <w:p w14:paraId="62726BF0"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0.75</w:t>
            </w:r>
          </w:p>
        </w:tc>
        <w:tc>
          <w:tcPr>
            <w:tcW w:w="714" w:type="dxa"/>
            <w:tcBorders>
              <w:top w:val="single" w:sz="4" w:space="0" w:color="00000A"/>
              <w:left w:val="single" w:sz="4" w:space="0" w:color="00000A"/>
              <w:bottom w:val="single" w:sz="12" w:space="0" w:color="00000A"/>
              <w:right w:val="single" w:sz="4" w:space="0" w:color="00000A"/>
            </w:tcBorders>
            <w:shd w:val="clear" w:color="auto" w:fill="auto"/>
            <w:tcMar>
              <w:left w:w="83" w:type="dxa"/>
            </w:tcMar>
          </w:tcPr>
          <w:p w14:paraId="5AA3C5AE"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w:t>
            </w:r>
          </w:p>
        </w:tc>
        <w:tc>
          <w:tcPr>
            <w:tcW w:w="710" w:type="dxa"/>
            <w:tcBorders>
              <w:top w:val="single" w:sz="4" w:space="0" w:color="00000A"/>
              <w:left w:val="single" w:sz="4" w:space="0" w:color="00000A"/>
              <w:bottom w:val="single" w:sz="12" w:space="0" w:color="00000A"/>
              <w:right w:val="single" w:sz="4" w:space="0" w:color="00000A"/>
            </w:tcBorders>
            <w:shd w:val="clear" w:color="auto" w:fill="auto"/>
            <w:tcMar>
              <w:left w:w="83" w:type="dxa"/>
            </w:tcMar>
          </w:tcPr>
          <w:p w14:paraId="57E388D7"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1.50</w:t>
            </w:r>
          </w:p>
        </w:tc>
        <w:tc>
          <w:tcPr>
            <w:tcW w:w="700" w:type="dxa"/>
            <w:tcBorders>
              <w:top w:val="single" w:sz="4" w:space="0" w:color="00000A"/>
              <w:left w:val="single" w:sz="4" w:space="0" w:color="00000A"/>
              <w:bottom w:val="single" w:sz="12" w:space="0" w:color="00000A"/>
              <w:right w:val="single" w:sz="4" w:space="0" w:color="00000A"/>
            </w:tcBorders>
            <w:shd w:val="clear" w:color="auto" w:fill="auto"/>
            <w:tcMar>
              <w:left w:w="83" w:type="dxa"/>
            </w:tcMar>
          </w:tcPr>
          <w:p w14:paraId="4F0577C5"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2</w:t>
            </w:r>
          </w:p>
        </w:tc>
        <w:tc>
          <w:tcPr>
            <w:tcW w:w="715" w:type="dxa"/>
            <w:tcBorders>
              <w:top w:val="single" w:sz="4" w:space="0" w:color="00000A"/>
              <w:left w:val="single" w:sz="4" w:space="0" w:color="00000A"/>
              <w:bottom w:val="single" w:sz="12" w:space="0" w:color="00000A"/>
              <w:right w:val="single" w:sz="4" w:space="0" w:color="00000A"/>
            </w:tcBorders>
            <w:shd w:val="clear" w:color="auto" w:fill="auto"/>
            <w:tcMar>
              <w:left w:w="83" w:type="dxa"/>
            </w:tcMar>
          </w:tcPr>
          <w:p w14:paraId="1FD0AE57"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2.25</w:t>
            </w:r>
          </w:p>
        </w:tc>
        <w:tc>
          <w:tcPr>
            <w:tcW w:w="711" w:type="dxa"/>
            <w:tcBorders>
              <w:top w:val="single" w:sz="4" w:space="0" w:color="00000A"/>
              <w:left w:val="single" w:sz="4" w:space="0" w:color="00000A"/>
              <w:bottom w:val="single" w:sz="12" w:space="0" w:color="00000A"/>
              <w:right w:val="single" w:sz="4" w:space="0" w:color="00000A"/>
            </w:tcBorders>
            <w:shd w:val="clear" w:color="auto" w:fill="auto"/>
            <w:tcMar>
              <w:left w:w="83" w:type="dxa"/>
            </w:tcMar>
          </w:tcPr>
          <w:p w14:paraId="23BCF70E"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3</w:t>
            </w:r>
          </w:p>
        </w:tc>
      </w:tr>
      <w:tr w:rsidR="004930C1" w14:paraId="59B73817" w14:textId="77777777">
        <w:tc>
          <w:tcPr>
            <w:tcW w:w="1061"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EE4D590"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CDB</w:t>
            </w:r>
          </w:p>
        </w:tc>
        <w:tc>
          <w:tcPr>
            <w:tcW w:w="714" w:type="dxa"/>
            <w:tcBorders>
              <w:top w:val="single" w:sz="4" w:space="0" w:color="00000A"/>
              <w:left w:val="single" w:sz="4" w:space="0" w:color="00000A"/>
              <w:bottom w:val="single" w:sz="4" w:space="0" w:color="00000A"/>
              <w:right w:val="single" w:sz="12" w:space="0" w:color="00000A"/>
            </w:tcBorders>
            <w:shd w:val="clear" w:color="auto" w:fill="auto"/>
            <w:tcMar>
              <w:left w:w="83" w:type="dxa"/>
            </w:tcMar>
          </w:tcPr>
          <w:p w14:paraId="2BE1FDC2" w14:textId="77777777" w:rsidR="004930C1" w:rsidRDefault="002B6799">
            <w:pPr>
              <w:pStyle w:val="Default"/>
              <w:widowControl w:val="0"/>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0.25</w:t>
            </w:r>
          </w:p>
        </w:tc>
        <w:tc>
          <w:tcPr>
            <w:tcW w:w="713" w:type="dxa"/>
            <w:tcBorders>
              <w:top w:val="single" w:sz="12" w:space="0" w:color="00000A"/>
              <w:left w:val="single" w:sz="12" w:space="0" w:color="00000A"/>
              <w:bottom w:val="single" w:sz="4" w:space="0" w:color="00000A"/>
              <w:right w:val="single" w:sz="4" w:space="0" w:color="00000A"/>
            </w:tcBorders>
            <w:shd w:val="clear" w:color="auto" w:fill="92D050"/>
            <w:tcMar>
              <w:left w:w="23" w:type="dxa"/>
            </w:tcMar>
          </w:tcPr>
          <w:p w14:paraId="17D0CC7A"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0.50</w:t>
            </w:r>
          </w:p>
        </w:tc>
        <w:tc>
          <w:tcPr>
            <w:tcW w:w="714" w:type="dxa"/>
            <w:tcBorders>
              <w:top w:val="single" w:sz="12" w:space="0" w:color="00000A"/>
              <w:left w:val="single" w:sz="4" w:space="0" w:color="00000A"/>
              <w:bottom w:val="single" w:sz="4" w:space="0" w:color="00000A"/>
              <w:right w:val="single" w:sz="4" w:space="0" w:color="00000A"/>
            </w:tcBorders>
            <w:shd w:val="clear" w:color="auto" w:fill="92D050"/>
            <w:tcMar>
              <w:left w:w="83" w:type="dxa"/>
            </w:tcMar>
          </w:tcPr>
          <w:p w14:paraId="4041255C"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0.75</w:t>
            </w:r>
          </w:p>
        </w:tc>
        <w:tc>
          <w:tcPr>
            <w:tcW w:w="699" w:type="dxa"/>
            <w:tcBorders>
              <w:top w:val="single" w:sz="12" w:space="0" w:color="00000A"/>
              <w:left w:val="single" w:sz="4" w:space="0" w:color="00000A"/>
              <w:bottom w:val="single" w:sz="4" w:space="0" w:color="00000A"/>
              <w:right w:val="single" w:sz="4" w:space="0" w:color="00000A"/>
            </w:tcBorders>
            <w:shd w:val="clear" w:color="auto" w:fill="92D050"/>
            <w:tcMar>
              <w:left w:w="83" w:type="dxa"/>
            </w:tcMar>
          </w:tcPr>
          <w:p w14:paraId="1E430760"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w:t>
            </w:r>
          </w:p>
        </w:tc>
        <w:tc>
          <w:tcPr>
            <w:tcW w:w="714" w:type="dxa"/>
            <w:tcBorders>
              <w:top w:val="single" w:sz="12" w:space="0" w:color="00000A"/>
              <w:left w:val="single" w:sz="4" w:space="0" w:color="00000A"/>
              <w:bottom w:val="single" w:sz="4" w:space="0" w:color="00000A"/>
              <w:right w:val="single" w:sz="4" w:space="0" w:color="00000A"/>
            </w:tcBorders>
            <w:shd w:val="clear" w:color="auto" w:fill="FFFF00"/>
            <w:tcMar>
              <w:left w:w="83" w:type="dxa"/>
            </w:tcMar>
          </w:tcPr>
          <w:p w14:paraId="0C7EB642"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1.25</w:t>
            </w:r>
          </w:p>
        </w:tc>
        <w:tc>
          <w:tcPr>
            <w:tcW w:w="710" w:type="dxa"/>
            <w:tcBorders>
              <w:top w:val="single" w:sz="12" w:space="0" w:color="00000A"/>
              <w:left w:val="single" w:sz="4" w:space="0" w:color="00000A"/>
              <w:bottom w:val="single" w:sz="4" w:space="0" w:color="00000A"/>
              <w:right w:val="single" w:sz="4" w:space="0" w:color="00000A"/>
            </w:tcBorders>
            <w:shd w:val="clear" w:color="auto" w:fill="FFFF00"/>
            <w:tcMar>
              <w:left w:w="83" w:type="dxa"/>
            </w:tcMar>
          </w:tcPr>
          <w:p w14:paraId="7422C748"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1.75</w:t>
            </w:r>
          </w:p>
        </w:tc>
        <w:tc>
          <w:tcPr>
            <w:tcW w:w="700" w:type="dxa"/>
            <w:tcBorders>
              <w:top w:val="single" w:sz="12" w:space="0" w:color="00000A"/>
              <w:left w:val="single" w:sz="4" w:space="0" w:color="00000A"/>
              <w:bottom w:val="single" w:sz="4" w:space="0" w:color="00000A"/>
              <w:right w:val="single" w:sz="4" w:space="0" w:color="00000A"/>
            </w:tcBorders>
            <w:shd w:val="clear" w:color="auto" w:fill="FFC000"/>
            <w:tcMar>
              <w:left w:w="83" w:type="dxa"/>
            </w:tcMar>
          </w:tcPr>
          <w:p w14:paraId="75441608"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2.25</w:t>
            </w:r>
          </w:p>
        </w:tc>
        <w:tc>
          <w:tcPr>
            <w:tcW w:w="715" w:type="dxa"/>
            <w:tcBorders>
              <w:top w:val="single" w:sz="12" w:space="0" w:color="00000A"/>
              <w:left w:val="single" w:sz="4" w:space="0" w:color="00000A"/>
              <w:bottom w:val="single" w:sz="4" w:space="0" w:color="00000A"/>
              <w:right w:val="single" w:sz="4" w:space="0" w:color="00000A"/>
            </w:tcBorders>
            <w:shd w:val="clear" w:color="auto" w:fill="FFC000"/>
            <w:tcMar>
              <w:left w:w="83" w:type="dxa"/>
            </w:tcMar>
          </w:tcPr>
          <w:p w14:paraId="500E1AEE"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2.50</w:t>
            </w:r>
          </w:p>
        </w:tc>
        <w:tc>
          <w:tcPr>
            <w:tcW w:w="711" w:type="dxa"/>
            <w:tcBorders>
              <w:top w:val="single" w:sz="12" w:space="0" w:color="00000A"/>
              <w:left w:val="single" w:sz="4" w:space="0" w:color="00000A"/>
              <w:bottom w:val="single" w:sz="4" w:space="0" w:color="00000A"/>
              <w:right w:val="single" w:sz="12" w:space="0" w:color="00000A"/>
            </w:tcBorders>
            <w:shd w:val="clear" w:color="auto" w:fill="FF0000"/>
            <w:tcMar>
              <w:left w:w="83" w:type="dxa"/>
            </w:tcMar>
          </w:tcPr>
          <w:p w14:paraId="482BF733"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3.25</w:t>
            </w:r>
          </w:p>
        </w:tc>
      </w:tr>
      <w:tr w:rsidR="004930C1" w14:paraId="4B00CDA7" w14:textId="77777777">
        <w:tc>
          <w:tcPr>
            <w:tcW w:w="1061"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4EFBF04" w14:textId="77777777" w:rsidR="004930C1" w:rsidRDefault="004930C1">
            <w:pPr>
              <w:widowControl w:val="0"/>
              <w:rPr>
                <w:rFonts w:asciiTheme="minorHAnsi" w:hAnsiTheme="minorHAnsi" w:cstheme="minorHAnsi"/>
                <w:color w:val="000000" w:themeColor="text1"/>
              </w:rPr>
            </w:pPr>
          </w:p>
        </w:tc>
        <w:tc>
          <w:tcPr>
            <w:tcW w:w="714" w:type="dxa"/>
            <w:tcBorders>
              <w:top w:val="single" w:sz="4" w:space="0" w:color="00000A"/>
              <w:left w:val="single" w:sz="4" w:space="0" w:color="00000A"/>
              <w:bottom w:val="single" w:sz="4" w:space="0" w:color="00000A"/>
              <w:right w:val="single" w:sz="12" w:space="0" w:color="00000A"/>
            </w:tcBorders>
            <w:shd w:val="clear" w:color="auto" w:fill="auto"/>
            <w:tcMar>
              <w:left w:w="83" w:type="dxa"/>
            </w:tcMar>
          </w:tcPr>
          <w:p w14:paraId="5C7FF589" w14:textId="77777777" w:rsidR="004930C1" w:rsidRDefault="002B6799">
            <w:pPr>
              <w:pStyle w:val="Default"/>
              <w:widowControl w:val="0"/>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0.50</w:t>
            </w:r>
          </w:p>
        </w:tc>
        <w:tc>
          <w:tcPr>
            <w:tcW w:w="713" w:type="dxa"/>
            <w:tcBorders>
              <w:top w:val="single" w:sz="4" w:space="0" w:color="00000A"/>
              <w:left w:val="single" w:sz="12" w:space="0" w:color="00000A"/>
              <w:bottom w:val="single" w:sz="4" w:space="0" w:color="00000A"/>
              <w:right w:val="single" w:sz="4" w:space="0" w:color="00000A"/>
            </w:tcBorders>
            <w:shd w:val="clear" w:color="auto" w:fill="92D050"/>
            <w:tcMar>
              <w:left w:w="23" w:type="dxa"/>
            </w:tcMar>
          </w:tcPr>
          <w:p w14:paraId="33FB76FD"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0.75</w:t>
            </w:r>
          </w:p>
        </w:tc>
        <w:tc>
          <w:tcPr>
            <w:tcW w:w="714" w:type="dxa"/>
            <w:tcBorders>
              <w:top w:val="single" w:sz="4" w:space="0" w:color="00000A"/>
              <w:left w:val="single" w:sz="4" w:space="0" w:color="00000A"/>
              <w:bottom w:val="single" w:sz="4" w:space="0" w:color="00000A"/>
              <w:right w:val="single" w:sz="4" w:space="0" w:color="00000A"/>
            </w:tcBorders>
            <w:shd w:val="clear" w:color="auto" w:fill="92D050"/>
            <w:tcMar>
              <w:left w:w="83" w:type="dxa"/>
            </w:tcMar>
          </w:tcPr>
          <w:p w14:paraId="5110A92B"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w:t>
            </w:r>
          </w:p>
        </w:tc>
        <w:tc>
          <w:tcPr>
            <w:tcW w:w="699" w:type="dxa"/>
            <w:tcBorders>
              <w:top w:val="single" w:sz="4" w:space="0" w:color="00000A"/>
              <w:left w:val="single" w:sz="4" w:space="0" w:color="00000A"/>
              <w:bottom w:val="single" w:sz="4" w:space="0" w:color="00000A"/>
              <w:right w:val="single" w:sz="4" w:space="0" w:color="00000A"/>
            </w:tcBorders>
            <w:shd w:val="clear" w:color="auto" w:fill="FFFF00"/>
            <w:tcMar>
              <w:left w:w="83" w:type="dxa"/>
            </w:tcMar>
          </w:tcPr>
          <w:p w14:paraId="0736A79F"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1.25</w:t>
            </w:r>
          </w:p>
        </w:tc>
        <w:tc>
          <w:tcPr>
            <w:tcW w:w="714" w:type="dxa"/>
            <w:tcBorders>
              <w:top w:val="single" w:sz="4" w:space="0" w:color="00000A"/>
              <w:left w:val="single" w:sz="4" w:space="0" w:color="00000A"/>
              <w:bottom w:val="single" w:sz="4" w:space="0" w:color="00000A"/>
              <w:right w:val="single" w:sz="4" w:space="0" w:color="00000A"/>
            </w:tcBorders>
            <w:shd w:val="clear" w:color="auto" w:fill="FFFF00"/>
            <w:tcMar>
              <w:left w:w="83" w:type="dxa"/>
            </w:tcMar>
          </w:tcPr>
          <w:p w14:paraId="56C93FCC"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1.50</w:t>
            </w:r>
          </w:p>
        </w:tc>
        <w:tc>
          <w:tcPr>
            <w:tcW w:w="710" w:type="dxa"/>
            <w:tcBorders>
              <w:top w:val="single" w:sz="4" w:space="0" w:color="00000A"/>
              <w:left w:val="single" w:sz="4" w:space="0" w:color="00000A"/>
              <w:bottom w:val="single" w:sz="4" w:space="0" w:color="00000A"/>
              <w:right w:val="single" w:sz="4" w:space="0" w:color="00000A"/>
            </w:tcBorders>
            <w:shd w:val="clear" w:color="auto" w:fill="FFFF00"/>
            <w:tcMar>
              <w:left w:w="83" w:type="dxa"/>
            </w:tcMar>
          </w:tcPr>
          <w:p w14:paraId="01A1686E"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2</w:t>
            </w:r>
          </w:p>
        </w:tc>
        <w:tc>
          <w:tcPr>
            <w:tcW w:w="700" w:type="dxa"/>
            <w:tcBorders>
              <w:top w:val="single" w:sz="4" w:space="0" w:color="00000A"/>
              <w:left w:val="single" w:sz="4" w:space="0" w:color="00000A"/>
              <w:bottom w:val="single" w:sz="4" w:space="0" w:color="00000A"/>
              <w:right w:val="single" w:sz="4" w:space="0" w:color="00000A"/>
            </w:tcBorders>
            <w:shd w:val="clear" w:color="auto" w:fill="FFC000"/>
            <w:tcMar>
              <w:left w:w="83" w:type="dxa"/>
            </w:tcMar>
          </w:tcPr>
          <w:p w14:paraId="282FE5FB"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2.50</w:t>
            </w:r>
          </w:p>
        </w:tc>
        <w:tc>
          <w:tcPr>
            <w:tcW w:w="715" w:type="dxa"/>
            <w:tcBorders>
              <w:top w:val="single" w:sz="4" w:space="0" w:color="00000A"/>
              <w:left w:val="single" w:sz="4" w:space="0" w:color="00000A"/>
              <w:bottom w:val="single" w:sz="4" w:space="0" w:color="00000A"/>
              <w:right w:val="single" w:sz="4" w:space="0" w:color="00000A"/>
            </w:tcBorders>
            <w:shd w:val="clear" w:color="auto" w:fill="FFC000"/>
            <w:tcMar>
              <w:left w:w="83" w:type="dxa"/>
            </w:tcMar>
          </w:tcPr>
          <w:p w14:paraId="5096937E"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2.75</w:t>
            </w:r>
          </w:p>
        </w:tc>
        <w:tc>
          <w:tcPr>
            <w:tcW w:w="711" w:type="dxa"/>
            <w:tcBorders>
              <w:top w:val="single" w:sz="4" w:space="0" w:color="00000A"/>
              <w:left w:val="single" w:sz="4" w:space="0" w:color="00000A"/>
              <w:bottom w:val="single" w:sz="4" w:space="0" w:color="00000A"/>
              <w:right w:val="single" w:sz="12" w:space="0" w:color="00000A"/>
            </w:tcBorders>
            <w:shd w:val="clear" w:color="auto" w:fill="FF0000"/>
            <w:tcMar>
              <w:left w:w="83" w:type="dxa"/>
            </w:tcMar>
          </w:tcPr>
          <w:p w14:paraId="3BA52ECA"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3.50</w:t>
            </w:r>
          </w:p>
        </w:tc>
      </w:tr>
      <w:tr w:rsidR="004930C1" w14:paraId="2D50FA8C" w14:textId="77777777">
        <w:tc>
          <w:tcPr>
            <w:tcW w:w="1061"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8DE6A70" w14:textId="77777777" w:rsidR="004930C1" w:rsidRDefault="004930C1">
            <w:pPr>
              <w:widowControl w:val="0"/>
              <w:rPr>
                <w:rFonts w:asciiTheme="minorHAnsi" w:hAnsiTheme="minorHAnsi" w:cstheme="minorHAnsi"/>
                <w:color w:val="000000" w:themeColor="text1"/>
              </w:rPr>
            </w:pPr>
          </w:p>
        </w:tc>
        <w:tc>
          <w:tcPr>
            <w:tcW w:w="714" w:type="dxa"/>
            <w:tcBorders>
              <w:top w:val="single" w:sz="4" w:space="0" w:color="00000A"/>
              <w:left w:val="single" w:sz="4" w:space="0" w:color="00000A"/>
              <w:bottom w:val="single" w:sz="4" w:space="0" w:color="00000A"/>
              <w:right w:val="single" w:sz="12" w:space="0" w:color="00000A"/>
            </w:tcBorders>
            <w:shd w:val="clear" w:color="auto" w:fill="auto"/>
            <w:tcMar>
              <w:left w:w="83" w:type="dxa"/>
            </w:tcMar>
          </w:tcPr>
          <w:p w14:paraId="07A644AD" w14:textId="77777777" w:rsidR="004930C1" w:rsidRDefault="002B6799">
            <w:pPr>
              <w:pStyle w:val="Default"/>
              <w:widowControl w:val="0"/>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0.75</w:t>
            </w:r>
          </w:p>
        </w:tc>
        <w:tc>
          <w:tcPr>
            <w:tcW w:w="713" w:type="dxa"/>
            <w:tcBorders>
              <w:top w:val="single" w:sz="4" w:space="0" w:color="00000A"/>
              <w:left w:val="single" w:sz="12" w:space="0" w:color="00000A"/>
              <w:bottom w:val="single" w:sz="12" w:space="0" w:color="00000A"/>
              <w:right w:val="single" w:sz="4" w:space="0" w:color="00000A"/>
            </w:tcBorders>
            <w:shd w:val="clear" w:color="auto" w:fill="92D050"/>
            <w:tcMar>
              <w:left w:w="23" w:type="dxa"/>
            </w:tcMar>
          </w:tcPr>
          <w:p w14:paraId="10A5493D"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w:t>
            </w:r>
          </w:p>
        </w:tc>
        <w:tc>
          <w:tcPr>
            <w:tcW w:w="714" w:type="dxa"/>
            <w:tcBorders>
              <w:top w:val="single" w:sz="4" w:space="0" w:color="00000A"/>
              <w:left w:val="single" w:sz="4" w:space="0" w:color="00000A"/>
              <w:bottom w:val="single" w:sz="12" w:space="0" w:color="00000A"/>
              <w:right w:val="single" w:sz="4" w:space="0" w:color="00000A"/>
            </w:tcBorders>
            <w:shd w:val="clear" w:color="auto" w:fill="FFFF00"/>
            <w:tcMar>
              <w:left w:w="83" w:type="dxa"/>
            </w:tcMar>
          </w:tcPr>
          <w:p w14:paraId="2FF758F7"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1.25</w:t>
            </w:r>
          </w:p>
        </w:tc>
        <w:tc>
          <w:tcPr>
            <w:tcW w:w="699" w:type="dxa"/>
            <w:tcBorders>
              <w:top w:val="single" w:sz="4" w:space="0" w:color="00000A"/>
              <w:left w:val="single" w:sz="4" w:space="0" w:color="00000A"/>
              <w:bottom w:val="single" w:sz="12" w:space="0" w:color="00000A"/>
              <w:right w:val="single" w:sz="4" w:space="0" w:color="00000A"/>
            </w:tcBorders>
            <w:shd w:val="clear" w:color="auto" w:fill="FFFF00"/>
            <w:tcMar>
              <w:left w:w="83" w:type="dxa"/>
            </w:tcMar>
          </w:tcPr>
          <w:p w14:paraId="3F1CD139"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1.50</w:t>
            </w:r>
          </w:p>
        </w:tc>
        <w:tc>
          <w:tcPr>
            <w:tcW w:w="714" w:type="dxa"/>
            <w:tcBorders>
              <w:top w:val="single" w:sz="4" w:space="0" w:color="00000A"/>
              <w:left w:val="single" w:sz="4" w:space="0" w:color="00000A"/>
              <w:bottom w:val="single" w:sz="12" w:space="0" w:color="00000A"/>
              <w:right w:val="single" w:sz="4" w:space="0" w:color="00000A"/>
            </w:tcBorders>
            <w:shd w:val="clear" w:color="auto" w:fill="FFFF00"/>
            <w:tcMar>
              <w:left w:w="83" w:type="dxa"/>
            </w:tcMar>
          </w:tcPr>
          <w:p w14:paraId="4F935B36"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1.75</w:t>
            </w:r>
          </w:p>
        </w:tc>
        <w:tc>
          <w:tcPr>
            <w:tcW w:w="710" w:type="dxa"/>
            <w:tcBorders>
              <w:top w:val="single" w:sz="4" w:space="0" w:color="00000A"/>
              <w:left w:val="single" w:sz="4" w:space="0" w:color="00000A"/>
              <w:bottom w:val="single" w:sz="12" w:space="0" w:color="00000A"/>
              <w:right w:val="single" w:sz="4" w:space="0" w:color="00000A"/>
            </w:tcBorders>
            <w:shd w:val="clear" w:color="auto" w:fill="FFC000"/>
            <w:tcMar>
              <w:left w:w="83" w:type="dxa"/>
            </w:tcMar>
          </w:tcPr>
          <w:p w14:paraId="631F08D9"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2.25</w:t>
            </w:r>
          </w:p>
        </w:tc>
        <w:tc>
          <w:tcPr>
            <w:tcW w:w="700" w:type="dxa"/>
            <w:tcBorders>
              <w:top w:val="single" w:sz="4" w:space="0" w:color="00000A"/>
              <w:left w:val="single" w:sz="4" w:space="0" w:color="00000A"/>
              <w:bottom w:val="single" w:sz="12" w:space="0" w:color="00000A"/>
              <w:right w:val="single" w:sz="4" w:space="0" w:color="00000A"/>
            </w:tcBorders>
            <w:shd w:val="clear" w:color="auto" w:fill="FFC000"/>
            <w:tcMar>
              <w:left w:w="83" w:type="dxa"/>
            </w:tcMar>
          </w:tcPr>
          <w:p w14:paraId="38A34BB1"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2.75</w:t>
            </w:r>
          </w:p>
        </w:tc>
        <w:tc>
          <w:tcPr>
            <w:tcW w:w="715" w:type="dxa"/>
            <w:tcBorders>
              <w:top w:val="single" w:sz="4" w:space="0" w:color="00000A"/>
              <w:left w:val="single" w:sz="4" w:space="0" w:color="00000A"/>
              <w:bottom w:val="single" w:sz="12" w:space="0" w:color="00000A"/>
              <w:right w:val="single" w:sz="4" w:space="0" w:color="00000A"/>
            </w:tcBorders>
            <w:shd w:val="clear" w:color="auto" w:fill="FF0000"/>
            <w:tcMar>
              <w:left w:w="83" w:type="dxa"/>
            </w:tcMar>
          </w:tcPr>
          <w:p w14:paraId="6B9B9D7D"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3</w:t>
            </w:r>
          </w:p>
        </w:tc>
        <w:tc>
          <w:tcPr>
            <w:tcW w:w="711" w:type="dxa"/>
            <w:tcBorders>
              <w:top w:val="single" w:sz="4" w:space="0" w:color="00000A"/>
              <w:left w:val="single" w:sz="4" w:space="0" w:color="00000A"/>
              <w:bottom w:val="single" w:sz="12" w:space="0" w:color="00000A"/>
              <w:right w:val="single" w:sz="12" w:space="0" w:color="00000A"/>
            </w:tcBorders>
            <w:shd w:val="clear" w:color="auto" w:fill="FF0000"/>
            <w:tcMar>
              <w:left w:w="83" w:type="dxa"/>
            </w:tcMar>
          </w:tcPr>
          <w:p w14:paraId="4BF5BC98" w14:textId="77777777" w:rsidR="004930C1" w:rsidRDefault="002B6799">
            <w:pPr>
              <w:pStyle w:val="Default"/>
              <w:widowControl w:val="0"/>
              <w:jc w:val="center"/>
              <w:rPr>
                <w:rFonts w:asciiTheme="minorHAnsi" w:hAnsiTheme="minorHAnsi" w:cstheme="minorHAnsi"/>
                <w:b/>
                <w:bCs/>
                <w:color w:val="000000" w:themeColor="text1"/>
                <w:lang w:val="es-VE"/>
              </w:rPr>
            </w:pPr>
            <w:r>
              <w:rPr>
                <w:rFonts w:asciiTheme="minorHAnsi" w:hAnsiTheme="minorHAnsi" w:cstheme="minorHAnsi"/>
                <w:b/>
                <w:bCs/>
                <w:color w:val="000000" w:themeColor="text1"/>
                <w:lang w:val="es-VE"/>
              </w:rPr>
              <w:t>3.75</w:t>
            </w:r>
          </w:p>
        </w:tc>
      </w:tr>
    </w:tbl>
    <w:p w14:paraId="16A892D8" w14:textId="77777777" w:rsidR="004930C1" w:rsidRDefault="004930C1">
      <w:pPr>
        <w:spacing w:line="360" w:lineRule="auto"/>
        <w:jc w:val="center"/>
        <w:rPr>
          <w:rFonts w:ascii="Arial" w:hAnsi="Arial" w:cs="Arial"/>
          <w:color w:val="000000" w:themeColor="text1"/>
          <w:sz w:val="16"/>
          <w:szCs w:val="16"/>
        </w:rPr>
      </w:pPr>
    </w:p>
    <w:p w14:paraId="5C1634F8" w14:textId="794B5730"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lastRenderedPageBreak/>
        <w:t xml:space="preserve">Per procedere al Calcolo, dunque, si deve attribuire un punteggio al Contesto del trattamento e alla facilità di identificazione degli interessati, e calcolare il prodotto; bisogna poi aggiungere dunque il punteggio della tabella A.1 con le tipologie di violazione (in caso di concomitanza di più fattori, scegliere il punteggio più alto) e aggiungere tale valore al risultato del prodotto calcolato in precedenza. </w:t>
      </w:r>
    </w:p>
    <w:p w14:paraId="5AFAF964" w14:textId="77777777" w:rsidR="004930C1" w:rsidRDefault="004930C1">
      <w:pPr>
        <w:spacing w:line="320" w:lineRule="exact"/>
        <w:jc w:val="both"/>
        <w:rPr>
          <w:rFonts w:ascii="Calibri" w:hAnsi="Calibri" w:cs="Calibri"/>
          <w:color w:val="000000" w:themeColor="text1"/>
          <w:sz w:val="20"/>
          <w:szCs w:val="20"/>
        </w:rPr>
      </w:pPr>
    </w:p>
    <w:p w14:paraId="693E4F5C" w14:textId="77777777" w:rsidR="004930C1" w:rsidRDefault="002B6799">
      <w:pPr>
        <w:spacing w:line="360" w:lineRule="auto"/>
        <w:jc w:val="both"/>
        <w:rPr>
          <w:rFonts w:ascii="Calibri" w:hAnsi="Calibri" w:cs="Calibri"/>
          <w:color w:val="000000" w:themeColor="text1"/>
          <w:sz w:val="20"/>
          <w:szCs w:val="20"/>
        </w:rPr>
      </w:pPr>
      <w:r>
        <w:rPr>
          <w:rFonts w:ascii="Calibri" w:hAnsi="Calibri" w:cs="Calibri"/>
          <w:color w:val="000000" w:themeColor="text1"/>
          <w:sz w:val="20"/>
          <w:szCs w:val="20"/>
        </w:rPr>
        <w:t>ESEMPIO PRATICO:</w:t>
      </w:r>
    </w:p>
    <w:p w14:paraId="16777B0E" w14:textId="05D38AFB" w:rsidR="004930C1" w:rsidRDefault="002B6799">
      <w:pPr>
        <w:spacing w:line="320" w:lineRule="exact"/>
        <w:jc w:val="both"/>
        <w:rPr>
          <w:rFonts w:ascii="Calibri" w:hAnsi="Calibri" w:cs="Calibri"/>
          <w:b/>
          <w:color w:val="000000" w:themeColor="text1"/>
          <w:sz w:val="20"/>
          <w:szCs w:val="20"/>
        </w:rPr>
      </w:pPr>
      <w:r>
        <w:rPr>
          <w:rFonts w:ascii="Calibri" w:hAnsi="Calibri" w:cs="Calibri"/>
          <w:b/>
          <w:color w:val="000000" w:themeColor="text1"/>
          <w:sz w:val="20"/>
          <w:szCs w:val="20"/>
        </w:rPr>
        <w:t xml:space="preserve">smarrimento/furto smartphone </w:t>
      </w:r>
      <w:r w:rsidR="00F93087">
        <w:rPr>
          <w:rFonts w:ascii="Calibri" w:hAnsi="Calibri" w:cs="Calibri"/>
          <w:b/>
          <w:color w:val="000000" w:themeColor="text1"/>
          <w:sz w:val="20"/>
          <w:szCs w:val="20"/>
        </w:rPr>
        <w:t xml:space="preserve">di servizio </w:t>
      </w:r>
      <w:r>
        <w:rPr>
          <w:rFonts w:ascii="Calibri" w:hAnsi="Calibri" w:cs="Calibri"/>
          <w:b/>
          <w:color w:val="000000" w:themeColor="text1"/>
          <w:sz w:val="20"/>
          <w:szCs w:val="20"/>
        </w:rPr>
        <w:t xml:space="preserve">(con accesso al display bloccato e protetto); lo smartphone è configurato con il Client per la posta </w:t>
      </w:r>
      <w:r w:rsidR="00F93087">
        <w:rPr>
          <w:rFonts w:ascii="Calibri" w:hAnsi="Calibri" w:cs="Calibri"/>
          <w:b/>
          <w:color w:val="000000" w:themeColor="text1"/>
          <w:sz w:val="20"/>
          <w:szCs w:val="20"/>
        </w:rPr>
        <w:t>dell’Ente</w:t>
      </w:r>
      <w:r>
        <w:rPr>
          <w:rFonts w:ascii="Calibri" w:hAnsi="Calibri" w:cs="Calibri"/>
          <w:b/>
          <w:color w:val="000000" w:themeColor="text1"/>
          <w:sz w:val="20"/>
          <w:szCs w:val="20"/>
        </w:rPr>
        <w:t xml:space="preserve"> (accesso all’APP con ulteriore password).</w:t>
      </w:r>
    </w:p>
    <w:p w14:paraId="00B87A84" w14:textId="77777777" w:rsidR="004930C1" w:rsidRDefault="004930C1">
      <w:pPr>
        <w:spacing w:line="320" w:lineRule="exact"/>
        <w:jc w:val="both"/>
        <w:rPr>
          <w:rFonts w:ascii="Calibri" w:hAnsi="Calibri" w:cs="Calibri"/>
          <w:color w:val="000000" w:themeColor="text1"/>
          <w:sz w:val="20"/>
          <w:szCs w:val="20"/>
        </w:rPr>
      </w:pPr>
    </w:p>
    <w:p w14:paraId="4040D6CC"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Quanto al Contesto del trattamento, sono sicuramente presenti dati personali/identificativi/anagrafici; se il dispositivo è in uso a personale che può avere dati personali del contesto “rischiosi” o “particolari”, si attribuisce il punteggio più alto, trattandosi del peggiore dei casi; supponendo che siano presenti messaggi di posta con dati particolari, il punteggio sarà quindi 3.</w:t>
      </w:r>
    </w:p>
    <w:p w14:paraId="127D1679"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Si inserisce poi la Facilità di identificazione, che in questo caso, essendo lo Smartphone protetto con sistema di crittografia (pin e altro), è trascurabile: 0,25 di punteggio.</w:t>
      </w:r>
    </w:p>
    <w:p w14:paraId="63D3CE09"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A prescindere dalle circostanze del Data Breach (0,75 nel peggiore dei casi), il prodotto fra indicatore di contesto e facilità di identificazione è 0,75; sommando il valore delle circostanze 0,75 si ottiene il livello di rischio 1,50; siamo nel livello medio, gli interessati (le persone a cui si riferiscono i contatti della rubrica del telefono, e i dati personali contenenti nei messaggi di posta elettronica) non dovrebbero avere conseguenze; infatti non sarà necessario notificare il data breach all’Autorità Garante.</w:t>
      </w:r>
    </w:p>
    <w:p w14:paraId="4F94244F" w14:textId="77777777" w:rsidR="004930C1" w:rsidRDefault="002B6799">
      <w:pPr>
        <w:spacing w:line="320" w:lineRule="exact"/>
        <w:jc w:val="both"/>
        <w:rPr>
          <w:rFonts w:ascii="Calibri" w:hAnsi="Calibri" w:cs="Calibri"/>
          <w:color w:val="000000" w:themeColor="text1"/>
          <w:sz w:val="20"/>
          <w:szCs w:val="20"/>
        </w:rPr>
      </w:pPr>
      <w:r>
        <w:rPr>
          <w:rFonts w:ascii="Calibri" w:hAnsi="Calibri" w:cs="Calibri"/>
          <w:color w:val="000000" w:themeColor="text1"/>
          <w:sz w:val="20"/>
          <w:szCs w:val="20"/>
        </w:rPr>
        <w:t>Punteggio ben diverso si sarebbe ottenuto se lo smartphone non fosse stato idoneamente protetto.</w:t>
      </w:r>
    </w:p>
    <w:p w14:paraId="0141B9E7" w14:textId="77777777" w:rsidR="004930C1" w:rsidRDefault="004930C1">
      <w:pPr>
        <w:spacing w:line="320" w:lineRule="exact"/>
        <w:ind w:left="142"/>
        <w:jc w:val="both"/>
        <w:rPr>
          <w:rFonts w:ascii="Calibri" w:hAnsi="Calibri" w:cs="Calibri"/>
          <w:color w:val="000000" w:themeColor="text1"/>
          <w:sz w:val="20"/>
          <w:szCs w:val="20"/>
        </w:rPr>
      </w:pPr>
    </w:p>
    <w:p w14:paraId="69156C81" w14:textId="27D2300E" w:rsidR="002E680D" w:rsidRPr="002E680D" w:rsidRDefault="002E680D" w:rsidP="007A2135">
      <w:pPr>
        <w:pStyle w:val="Titolo1"/>
      </w:pPr>
      <w:bookmarkStart w:id="25" w:name="_Toc110501603"/>
      <w:r w:rsidRPr="002E680D">
        <w:t xml:space="preserve">Esempi di eventi </w:t>
      </w:r>
      <w:r w:rsidRPr="007A2135">
        <w:t>che</w:t>
      </w:r>
      <w:r w:rsidRPr="002E680D">
        <w:t xml:space="preserve"> possono generare violazione di dati</w:t>
      </w:r>
      <w:bookmarkEnd w:id="25"/>
    </w:p>
    <w:p w14:paraId="78DDB01B" w14:textId="77777777" w:rsidR="002E680D" w:rsidRPr="003714B8" w:rsidRDefault="002E680D" w:rsidP="002E680D">
      <w:pPr>
        <w:spacing w:line="320" w:lineRule="exact"/>
        <w:ind w:left="142"/>
        <w:jc w:val="both"/>
        <w:rPr>
          <w:rFonts w:ascii="Calibri" w:hAnsi="Calibri" w:cs="Calibri"/>
          <w:color w:val="000000" w:themeColor="text1"/>
          <w:sz w:val="20"/>
          <w:szCs w:val="20"/>
        </w:rPr>
      </w:pPr>
      <w:r w:rsidRPr="003714B8">
        <w:rPr>
          <w:rFonts w:ascii="Calibri" w:hAnsi="Calibri" w:cs="Calibri"/>
          <w:color w:val="000000" w:themeColor="text1"/>
          <w:sz w:val="20"/>
          <w:szCs w:val="20"/>
        </w:rPr>
        <w:t xml:space="preserve">Al fine di facilitare l'individuazione di una possibile violazione, vengono di seguito indicati, in maniera esemplificativa e non esaustiva, una serie di possibili eventi che potenzialmente possono generare violazioni dei dati personali. </w:t>
      </w:r>
    </w:p>
    <w:p w14:paraId="5185862B" w14:textId="1F876E77" w:rsidR="004930C1" w:rsidRPr="003714B8" w:rsidRDefault="002E680D" w:rsidP="002E680D">
      <w:pPr>
        <w:spacing w:line="320" w:lineRule="exact"/>
        <w:ind w:left="142"/>
        <w:jc w:val="both"/>
        <w:rPr>
          <w:rFonts w:ascii="Calibri" w:hAnsi="Calibri" w:cs="Calibri"/>
          <w:color w:val="000000" w:themeColor="text1"/>
          <w:sz w:val="20"/>
          <w:szCs w:val="20"/>
        </w:rPr>
      </w:pPr>
      <w:r w:rsidRPr="003714B8">
        <w:rPr>
          <w:rFonts w:ascii="Calibri" w:hAnsi="Calibri" w:cs="Calibri"/>
          <w:color w:val="000000" w:themeColor="text1"/>
          <w:sz w:val="20"/>
          <w:szCs w:val="20"/>
        </w:rPr>
        <w:t>Pertanto</w:t>
      </w:r>
      <w:r w:rsidR="00F93087">
        <w:rPr>
          <w:rFonts w:ascii="Calibri" w:hAnsi="Calibri" w:cs="Calibri"/>
          <w:color w:val="000000" w:themeColor="text1"/>
          <w:sz w:val="20"/>
          <w:szCs w:val="20"/>
        </w:rPr>
        <w:t>,</w:t>
      </w:r>
      <w:r w:rsidRPr="003714B8">
        <w:rPr>
          <w:rFonts w:ascii="Calibri" w:hAnsi="Calibri" w:cs="Calibri"/>
          <w:color w:val="000000" w:themeColor="text1"/>
          <w:sz w:val="20"/>
          <w:szCs w:val="20"/>
        </w:rPr>
        <w:t xml:space="preserve"> si può essere in presenza di un data breach anche nel caso di un evento non compreso nell'elenco di seguito riportato. Di contro, il verificarsi di uno degli eventi che seguono non costituisce condizione sufficiente per stabilire l’effettivo data breach. Il titolare deve infatti procedere sempre alle opportune valutazioni.</w:t>
      </w:r>
    </w:p>
    <w:p w14:paraId="299C6366" w14:textId="77777777" w:rsidR="005B0B0F" w:rsidRPr="003714B8" w:rsidRDefault="005B0B0F" w:rsidP="002E680D">
      <w:pPr>
        <w:spacing w:line="320" w:lineRule="exact"/>
        <w:ind w:left="142"/>
        <w:jc w:val="both"/>
        <w:rPr>
          <w:rFonts w:ascii="Calibri" w:hAnsi="Calibri" w:cs="Calibri"/>
          <w:color w:val="000000" w:themeColor="text1"/>
          <w:sz w:val="20"/>
          <w:szCs w:val="20"/>
        </w:rPr>
      </w:pPr>
    </w:p>
    <w:p w14:paraId="0FC48870" w14:textId="4C5A0928" w:rsidR="009C50B1" w:rsidRDefault="009C50B1" w:rsidP="005B0B0F">
      <w:pPr>
        <w:pStyle w:val="Nessunaspaziatura"/>
        <w:rPr>
          <w:rFonts w:asciiTheme="minorHAnsi" w:hAnsiTheme="minorHAnsi" w:cstheme="minorHAnsi"/>
          <w:b/>
          <w:bCs/>
          <w:sz w:val="20"/>
          <w:szCs w:val="20"/>
        </w:rPr>
      </w:pPr>
      <w:bookmarkStart w:id="26" w:name="_Toc110495765"/>
      <w:bookmarkStart w:id="27" w:name="_Toc110497423"/>
      <w:r w:rsidRPr="003714B8">
        <w:rPr>
          <w:rFonts w:asciiTheme="minorHAnsi" w:hAnsiTheme="minorHAnsi" w:cstheme="minorHAnsi"/>
          <w:b/>
          <w:bCs/>
          <w:sz w:val="20"/>
          <w:szCs w:val="20"/>
        </w:rPr>
        <w:t>Eventi riguardanti trattamenti elettronici:</w:t>
      </w:r>
      <w:bookmarkEnd w:id="26"/>
      <w:bookmarkEnd w:id="27"/>
    </w:p>
    <w:p w14:paraId="351E217E" w14:textId="77777777" w:rsidR="00A330C6" w:rsidRPr="003714B8" w:rsidRDefault="00A330C6" w:rsidP="005B0B0F">
      <w:pPr>
        <w:pStyle w:val="Nessunaspaziatura"/>
        <w:rPr>
          <w:rFonts w:asciiTheme="minorHAnsi" w:hAnsiTheme="minorHAnsi" w:cstheme="minorHAnsi"/>
          <w:b/>
          <w:bCs/>
          <w:sz w:val="20"/>
          <w:szCs w:val="20"/>
        </w:rPr>
      </w:pPr>
    </w:p>
    <w:p w14:paraId="01B2F374" w14:textId="3C2A7F73" w:rsidR="009C50B1" w:rsidRPr="003714B8" w:rsidRDefault="009C50B1" w:rsidP="009C50B1">
      <w:pPr>
        <w:pStyle w:val="Nessunaspaziatura"/>
        <w:numPr>
          <w:ilvl w:val="0"/>
          <w:numId w:val="10"/>
        </w:numPr>
        <w:spacing w:line="276" w:lineRule="auto"/>
        <w:jc w:val="both"/>
        <w:rPr>
          <w:rFonts w:ascii="Calibri" w:eastAsia="Times New Roman" w:hAnsi="Calibri" w:cs="Times New Roman"/>
          <w:sz w:val="20"/>
          <w:szCs w:val="20"/>
        </w:rPr>
      </w:pPr>
      <w:r w:rsidRPr="003714B8">
        <w:rPr>
          <w:rFonts w:ascii="Calibri" w:eastAsia="Times New Roman" w:hAnsi="Calibri" w:cs="Times New Roman"/>
          <w:b/>
          <w:bCs/>
          <w:sz w:val="20"/>
          <w:szCs w:val="20"/>
          <w:u w:val="single"/>
        </w:rPr>
        <w:t>Eventi accidentali</w:t>
      </w:r>
      <w:r w:rsidRPr="003714B8">
        <w:rPr>
          <w:rFonts w:ascii="Calibri" w:eastAsia="Times New Roman" w:hAnsi="Calibri" w:cs="Times New Roman"/>
          <w:sz w:val="20"/>
          <w:szCs w:val="20"/>
        </w:rPr>
        <w:t xml:space="preserve">: </w:t>
      </w:r>
      <w:r w:rsidR="00A330C6">
        <w:rPr>
          <w:rFonts w:ascii="Calibri" w:eastAsia="Times New Roman" w:hAnsi="Calibri" w:cs="Times New Roman"/>
          <w:sz w:val="20"/>
          <w:szCs w:val="20"/>
        </w:rPr>
        <w:t>e</w:t>
      </w:r>
      <w:r w:rsidRPr="003714B8">
        <w:rPr>
          <w:rFonts w:ascii="Calibri" w:eastAsia="Times New Roman" w:hAnsi="Calibri" w:cs="Times New Roman"/>
          <w:sz w:val="20"/>
          <w:szCs w:val="20"/>
        </w:rPr>
        <w:t>venti anomali determinati da fatti fortuiti che causano la perdita delle caratteristiche di sicurezza dei dati personali dei clienti (confidenzialità, integrità o disponibilità) in caso di trattamenti informatizzati. Rientrano in tali casistiche eventi generati nella gestione dei sistemi ICT (gestiti internamente oppure in outsourcing) quali:</w:t>
      </w:r>
    </w:p>
    <w:p w14:paraId="4932568C" w14:textId="3DE312FC" w:rsidR="009C50B1" w:rsidRPr="003714B8" w:rsidRDefault="009C50B1" w:rsidP="009C50B1">
      <w:pPr>
        <w:pStyle w:val="Nessunaspaziatura"/>
        <w:numPr>
          <w:ilvl w:val="0"/>
          <w:numId w:val="11"/>
        </w:numPr>
        <w:spacing w:line="276" w:lineRule="auto"/>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Esecuzione erronea di comandi e/o procedure per distrazione</w:t>
      </w:r>
      <w:r w:rsidRPr="003714B8">
        <w:rPr>
          <w:rFonts w:ascii="Calibri" w:eastAsia="Times New Roman" w:hAnsi="Calibri" w:cs="Times New Roman"/>
          <w:sz w:val="20"/>
          <w:szCs w:val="20"/>
        </w:rPr>
        <w:t>: ad esempio, pubblicazione erronea delle informazioni personali (non di dominio pubblico) su portali web; erroneo invio di informazioni a soggetti esterni all</w:t>
      </w:r>
      <w:r w:rsidR="00F93087">
        <w:rPr>
          <w:rFonts w:ascii="Calibri" w:eastAsia="Times New Roman" w:hAnsi="Calibri" w:cs="Times New Roman"/>
          <w:sz w:val="20"/>
          <w:szCs w:val="20"/>
        </w:rPr>
        <w:t>’Ente</w:t>
      </w:r>
      <w:r w:rsidRPr="003714B8">
        <w:rPr>
          <w:rFonts w:ascii="Calibri" w:eastAsia="Times New Roman" w:hAnsi="Calibri" w:cs="Times New Roman"/>
          <w:sz w:val="20"/>
          <w:szCs w:val="20"/>
        </w:rPr>
        <w:t>; formattazione di dispositivi di memorizzazione; errori nell'implementazione di una policy di controllo e verifica periodica delle abilitazioni degli accessi; divulgazione accidentale di credenziali di accesso a colleghi o personale non autorizzato ecc.</w:t>
      </w:r>
    </w:p>
    <w:p w14:paraId="2B2F158D" w14:textId="77777777" w:rsidR="009C50B1" w:rsidRPr="003714B8" w:rsidRDefault="009C50B1" w:rsidP="009C50B1">
      <w:pPr>
        <w:pStyle w:val="Nessunaspaziatura"/>
        <w:numPr>
          <w:ilvl w:val="0"/>
          <w:numId w:val="11"/>
        </w:numPr>
        <w:spacing w:line="276" w:lineRule="auto"/>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Rottura delle componenti Hardware</w:t>
      </w:r>
      <w:r w:rsidRPr="003714B8">
        <w:rPr>
          <w:rFonts w:ascii="Calibri" w:eastAsia="Times New Roman" w:hAnsi="Calibri" w:cs="Times New Roman"/>
          <w:sz w:val="20"/>
          <w:szCs w:val="20"/>
        </w:rPr>
        <w:t>: a titolo di esempio, distruzione dei supporti di memorizzazione a causa di sbalzi di temperatura e di elettricità, umidità, corto circuito, caduta accidentale, eventi catastrofici/incendi, ecc.</w:t>
      </w:r>
    </w:p>
    <w:p w14:paraId="485A80CA" w14:textId="77777777" w:rsidR="009C50B1" w:rsidRPr="003714B8" w:rsidRDefault="009C50B1" w:rsidP="009C50B1">
      <w:pPr>
        <w:pStyle w:val="Nessunaspaziatura"/>
        <w:numPr>
          <w:ilvl w:val="0"/>
          <w:numId w:val="11"/>
        </w:numPr>
        <w:spacing w:line="276" w:lineRule="auto"/>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lastRenderedPageBreak/>
        <w:t>Malfunzionamenti Software</w:t>
      </w:r>
      <w:r w:rsidRPr="003714B8">
        <w:rPr>
          <w:rFonts w:ascii="Calibri" w:eastAsia="Times New Roman" w:hAnsi="Calibri" w:cs="Times New Roman"/>
          <w:sz w:val="20"/>
          <w:szCs w:val="20"/>
        </w:rPr>
        <w:t>: ad esempio, esecuzione di uno script automatico non autorizzato; errori di programmazione che causano output errati, ecc.</w:t>
      </w:r>
    </w:p>
    <w:p w14:paraId="530B928F" w14:textId="4E96A735" w:rsidR="009C50B1" w:rsidRPr="003714B8" w:rsidRDefault="009C50B1" w:rsidP="009C50B1">
      <w:pPr>
        <w:pStyle w:val="Nessunaspaziatura"/>
        <w:numPr>
          <w:ilvl w:val="0"/>
          <w:numId w:val="11"/>
        </w:numPr>
        <w:spacing w:line="276" w:lineRule="auto"/>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Visibilità errata di dati sul sito web dell</w:t>
      </w:r>
      <w:r w:rsidR="00F93087">
        <w:rPr>
          <w:rFonts w:ascii="Calibri" w:eastAsia="Times New Roman" w:hAnsi="Calibri" w:cs="Times New Roman"/>
          <w:sz w:val="20"/>
          <w:szCs w:val="20"/>
          <w:u w:val="single"/>
        </w:rPr>
        <w:t>’Ente</w:t>
      </w:r>
      <w:r w:rsidRPr="003714B8">
        <w:rPr>
          <w:rFonts w:ascii="Calibri" w:eastAsia="Times New Roman" w:hAnsi="Calibri" w:cs="Times New Roman"/>
          <w:sz w:val="20"/>
          <w:szCs w:val="20"/>
        </w:rPr>
        <w:t>: ad esempio, visibilità di dati di altri utenti anche per casi di omonimia.</w:t>
      </w:r>
    </w:p>
    <w:p w14:paraId="7E02553B" w14:textId="77777777" w:rsidR="009C50B1" w:rsidRPr="003714B8" w:rsidRDefault="009C50B1" w:rsidP="009C50B1">
      <w:pPr>
        <w:pStyle w:val="Nessunaspaziatura"/>
        <w:numPr>
          <w:ilvl w:val="0"/>
          <w:numId w:val="11"/>
        </w:numPr>
        <w:spacing w:line="276" w:lineRule="auto"/>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Fornitura dati a persona diversa dall’interessato</w:t>
      </w:r>
      <w:r w:rsidRPr="003714B8">
        <w:rPr>
          <w:rFonts w:ascii="Calibri" w:eastAsia="Times New Roman" w:hAnsi="Calibri" w:cs="Times New Roman"/>
          <w:sz w:val="20"/>
          <w:szCs w:val="20"/>
        </w:rPr>
        <w:t>: a titolo di esempio, comunicazioni di dati di interessati a destinatari errati; gestione di informazioni avanzate da persone diverse dal Titolare o suo delegato;</w:t>
      </w:r>
    </w:p>
    <w:p w14:paraId="3A8CBE1B" w14:textId="77777777" w:rsidR="009C50B1" w:rsidRPr="003714B8" w:rsidRDefault="009C50B1" w:rsidP="009C50B1">
      <w:pPr>
        <w:pStyle w:val="Nessunaspaziatura"/>
        <w:numPr>
          <w:ilvl w:val="0"/>
          <w:numId w:val="11"/>
        </w:numPr>
        <w:spacing w:line="276" w:lineRule="auto"/>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Guasti alla rete</w:t>
      </w:r>
      <w:r w:rsidRPr="003714B8">
        <w:rPr>
          <w:rFonts w:ascii="Calibri" w:eastAsia="Times New Roman" w:hAnsi="Calibri" w:cs="Times New Roman"/>
          <w:sz w:val="20"/>
          <w:szCs w:val="20"/>
        </w:rPr>
        <w:t>: a titolo di esempio, caduta delle comunicazioni durante il trasferimento di dati e perdita di dati durante la trasmissione, ecc.</w:t>
      </w:r>
    </w:p>
    <w:p w14:paraId="4465ED72" w14:textId="77777777" w:rsidR="009C50B1" w:rsidRPr="003714B8" w:rsidRDefault="009C50B1" w:rsidP="009C50B1">
      <w:pPr>
        <w:pStyle w:val="Nessunaspaziatura"/>
        <w:spacing w:line="276" w:lineRule="auto"/>
        <w:ind w:left="720"/>
        <w:jc w:val="both"/>
        <w:rPr>
          <w:rFonts w:ascii="Calibri" w:eastAsia="Times New Roman" w:hAnsi="Calibri" w:cs="Times New Roman"/>
          <w:sz w:val="20"/>
          <w:szCs w:val="20"/>
        </w:rPr>
      </w:pPr>
    </w:p>
    <w:p w14:paraId="15530DE0" w14:textId="465B6BDD" w:rsidR="009C50B1" w:rsidRPr="003714B8" w:rsidRDefault="009C50B1" w:rsidP="009C50B1">
      <w:pPr>
        <w:spacing w:line="276" w:lineRule="auto"/>
        <w:ind w:left="360" w:firstLine="36"/>
        <w:jc w:val="both"/>
        <w:rPr>
          <w:rFonts w:ascii="Calibri" w:hAnsi="Calibri"/>
          <w:sz w:val="20"/>
          <w:szCs w:val="20"/>
        </w:rPr>
      </w:pPr>
      <w:r w:rsidRPr="003714B8">
        <w:rPr>
          <w:rFonts w:ascii="Calibri" w:hAnsi="Calibri"/>
          <w:sz w:val="20"/>
          <w:szCs w:val="20"/>
        </w:rPr>
        <w:t xml:space="preserve">b) </w:t>
      </w:r>
      <w:r w:rsidRPr="003714B8">
        <w:rPr>
          <w:rFonts w:ascii="Calibri" w:hAnsi="Calibri"/>
          <w:b/>
          <w:bCs/>
          <w:sz w:val="20"/>
          <w:szCs w:val="20"/>
          <w:u w:val="single"/>
        </w:rPr>
        <w:t>Eventi dolosi</w:t>
      </w:r>
      <w:r w:rsidRPr="003714B8">
        <w:rPr>
          <w:rFonts w:ascii="Calibri" w:hAnsi="Calibri"/>
          <w:sz w:val="20"/>
          <w:szCs w:val="20"/>
        </w:rPr>
        <w:t>: eventi dolosi causati da personale interno o soggetti esterni realizzati tramite</w:t>
      </w:r>
      <w:r w:rsidR="00987A20">
        <w:rPr>
          <w:rFonts w:ascii="Calibri" w:hAnsi="Calibri"/>
          <w:sz w:val="20"/>
          <w:szCs w:val="20"/>
        </w:rPr>
        <w:t>:</w:t>
      </w:r>
      <w:r w:rsidRPr="003714B8">
        <w:rPr>
          <w:rFonts w:ascii="Calibri" w:hAnsi="Calibri"/>
          <w:sz w:val="20"/>
          <w:szCs w:val="20"/>
        </w:rPr>
        <w:t xml:space="preserve"> accesso non autorizzato ai dati con lo sfruttamento di vulnerabilità dei sistemi interni e delle reti di comunicazione; compromissione o rivelazione abusiva di credenziali di autenticazione; utilizzo di software malevolo. In tale casistica rientrano gli incidenti di sicurezza ICT che comportano la violazione dei dati personali quali:</w:t>
      </w:r>
    </w:p>
    <w:p w14:paraId="2E480D96" w14:textId="77777777" w:rsidR="009C50B1" w:rsidRPr="003714B8" w:rsidRDefault="009C50B1" w:rsidP="009C50B1">
      <w:pPr>
        <w:pStyle w:val="Nessunaspaziatura"/>
        <w:numPr>
          <w:ilvl w:val="0"/>
          <w:numId w:val="12"/>
        </w:numPr>
        <w:spacing w:line="276" w:lineRule="auto"/>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Furto</w:t>
      </w:r>
      <w:r w:rsidRPr="003714B8">
        <w:rPr>
          <w:rFonts w:ascii="Calibri" w:eastAsia="Times New Roman" w:hAnsi="Calibri" w:cs="Times New Roman"/>
          <w:sz w:val="20"/>
          <w:szCs w:val="20"/>
        </w:rPr>
        <w:t>: furto di supporti di memorizzazione e/o elaborazione contenenti dati personali dei clienti;</w:t>
      </w:r>
    </w:p>
    <w:p w14:paraId="1D3E0AB6" w14:textId="6E6EA278" w:rsidR="009C50B1" w:rsidRPr="003714B8" w:rsidRDefault="009C50B1" w:rsidP="009C50B1">
      <w:pPr>
        <w:pStyle w:val="Nessunaspaziatura"/>
        <w:numPr>
          <w:ilvl w:val="0"/>
          <w:numId w:val="12"/>
        </w:numPr>
        <w:spacing w:line="276" w:lineRule="auto"/>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Frode informatica esterna</w:t>
      </w:r>
      <w:r w:rsidRPr="003714B8">
        <w:rPr>
          <w:rFonts w:ascii="Calibri" w:eastAsia="Times New Roman" w:hAnsi="Calibri" w:cs="Times New Roman"/>
          <w:sz w:val="20"/>
          <w:szCs w:val="20"/>
        </w:rPr>
        <w:t>: tutti i casi di frodi realizzate da un soggetto esterno all</w:t>
      </w:r>
      <w:r w:rsidR="006D68B3">
        <w:rPr>
          <w:rFonts w:ascii="Calibri" w:eastAsia="Times New Roman" w:hAnsi="Calibri" w:cs="Times New Roman"/>
          <w:sz w:val="20"/>
          <w:szCs w:val="20"/>
        </w:rPr>
        <w:t>’Ente</w:t>
      </w:r>
      <w:r w:rsidRPr="003714B8">
        <w:rPr>
          <w:rFonts w:ascii="Calibri" w:eastAsia="Times New Roman" w:hAnsi="Calibri" w:cs="Times New Roman"/>
          <w:sz w:val="20"/>
          <w:szCs w:val="20"/>
        </w:rPr>
        <w:t xml:space="preserve"> rivolto a procurare a sé o ad altri un profitto o, comunque, un vantaggio in termini economici, pubblicitari, ideologici/politici, qualora tali frodi causino perdita delle caratteristiche di sicurezza dei dati personali dei soggetti interessati (confidenzialità, integrità o disponibilità) trattati dall</w:t>
      </w:r>
      <w:r w:rsidR="007C3CE3">
        <w:rPr>
          <w:rFonts w:ascii="Calibri" w:eastAsia="Times New Roman" w:hAnsi="Calibri" w:cs="Times New Roman"/>
          <w:sz w:val="20"/>
          <w:szCs w:val="20"/>
        </w:rPr>
        <w:t>’Ente</w:t>
      </w:r>
      <w:r w:rsidRPr="003714B8">
        <w:rPr>
          <w:rFonts w:ascii="Calibri" w:eastAsia="Times New Roman" w:hAnsi="Calibri" w:cs="Times New Roman"/>
          <w:sz w:val="20"/>
          <w:szCs w:val="20"/>
        </w:rPr>
        <w:t xml:space="preserve"> o da suoi fornitori. Ad esempio: accesso non autorizzato ed illecito alle basi dati dei sistemi contenenti i dati dei soggetti interessati tramite sfruttamento di vulnerabilità dei sistemi;</w:t>
      </w:r>
    </w:p>
    <w:p w14:paraId="702DAC13" w14:textId="01F41591" w:rsidR="009C50B1" w:rsidRPr="003714B8" w:rsidRDefault="009C50B1" w:rsidP="009C50B1">
      <w:pPr>
        <w:pStyle w:val="Nessunaspaziatura"/>
        <w:numPr>
          <w:ilvl w:val="0"/>
          <w:numId w:val="12"/>
        </w:numPr>
        <w:spacing w:line="276" w:lineRule="auto"/>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appropriazione dei dati di carta di credito</w:t>
      </w:r>
      <w:r w:rsidRPr="003714B8">
        <w:rPr>
          <w:rFonts w:ascii="Calibri" w:eastAsia="Times New Roman" w:hAnsi="Calibri" w:cs="Times New Roman"/>
          <w:sz w:val="20"/>
          <w:szCs w:val="20"/>
        </w:rPr>
        <w:t xml:space="preserve">; </w:t>
      </w:r>
      <w:r w:rsidRPr="003714B8">
        <w:rPr>
          <w:rFonts w:ascii="Calibri" w:eastAsia="Times New Roman" w:hAnsi="Calibri" w:cs="Times New Roman"/>
          <w:sz w:val="20"/>
          <w:szCs w:val="20"/>
          <w:u w:val="single"/>
        </w:rPr>
        <w:t>appropriazione (e diffusione) delle credenziali di autenticazione ai servizi de</w:t>
      </w:r>
      <w:r w:rsidR="007C3CE3">
        <w:rPr>
          <w:rFonts w:ascii="Calibri" w:eastAsia="Times New Roman" w:hAnsi="Calibri" w:cs="Times New Roman"/>
          <w:sz w:val="20"/>
          <w:szCs w:val="20"/>
          <w:u w:val="single"/>
        </w:rPr>
        <w:t>i cittadini</w:t>
      </w:r>
      <w:r w:rsidRPr="003714B8">
        <w:rPr>
          <w:rFonts w:ascii="Calibri" w:eastAsia="Times New Roman" w:hAnsi="Calibri" w:cs="Times New Roman"/>
          <w:sz w:val="20"/>
          <w:szCs w:val="20"/>
        </w:rPr>
        <w:t>.</w:t>
      </w:r>
    </w:p>
    <w:p w14:paraId="232F4B71" w14:textId="71015F5E" w:rsidR="009C50B1" w:rsidRPr="003714B8" w:rsidRDefault="009C50B1" w:rsidP="009C50B1">
      <w:pPr>
        <w:pStyle w:val="Nessunaspaziatura"/>
        <w:numPr>
          <w:ilvl w:val="0"/>
          <w:numId w:val="12"/>
        </w:numPr>
        <w:spacing w:line="276" w:lineRule="auto"/>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Frode informatica interna</w:t>
      </w:r>
      <w:r w:rsidRPr="003714B8">
        <w:rPr>
          <w:rFonts w:ascii="Calibri" w:eastAsia="Times New Roman" w:hAnsi="Calibri" w:cs="Times New Roman"/>
          <w:sz w:val="20"/>
          <w:szCs w:val="20"/>
        </w:rPr>
        <w:t>: tutti i casi di frodi realizzate da personale interno all</w:t>
      </w:r>
      <w:r w:rsidR="007C3CE3">
        <w:rPr>
          <w:rFonts w:ascii="Calibri" w:eastAsia="Times New Roman" w:hAnsi="Calibri" w:cs="Times New Roman"/>
          <w:sz w:val="20"/>
          <w:szCs w:val="20"/>
        </w:rPr>
        <w:t xml:space="preserve">’Ente </w:t>
      </w:r>
      <w:r w:rsidRPr="003714B8">
        <w:rPr>
          <w:rFonts w:ascii="Calibri" w:eastAsia="Times New Roman" w:hAnsi="Calibri" w:cs="Times New Roman"/>
          <w:sz w:val="20"/>
          <w:szCs w:val="20"/>
        </w:rPr>
        <w:t>che comportano la violazione dei dati personali. Tali eventi possono derivare dall'utilizzo illecito e/o illegittimo delle informazioni da parte di un soggetto autorizzato al trattamento.</w:t>
      </w:r>
    </w:p>
    <w:p w14:paraId="3C0C272C" w14:textId="77777777" w:rsidR="009C50B1" w:rsidRPr="003714B8" w:rsidRDefault="009C50B1" w:rsidP="009C50B1">
      <w:pPr>
        <w:pStyle w:val="Intestazione20"/>
        <w:keepNext/>
        <w:keepLines/>
        <w:shd w:val="clear" w:color="auto" w:fill="auto"/>
        <w:tabs>
          <w:tab w:val="left" w:pos="643"/>
        </w:tabs>
        <w:spacing w:before="0" w:after="0" w:line="276" w:lineRule="auto"/>
        <w:ind w:firstLine="0"/>
        <w:rPr>
          <w:rFonts w:ascii="Calibri" w:hAnsi="Calibri"/>
        </w:rPr>
      </w:pPr>
      <w:bookmarkStart w:id="28" w:name="_Toc110495766"/>
      <w:bookmarkStart w:id="29" w:name="_Toc110497424"/>
    </w:p>
    <w:p w14:paraId="5C82B1EB" w14:textId="7F2B5295" w:rsidR="009C50B1" w:rsidRPr="003714B8" w:rsidRDefault="009C50B1" w:rsidP="005B0B0F">
      <w:pPr>
        <w:pStyle w:val="Nessunaspaziatura"/>
        <w:rPr>
          <w:rFonts w:asciiTheme="minorHAnsi" w:hAnsiTheme="minorHAnsi" w:cstheme="minorHAnsi"/>
          <w:b/>
          <w:bCs/>
          <w:sz w:val="20"/>
          <w:szCs w:val="20"/>
        </w:rPr>
      </w:pPr>
      <w:r w:rsidRPr="003714B8">
        <w:rPr>
          <w:rFonts w:asciiTheme="minorHAnsi" w:hAnsiTheme="minorHAnsi" w:cstheme="minorHAnsi"/>
          <w:b/>
          <w:bCs/>
          <w:sz w:val="20"/>
          <w:szCs w:val="20"/>
        </w:rPr>
        <w:t>Eventi riguardanti trattamenti cartacei</w:t>
      </w:r>
      <w:bookmarkEnd w:id="28"/>
      <w:bookmarkEnd w:id="29"/>
    </w:p>
    <w:p w14:paraId="1CF066C1" w14:textId="204F75D8" w:rsidR="009C50B1" w:rsidRPr="003714B8" w:rsidRDefault="009C50B1" w:rsidP="009C50B1">
      <w:pPr>
        <w:widowControl w:val="0"/>
        <w:numPr>
          <w:ilvl w:val="0"/>
          <w:numId w:val="13"/>
        </w:numPr>
        <w:tabs>
          <w:tab w:val="left" w:pos="310"/>
        </w:tabs>
        <w:suppressAutoHyphens w:val="0"/>
        <w:autoSpaceDN w:val="0"/>
        <w:spacing w:line="276" w:lineRule="auto"/>
        <w:ind w:left="310" w:firstLine="35"/>
        <w:jc w:val="both"/>
        <w:rPr>
          <w:rFonts w:ascii="Calibri" w:hAnsi="Calibri"/>
          <w:sz w:val="20"/>
          <w:szCs w:val="20"/>
        </w:rPr>
      </w:pPr>
      <w:r w:rsidRPr="003714B8">
        <w:rPr>
          <w:rFonts w:ascii="Calibri" w:hAnsi="Calibri"/>
          <w:b/>
          <w:bCs/>
          <w:sz w:val="20"/>
          <w:szCs w:val="20"/>
          <w:u w:val="single"/>
        </w:rPr>
        <w:t>Eventi accidentali</w:t>
      </w:r>
      <w:r w:rsidRPr="003714B8">
        <w:rPr>
          <w:rFonts w:ascii="Calibri" w:hAnsi="Calibri"/>
          <w:sz w:val="20"/>
          <w:szCs w:val="20"/>
        </w:rPr>
        <w:t>: Eventi anomali causati nell’ambito dei trattamenti non automatizzati effettuati su archivi cartacei dei dati personali de</w:t>
      </w:r>
      <w:r w:rsidR="007C3CE3">
        <w:rPr>
          <w:rFonts w:ascii="Calibri" w:hAnsi="Calibri"/>
          <w:sz w:val="20"/>
          <w:szCs w:val="20"/>
        </w:rPr>
        <w:t xml:space="preserve">gli interessati </w:t>
      </w:r>
      <w:r w:rsidRPr="003714B8">
        <w:rPr>
          <w:rFonts w:ascii="Calibri" w:hAnsi="Calibri"/>
          <w:sz w:val="20"/>
          <w:szCs w:val="20"/>
        </w:rPr>
        <w:t>quali:</w:t>
      </w:r>
    </w:p>
    <w:p w14:paraId="4DA2C08C" w14:textId="18582AFB" w:rsidR="009C50B1" w:rsidRPr="003714B8" w:rsidRDefault="009C50B1" w:rsidP="009C50B1">
      <w:pPr>
        <w:pStyle w:val="Nessunaspaziatura"/>
        <w:numPr>
          <w:ilvl w:val="0"/>
          <w:numId w:val="14"/>
        </w:numPr>
        <w:spacing w:line="276" w:lineRule="auto"/>
        <w:ind w:left="1030"/>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Distruzione accidentale di documenti</w:t>
      </w:r>
      <w:r w:rsidRPr="003714B8">
        <w:rPr>
          <w:rFonts w:ascii="Calibri" w:eastAsia="Times New Roman" w:hAnsi="Calibri" w:cs="Times New Roman"/>
          <w:sz w:val="20"/>
          <w:szCs w:val="20"/>
        </w:rPr>
        <w:t>: ad esempio, incendio/ allagamento dei locali dove sono presenti archivi cartacei, causati da eventi fortuiti e non dolosi presso l</w:t>
      </w:r>
      <w:r w:rsidR="007C3CE3">
        <w:rPr>
          <w:rFonts w:ascii="Calibri" w:eastAsia="Times New Roman" w:hAnsi="Calibri" w:cs="Times New Roman"/>
          <w:sz w:val="20"/>
          <w:szCs w:val="20"/>
        </w:rPr>
        <w:t>a sede o le</w:t>
      </w:r>
      <w:r w:rsidRPr="003714B8">
        <w:rPr>
          <w:rFonts w:ascii="Calibri" w:eastAsia="Times New Roman" w:hAnsi="Calibri" w:cs="Times New Roman"/>
          <w:sz w:val="20"/>
          <w:szCs w:val="20"/>
        </w:rPr>
        <w:t xml:space="preserve"> sedi dell</w:t>
      </w:r>
      <w:r w:rsidR="007C3CE3">
        <w:rPr>
          <w:rFonts w:ascii="Calibri" w:eastAsia="Times New Roman" w:hAnsi="Calibri" w:cs="Times New Roman"/>
          <w:sz w:val="20"/>
          <w:szCs w:val="20"/>
        </w:rPr>
        <w:t>’Ente</w:t>
      </w:r>
      <w:r w:rsidRPr="003714B8">
        <w:rPr>
          <w:rFonts w:ascii="Calibri" w:eastAsia="Times New Roman" w:hAnsi="Calibri" w:cs="Times New Roman"/>
          <w:sz w:val="20"/>
          <w:szCs w:val="20"/>
        </w:rPr>
        <w:t xml:space="preserve"> o degli outsourcers;</w:t>
      </w:r>
    </w:p>
    <w:p w14:paraId="77C18ACE" w14:textId="77777777" w:rsidR="009C50B1" w:rsidRPr="003714B8" w:rsidRDefault="009C50B1" w:rsidP="009C50B1">
      <w:pPr>
        <w:pStyle w:val="Nessunaspaziatura"/>
        <w:numPr>
          <w:ilvl w:val="0"/>
          <w:numId w:val="14"/>
        </w:numPr>
        <w:spacing w:line="276" w:lineRule="auto"/>
        <w:ind w:left="1030"/>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Distruzione per errore di documenti originali, senza eventuale copia</w:t>
      </w:r>
      <w:r w:rsidRPr="003714B8">
        <w:rPr>
          <w:rFonts w:ascii="Calibri" w:eastAsia="Times New Roman" w:hAnsi="Calibri" w:cs="Times New Roman"/>
          <w:sz w:val="20"/>
          <w:szCs w:val="20"/>
        </w:rPr>
        <w:t>, da parte di dipendenti interni, di collaboratori esterni;</w:t>
      </w:r>
    </w:p>
    <w:p w14:paraId="56F6F9C5" w14:textId="77777777" w:rsidR="009C50B1" w:rsidRPr="003714B8" w:rsidRDefault="009C50B1" w:rsidP="009C50B1">
      <w:pPr>
        <w:pStyle w:val="Nessunaspaziatura"/>
        <w:numPr>
          <w:ilvl w:val="0"/>
          <w:numId w:val="14"/>
        </w:numPr>
        <w:spacing w:line="276" w:lineRule="auto"/>
        <w:ind w:left="1030"/>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Smarrimento di documenti</w:t>
      </w:r>
      <w:r w:rsidRPr="003714B8">
        <w:rPr>
          <w:rFonts w:ascii="Calibri" w:eastAsia="Times New Roman" w:hAnsi="Calibri" w:cs="Times New Roman"/>
          <w:sz w:val="20"/>
          <w:szCs w:val="20"/>
        </w:rPr>
        <w:t>: ad esempio, perdita di documenti contenenti dati dei clienti, degli outsourcers (es. archiviazione contratti).</w:t>
      </w:r>
    </w:p>
    <w:p w14:paraId="5BD8DAFF" w14:textId="77777777" w:rsidR="009C50B1" w:rsidRPr="003714B8" w:rsidRDefault="009C50B1" w:rsidP="009C50B1">
      <w:pPr>
        <w:pStyle w:val="Nessunaspaziatura"/>
        <w:numPr>
          <w:ilvl w:val="0"/>
          <w:numId w:val="14"/>
        </w:numPr>
        <w:spacing w:line="276" w:lineRule="auto"/>
        <w:ind w:left="1030"/>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Fornitura involontaria di dati a persona diversa dal contraente</w:t>
      </w:r>
      <w:r w:rsidRPr="003714B8">
        <w:rPr>
          <w:rFonts w:ascii="Calibri" w:eastAsia="Times New Roman" w:hAnsi="Calibri" w:cs="Times New Roman"/>
          <w:sz w:val="20"/>
          <w:szCs w:val="20"/>
        </w:rPr>
        <w:t>: ad esempio, gestione ed evasione reclami/richieste di informazioni avanzate da persone diverse dal titolare della linea non delegato, comunicazione di dati dal subentrato al subentrante e viceversa, invio/visualizzazione di fatture a soggetti diversi dagli autorizzati.</w:t>
      </w:r>
    </w:p>
    <w:p w14:paraId="29566013" w14:textId="77777777" w:rsidR="009C50B1" w:rsidRPr="003714B8" w:rsidRDefault="009C50B1" w:rsidP="009C50B1">
      <w:pPr>
        <w:pStyle w:val="Nessunaspaziatura"/>
        <w:spacing w:line="276" w:lineRule="auto"/>
        <w:ind w:left="1030"/>
        <w:jc w:val="both"/>
        <w:rPr>
          <w:rFonts w:ascii="Calibri" w:eastAsia="Times New Roman" w:hAnsi="Calibri" w:cs="Times New Roman"/>
          <w:sz w:val="20"/>
          <w:szCs w:val="20"/>
        </w:rPr>
      </w:pPr>
    </w:p>
    <w:p w14:paraId="71B080E8" w14:textId="604C7931" w:rsidR="009C50B1" w:rsidRPr="003714B8" w:rsidRDefault="009C50B1" w:rsidP="009C50B1">
      <w:pPr>
        <w:widowControl w:val="0"/>
        <w:numPr>
          <w:ilvl w:val="0"/>
          <w:numId w:val="13"/>
        </w:numPr>
        <w:tabs>
          <w:tab w:val="left" w:pos="334"/>
        </w:tabs>
        <w:suppressAutoHyphens w:val="0"/>
        <w:autoSpaceDN w:val="0"/>
        <w:spacing w:line="276" w:lineRule="auto"/>
        <w:ind w:left="310" w:firstLine="35"/>
        <w:jc w:val="both"/>
        <w:rPr>
          <w:rFonts w:ascii="Calibri" w:hAnsi="Calibri"/>
          <w:sz w:val="20"/>
          <w:szCs w:val="20"/>
        </w:rPr>
      </w:pPr>
      <w:r w:rsidRPr="003714B8">
        <w:rPr>
          <w:rFonts w:ascii="Calibri" w:hAnsi="Calibri"/>
          <w:b/>
          <w:bCs/>
          <w:sz w:val="20"/>
          <w:szCs w:val="20"/>
          <w:u w:val="single"/>
        </w:rPr>
        <w:t>Eventi dolosi</w:t>
      </w:r>
      <w:r w:rsidRPr="003714B8">
        <w:rPr>
          <w:rFonts w:ascii="Calibri" w:hAnsi="Calibri"/>
          <w:sz w:val="20"/>
          <w:szCs w:val="20"/>
        </w:rPr>
        <w:t>: Comportamenti dolosi da parte di personale interno o soggetti esterni realizzati attraverso accessi non autorizzati, nell’ambito di trattamenti effettuati su archivi cartacei di dati personali dell</w:t>
      </w:r>
      <w:r w:rsidR="007C3CE3">
        <w:rPr>
          <w:rFonts w:ascii="Calibri" w:hAnsi="Calibri"/>
          <w:sz w:val="20"/>
          <w:szCs w:val="20"/>
        </w:rPr>
        <w:t>’Ente</w:t>
      </w:r>
      <w:r w:rsidRPr="003714B8">
        <w:rPr>
          <w:rFonts w:ascii="Calibri" w:hAnsi="Calibri"/>
          <w:sz w:val="20"/>
          <w:szCs w:val="20"/>
        </w:rPr>
        <w:t>, quali:</w:t>
      </w:r>
    </w:p>
    <w:p w14:paraId="1B4E337A" w14:textId="3B0C78FD" w:rsidR="009C50B1" w:rsidRPr="003714B8" w:rsidRDefault="009C50B1" w:rsidP="009C50B1">
      <w:pPr>
        <w:pStyle w:val="Nessunaspaziatura"/>
        <w:numPr>
          <w:ilvl w:val="0"/>
          <w:numId w:val="15"/>
        </w:numPr>
        <w:spacing w:line="276" w:lineRule="auto"/>
        <w:ind w:left="1030"/>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Distruzione dolosa dei documenti</w:t>
      </w:r>
      <w:r w:rsidRPr="003714B8">
        <w:rPr>
          <w:rFonts w:ascii="Calibri" w:eastAsia="Times New Roman" w:hAnsi="Calibri" w:cs="Times New Roman"/>
          <w:sz w:val="20"/>
          <w:szCs w:val="20"/>
        </w:rPr>
        <w:t>: ad esempio incendio doloso provocato da personale interno o soggetti esterni che rend</w:t>
      </w:r>
      <w:r w:rsidR="007C3CE3">
        <w:rPr>
          <w:rFonts w:ascii="Calibri" w:eastAsia="Times New Roman" w:hAnsi="Calibri" w:cs="Times New Roman"/>
          <w:sz w:val="20"/>
          <w:szCs w:val="20"/>
        </w:rPr>
        <w:t>a</w:t>
      </w:r>
      <w:r w:rsidRPr="003714B8">
        <w:rPr>
          <w:rFonts w:ascii="Calibri" w:eastAsia="Times New Roman" w:hAnsi="Calibri" w:cs="Times New Roman"/>
          <w:sz w:val="20"/>
          <w:szCs w:val="20"/>
        </w:rPr>
        <w:t xml:space="preserve"> indisponibile in modo definitivo i documenti contenenti dati dell'utenza; accesso non autorizzato da parte di terzi ad archivi interni dell</w:t>
      </w:r>
      <w:r w:rsidR="007C3CE3">
        <w:rPr>
          <w:rFonts w:ascii="Calibri" w:eastAsia="Times New Roman" w:hAnsi="Calibri" w:cs="Times New Roman"/>
          <w:sz w:val="20"/>
          <w:szCs w:val="20"/>
        </w:rPr>
        <w:t>’Ente</w:t>
      </w:r>
      <w:r w:rsidRPr="003714B8">
        <w:rPr>
          <w:rFonts w:ascii="Calibri" w:eastAsia="Times New Roman" w:hAnsi="Calibri" w:cs="Times New Roman"/>
          <w:sz w:val="20"/>
          <w:szCs w:val="20"/>
        </w:rPr>
        <w:t xml:space="preserve"> e distruzione volontaria di documenti contenenti dati de</w:t>
      </w:r>
      <w:r w:rsidR="007C3CE3">
        <w:rPr>
          <w:rFonts w:ascii="Calibri" w:eastAsia="Times New Roman" w:hAnsi="Calibri" w:cs="Times New Roman"/>
          <w:sz w:val="20"/>
          <w:szCs w:val="20"/>
        </w:rPr>
        <w:t>gli interessati</w:t>
      </w:r>
      <w:r w:rsidRPr="003714B8">
        <w:rPr>
          <w:rFonts w:ascii="Calibri" w:eastAsia="Times New Roman" w:hAnsi="Calibri" w:cs="Times New Roman"/>
          <w:sz w:val="20"/>
          <w:szCs w:val="20"/>
        </w:rPr>
        <w:t>.</w:t>
      </w:r>
    </w:p>
    <w:p w14:paraId="22199814" w14:textId="0665F534" w:rsidR="009C50B1" w:rsidRPr="003714B8" w:rsidRDefault="009C50B1" w:rsidP="009C50B1">
      <w:pPr>
        <w:pStyle w:val="Nessunaspaziatura"/>
        <w:numPr>
          <w:ilvl w:val="0"/>
          <w:numId w:val="15"/>
        </w:numPr>
        <w:spacing w:line="276" w:lineRule="auto"/>
        <w:ind w:left="1030"/>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Accesso non autorizzato</w:t>
      </w:r>
      <w:r w:rsidRPr="003714B8">
        <w:rPr>
          <w:rFonts w:ascii="Calibri" w:eastAsia="Times New Roman" w:hAnsi="Calibri" w:cs="Times New Roman"/>
          <w:sz w:val="20"/>
          <w:szCs w:val="20"/>
        </w:rPr>
        <w:t>: ad esempio, accesso non autorizzato da parte di personale interno o soggetti esterni, con lettura e/o copia dei documenti, ad archivi documentali presso l</w:t>
      </w:r>
      <w:r w:rsidR="007C3CE3">
        <w:rPr>
          <w:rFonts w:ascii="Calibri" w:eastAsia="Times New Roman" w:hAnsi="Calibri" w:cs="Times New Roman"/>
          <w:sz w:val="20"/>
          <w:szCs w:val="20"/>
        </w:rPr>
        <w:t>a sede o le sedi</w:t>
      </w:r>
      <w:r w:rsidRPr="003714B8">
        <w:rPr>
          <w:rFonts w:ascii="Calibri" w:eastAsia="Times New Roman" w:hAnsi="Calibri" w:cs="Times New Roman"/>
          <w:sz w:val="20"/>
          <w:szCs w:val="20"/>
        </w:rPr>
        <w:t xml:space="preserve"> dell</w:t>
      </w:r>
      <w:r w:rsidR="007C3CE3">
        <w:rPr>
          <w:rFonts w:ascii="Calibri" w:eastAsia="Times New Roman" w:hAnsi="Calibri" w:cs="Times New Roman"/>
          <w:sz w:val="20"/>
          <w:szCs w:val="20"/>
        </w:rPr>
        <w:t>’Ente</w:t>
      </w:r>
      <w:r w:rsidRPr="003714B8">
        <w:rPr>
          <w:rFonts w:ascii="Calibri" w:eastAsia="Times New Roman" w:hAnsi="Calibri" w:cs="Times New Roman"/>
          <w:sz w:val="20"/>
          <w:szCs w:val="20"/>
        </w:rPr>
        <w:t xml:space="preserve"> o dei </w:t>
      </w:r>
      <w:r w:rsidRPr="003714B8">
        <w:rPr>
          <w:rFonts w:ascii="Calibri" w:eastAsia="Times New Roman" w:hAnsi="Calibri" w:cs="Times New Roman"/>
          <w:sz w:val="20"/>
          <w:szCs w:val="20"/>
        </w:rPr>
        <w:lastRenderedPageBreak/>
        <w:t>collaboratori esterni. Non si verifica violazione se si ha la ragionevole certezza che non vi è stata lettura o copia dei documenti contenenti dati degli interessati.</w:t>
      </w:r>
    </w:p>
    <w:p w14:paraId="4AEBF90D" w14:textId="77777777" w:rsidR="009C50B1" w:rsidRPr="003714B8" w:rsidRDefault="009C50B1" w:rsidP="009C50B1">
      <w:pPr>
        <w:pStyle w:val="Nessunaspaziatura"/>
        <w:numPr>
          <w:ilvl w:val="0"/>
          <w:numId w:val="15"/>
        </w:numPr>
        <w:spacing w:line="276" w:lineRule="auto"/>
        <w:ind w:left="1030"/>
        <w:jc w:val="both"/>
        <w:rPr>
          <w:rFonts w:ascii="Calibri" w:eastAsia="Times New Roman" w:hAnsi="Calibri" w:cs="Times New Roman"/>
          <w:sz w:val="20"/>
          <w:szCs w:val="20"/>
        </w:rPr>
      </w:pPr>
      <w:r w:rsidRPr="003714B8">
        <w:rPr>
          <w:rFonts w:ascii="Calibri" w:eastAsia="Times New Roman" w:hAnsi="Calibri" w:cs="Times New Roman"/>
          <w:sz w:val="20"/>
          <w:szCs w:val="20"/>
          <w:u w:val="single"/>
        </w:rPr>
        <w:t>Furto (cartacei)</w:t>
      </w:r>
      <w:r w:rsidRPr="003714B8">
        <w:rPr>
          <w:rFonts w:ascii="Calibri" w:eastAsia="Times New Roman" w:hAnsi="Calibri" w:cs="Times New Roman"/>
          <w:sz w:val="20"/>
          <w:szCs w:val="20"/>
        </w:rPr>
        <w:t>: Furto da parte di personale interno o soggetti esterni (o non identificati) di documenti cartacei contenenti dati dei soggetti interessati.</w:t>
      </w:r>
    </w:p>
    <w:p w14:paraId="55BDF675" w14:textId="77777777" w:rsidR="00AB21B1" w:rsidRPr="003714B8" w:rsidRDefault="00AB21B1" w:rsidP="009C50B1">
      <w:pPr>
        <w:pStyle w:val="Nessunaspaziatura"/>
        <w:spacing w:line="276" w:lineRule="auto"/>
        <w:jc w:val="both"/>
        <w:rPr>
          <w:rFonts w:ascii="Calibri" w:eastAsia="Times New Roman" w:hAnsi="Calibri"/>
          <w:b/>
          <w:bCs/>
          <w:sz w:val="20"/>
          <w:szCs w:val="20"/>
          <w:u w:val="single"/>
        </w:rPr>
      </w:pPr>
    </w:p>
    <w:p w14:paraId="79154836" w14:textId="029CD5AD" w:rsidR="009C50B1" w:rsidRDefault="009C50B1" w:rsidP="007A2135">
      <w:pPr>
        <w:pStyle w:val="Titolo1"/>
      </w:pPr>
      <w:bookmarkStart w:id="30" w:name="_Toc110501604"/>
      <w:r>
        <w:t>L</w:t>
      </w:r>
      <w:r w:rsidR="00AB21B1">
        <w:t>INK RILEVANTI</w:t>
      </w:r>
      <w:r>
        <w:t>:</w:t>
      </w:r>
      <w:bookmarkEnd w:id="30"/>
    </w:p>
    <w:p w14:paraId="408030C2" w14:textId="77777777" w:rsidR="009C50B1" w:rsidRDefault="009C50B1" w:rsidP="009C50B1">
      <w:pPr>
        <w:pStyle w:val="Nessunaspaziatura"/>
        <w:spacing w:line="276" w:lineRule="auto"/>
        <w:jc w:val="both"/>
        <w:rPr>
          <w:rFonts w:ascii="Calibri" w:eastAsia="Times New Roman" w:hAnsi="Calibri"/>
          <w:sz w:val="22"/>
          <w:szCs w:val="22"/>
        </w:rPr>
      </w:pPr>
    </w:p>
    <w:p w14:paraId="10DB671C" w14:textId="77777777" w:rsidR="009C50B1" w:rsidRPr="001B7BC9" w:rsidRDefault="009C50B1" w:rsidP="009C50B1">
      <w:pPr>
        <w:pStyle w:val="Nessunaspaziatura"/>
        <w:numPr>
          <w:ilvl w:val="0"/>
          <w:numId w:val="16"/>
        </w:numPr>
        <w:spacing w:line="276" w:lineRule="auto"/>
        <w:ind w:left="680"/>
        <w:jc w:val="both"/>
        <w:rPr>
          <w:rFonts w:ascii="Calibri" w:hAnsi="Calibri"/>
          <w:sz w:val="22"/>
          <w:szCs w:val="22"/>
        </w:rPr>
      </w:pPr>
      <w:r w:rsidRPr="001B7BC9">
        <w:rPr>
          <w:rFonts w:ascii="Calibri" w:hAnsi="Calibri"/>
          <w:sz w:val="22"/>
          <w:szCs w:val="22"/>
        </w:rPr>
        <w:t>Autovalutazione per individuare le azioni da intraprendere a seguito di una violazione dei dati personali:</w:t>
      </w:r>
    </w:p>
    <w:p w14:paraId="4C0F4E79" w14:textId="77777777" w:rsidR="009C50B1" w:rsidRPr="001B7BC9" w:rsidRDefault="00E76D4D" w:rsidP="009C50B1">
      <w:pPr>
        <w:pStyle w:val="Nessunaspaziatura"/>
        <w:spacing w:line="276" w:lineRule="auto"/>
        <w:ind w:left="680"/>
        <w:jc w:val="both"/>
        <w:rPr>
          <w:rFonts w:ascii="Calibri" w:hAnsi="Calibri"/>
          <w:sz w:val="22"/>
          <w:szCs w:val="22"/>
        </w:rPr>
      </w:pPr>
      <w:hyperlink r:id="rId10" w:history="1">
        <w:r w:rsidR="009C50B1" w:rsidRPr="00480616">
          <w:rPr>
            <w:rStyle w:val="Collegamentoipertestuale"/>
            <w:rFonts w:ascii="Calibri" w:hAnsi="Calibri"/>
            <w:sz w:val="22"/>
            <w:szCs w:val="22"/>
          </w:rPr>
          <w:t>https://servizi.gpdp.it/databreach/s/self-assessment</w:t>
        </w:r>
      </w:hyperlink>
      <w:r w:rsidR="009C50B1">
        <w:rPr>
          <w:rFonts w:ascii="Calibri" w:hAnsi="Calibri"/>
          <w:sz w:val="22"/>
          <w:szCs w:val="22"/>
        </w:rPr>
        <w:t xml:space="preserve"> </w:t>
      </w:r>
    </w:p>
    <w:p w14:paraId="024265BB" w14:textId="77777777" w:rsidR="009C50B1" w:rsidRDefault="009C50B1" w:rsidP="009C50B1">
      <w:pPr>
        <w:pStyle w:val="Nessunaspaziatura"/>
        <w:numPr>
          <w:ilvl w:val="0"/>
          <w:numId w:val="16"/>
        </w:numPr>
        <w:spacing w:line="276" w:lineRule="auto"/>
        <w:ind w:left="680"/>
        <w:jc w:val="both"/>
        <w:rPr>
          <w:rFonts w:ascii="Calibri" w:hAnsi="Calibri"/>
          <w:b/>
          <w:bCs/>
          <w:sz w:val="22"/>
          <w:szCs w:val="22"/>
        </w:rPr>
      </w:pPr>
      <w:r>
        <w:rPr>
          <w:rFonts w:ascii="Calibri" w:eastAsia="Times New Roman" w:hAnsi="Calibri"/>
          <w:sz w:val="22"/>
          <w:szCs w:val="22"/>
        </w:rPr>
        <w:t xml:space="preserve">Istruzioni </w:t>
      </w:r>
      <w:r w:rsidRPr="001B7BC9">
        <w:rPr>
          <w:rFonts w:ascii="Calibri" w:hAnsi="Calibri"/>
          <w:sz w:val="22"/>
          <w:szCs w:val="22"/>
        </w:rPr>
        <w:t>per l’utilizzo della procedura telematica per la notifica delle violazioni dei dati personali:</w:t>
      </w:r>
    </w:p>
    <w:p w14:paraId="48456E61" w14:textId="77777777" w:rsidR="009C50B1" w:rsidRPr="001B7BC9" w:rsidRDefault="00E76D4D" w:rsidP="009C50B1">
      <w:pPr>
        <w:pStyle w:val="Nessunaspaziatura"/>
        <w:spacing w:line="276" w:lineRule="auto"/>
        <w:ind w:left="680"/>
        <w:jc w:val="both"/>
        <w:rPr>
          <w:rFonts w:ascii="Calibri" w:hAnsi="Calibri"/>
          <w:b/>
          <w:bCs/>
          <w:sz w:val="22"/>
          <w:szCs w:val="22"/>
        </w:rPr>
      </w:pPr>
      <w:hyperlink r:id="rId11" w:history="1">
        <w:r w:rsidR="009C50B1" w:rsidRPr="00480616">
          <w:rPr>
            <w:rStyle w:val="Collegamentoipertestuale"/>
            <w:rFonts w:ascii="Calibri" w:eastAsia="Times New Roman" w:hAnsi="Calibri"/>
            <w:sz w:val="22"/>
            <w:szCs w:val="22"/>
          </w:rPr>
          <w:t>https://servizi.gpdp.it/databreach/s/istruzioni</w:t>
        </w:r>
      </w:hyperlink>
    </w:p>
    <w:p w14:paraId="2AA868F7" w14:textId="77777777" w:rsidR="009C50B1" w:rsidRPr="001B7BC9" w:rsidRDefault="009C50B1" w:rsidP="009C50B1">
      <w:pPr>
        <w:pStyle w:val="Nessunaspaziatura"/>
        <w:numPr>
          <w:ilvl w:val="0"/>
          <w:numId w:val="16"/>
        </w:numPr>
        <w:spacing w:line="276" w:lineRule="auto"/>
        <w:ind w:left="680"/>
        <w:jc w:val="both"/>
        <w:rPr>
          <w:rFonts w:ascii="Calibri" w:hAnsi="Calibri"/>
          <w:b/>
          <w:bCs/>
          <w:sz w:val="22"/>
          <w:szCs w:val="22"/>
        </w:rPr>
      </w:pPr>
      <w:r>
        <w:rPr>
          <w:rFonts w:ascii="Calibri" w:eastAsia="Times New Roman" w:hAnsi="Calibri"/>
          <w:sz w:val="22"/>
          <w:szCs w:val="22"/>
        </w:rPr>
        <w:t>Fac-simile del modello di comunicazione:</w:t>
      </w:r>
    </w:p>
    <w:p w14:paraId="19CFA187" w14:textId="77777777" w:rsidR="009C50B1" w:rsidRDefault="00E76D4D" w:rsidP="009C50B1">
      <w:pPr>
        <w:pStyle w:val="Nessunaspaziatura"/>
        <w:spacing w:line="276" w:lineRule="auto"/>
        <w:ind w:left="680"/>
        <w:jc w:val="both"/>
        <w:rPr>
          <w:rFonts w:ascii="Calibri" w:eastAsia="Times New Roman" w:hAnsi="Calibri"/>
          <w:sz w:val="22"/>
          <w:szCs w:val="22"/>
        </w:rPr>
      </w:pPr>
      <w:hyperlink r:id="rId12" w:history="1">
        <w:r w:rsidR="009C50B1" w:rsidRPr="00480616">
          <w:rPr>
            <w:rStyle w:val="Collegamentoipertestuale"/>
            <w:rFonts w:ascii="Calibri" w:eastAsia="Times New Roman" w:hAnsi="Calibri"/>
            <w:sz w:val="22"/>
            <w:szCs w:val="22"/>
          </w:rPr>
          <w:t>https://servizi.gpdp.it/databreach/resource/1629905132000/DB_Istruzioni</w:t>
        </w:r>
      </w:hyperlink>
    </w:p>
    <w:p w14:paraId="4D746AB2" w14:textId="77777777" w:rsidR="009C50B1" w:rsidRPr="00910D72" w:rsidRDefault="009C50B1" w:rsidP="009C50B1">
      <w:pPr>
        <w:pStyle w:val="Nessunaspaziatura"/>
        <w:numPr>
          <w:ilvl w:val="0"/>
          <w:numId w:val="16"/>
        </w:numPr>
        <w:spacing w:line="276" w:lineRule="auto"/>
        <w:ind w:left="680"/>
        <w:jc w:val="both"/>
        <w:rPr>
          <w:rFonts w:ascii="Calibri" w:hAnsi="Calibri"/>
          <w:b/>
          <w:bCs/>
          <w:sz w:val="22"/>
          <w:szCs w:val="22"/>
        </w:rPr>
      </w:pPr>
      <w:r>
        <w:rPr>
          <w:rFonts w:ascii="Calibri" w:eastAsia="Times New Roman" w:hAnsi="Calibri"/>
          <w:sz w:val="22"/>
          <w:szCs w:val="22"/>
        </w:rPr>
        <w:t>Linee Guida in materia di notifica delle violazioni di dati personali (</w:t>
      </w:r>
      <w:r w:rsidRPr="00062612">
        <w:rPr>
          <w:rFonts w:ascii="Calibri" w:eastAsia="Times New Roman" w:hAnsi="Calibri"/>
          <w:i/>
          <w:iCs/>
          <w:sz w:val="22"/>
          <w:szCs w:val="22"/>
        </w:rPr>
        <w:t>data breach notification</w:t>
      </w:r>
      <w:r>
        <w:rPr>
          <w:rFonts w:ascii="Calibri" w:eastAsia="Times New Roman" w:hAnsi="Calibri"/>
          <w:sz w:val="22"/>
          <w:szCs w:val="22"/>
        </w:rPr>
        <w:t>) WP250, definite in base alle previsioni del Regolamento (UE) 2016/679 (scaricare la versione in lingua italiana):</w:t>
      </w:r>
    </w:p>
    <w:p w14:paraId="062E006A" w14:textId="77777777" w:rsidR="009C50B1" w:rsidRDefault="00E76D4D" w:rsidP="009C50B1">
      <w:pPr>
        <w:pStyle w:val="Nessunaspaziatura"/>
        <w:spacing w:line="276" w:lineRule="auto"/>
        <w:ind w:left="680"/>
        <w:jc w:val="both"/>
        <w:rPr>
          <w:rFonts w:ascii="Calibri" w:hAnsi="Calibri"/>
          <w:sz w:val="22"/>
          <w:szCs w:val="22"/>
        </w:rPr>
      </w:pPr>
      <w:hyperlink r:id="rId13" w:history="1">
        <w:r w:rsidR="009C50B1" w:rsidRPr="00480616">
          <w:rPr>
            <w:rStyle w:val="Collegamentoipertestuale"/>
            <w:rFonts w:ascii="Calibri" w:hAnsi="Calibri"/>
            <w:sz w:val="22"/>
            <w:szCs w:val="22"/>
          </w:rPr>
          <w:t>https://ec.europa.eu/newsroom/article29/items/612052/en</w:t>
        </w:r>
      </w:hyperlink>
      <w:r w:rsidR="009C50B1">
        <w:rPr>
          <w:rFonts w:ascii="Calibri" w:hAnsi="Calibri"/>
          <w:sz w:val="22"/>
          <w:szCs w:val="22"/>
        </w:rPr>
        <w:t xml:space="preserve"> </w:t>
      </w:r>
    </w:p>
    <w:p w14:paraId="2DD29C81" w14:textId="77777777" w:rsidR="009C50B1" w:rsidRDefault="009C50B1" w:rsidP="009C50B1">
      <w:pPr>
        <w:pStyle w:val="Nessunaspaziatura"/>
        <w:numPr>
          <w:ilvl w:val="0"/>
          <w:numId w:val="16"/>
        </w:numPr>
        <w:spacing w:line="276" w:lineRule="auto"/>
        <w:ind w:left="680"/>
        <w:jc w:val="both"/>
        <w:rPr>
          <w:rFonts w:ascii="Calibri" w:hAnsi="Calibri"/>
          <w:sz w:val="22"/>
          <w:szCs w:val="22"/>
        </w:rPr>
      </w:pPr>
      <w:r>
        <w:rPr>
          <w:rFonts w:ascii="Calibri" w:hAnsi="Calibri"/>
          <w:sz w:val="22"/>
          <w:szCs w:val="22"/>
        </w:rPr>
        <w:t>Linee Guida EDPB 01/2021 sugli esempi riguardanti la notifica di violazioni dei dati:</w:t>
      </w:r>
    </w:p>
    <w:p w14:paraId="03CACAF9" w14:textId="783C454D" w:rsidR="009C50B1" w:rsidRDefault="00E76D4D" w:rsidP="009C50B1">
      <w:pPr>
        <w:pStyle w:val="Nessunaspaziatura"/>
        <w:spacing w:line="276" w:lineRule="auto"/>
        <w:ind w:left="680"/>
        <w:jc w:val="both"/>
        <w:rPr>
          <w:rFonts w:ascii="Calibri" w:eastAsia="Times New Roman" w:hAnsi="Calibri" w:cs="Times New Roman"/>
          <w:color w:val="auto"/>
          <w:sz w:val="22"/>
          <w:szCs w:val="22"/>
        </w:rPr>
      </w:pPr>
      <w:hyperlink r:id="rId14" w:history="1">
        <w:r w:rsidR="009C50B1" w:rsidRPr="00480616">
          <w:rPr>
            <w:rStyle w:val="Collegamentoipertestuale"/>
            <w:rFonts w:ascii="Calibri" w:eastAsia="Times New Roman" w:hAnsi="Calibri" w:cs="Times New Roman"/>
            <w:sz w:val="22"/>
            <w:szCs w:val="22"/>
          </w:rPr>
          <w:t>https://edpb.europa.eu/our-work-tools/our-documents/guidelines/guidelines-012021-examples-regarding-personal-data-breach_en</w:t>
        </w:r>
      </w:hyperlink>
      <w:r w:rsidR="009C50B1">
        <w:rPr>
          <w:rFonts w:ascii="Calibri" w:eastAsia="Times New Roman" w:hAnsi="Calibri" w:cs="Times New Roman"/>
          <w:color w:val="auto"/>
          <w:sz w:val="22"/>
          <w:szCs w:val="22"/>
        </w:rPr>
        <w:t xml:space="preserve"> </w:t>
      </w:r>
    </w:p>
    <w:p w14:paraId="3B3B80F3" w14:textId="26AF89A6" w:rsidR="00B946D3" w:rsidRPr="00B946D3" w:rsidRDefault="00B946D3" w:rsidP="00B946D3">
      <w:pPr>
        <w:pStyle w:val="Nessunaspaziatura"/>
        <w:numPr>
          <w:ilvl w:val="0"/>
          <w:numId w:val="16"/>
        </w:numPr>
        <w:spacing w:line="276" w:lineRule="auto"/>
        <w:ind w:left="680"/>
        <w:jc w:val="both"/>
        <w:rPr>
          <w:rFonts w:ascii="Calibri" w:hAnsi="Calibri"/>
          <w:sz w:val="22"/>
          <w:szCs w:val="22"/>
        </w:rPr>
      </w:pPr>
      <w:r>
        <w:rPr>
          <w:rFonts w:ascii="Calibri" w:hAnsi="Calibri"/>
          <w:sz w:val="22"/>
          <w:szCs w:val="22"/>
        </w:rPr>
        <w:t>Linee Guida EDPB 09/2022 sulla notificazione dei data breach di dati personali sotto il GDPR:</w:t>
      </w:r>
    </w:p>
    <w:p w14:paraId="6CC7BE80" w14:textId="3F7BC5DF" w:rsidR="00B946D3" w:rsidRPr="00910D72" w:rsidRDefault="00E76D4D" w:rsidP="009C50B1">
      <w:pPr>
        <w:pStyle w:val="Nessunaspaziatura"/>
        <w:spacing w:line="276" w:lineRule="auto"/>
        <w:ind w:left="680"/>
        <w:jc w:val="both"/>
        <w:rPr>
          <w:rFonts w:ascii="Calibri" w:hAnsi="Calibri"/>
          <w:sz w:val="22"/>
          <w:szCs w:val="22"/>
        </w:rPr>
      </w:pPr>
      <w:hyperlink r:id="rId15" w:history="1">
        <w:r w:rsidR="00B946D3" w:rsidRPr="00FE56D5">
          <w:rPr>
            <w:rStyle w:val="Collegamentoipertestuale"/>
            <w:rFonts w:ascii="Calibri" w:hAnsi="Calibri"/>
            <w:sz w:val="22"/>
            <w:szCs w:val="22"/>
          </w:rPr>
          <w:t>https://edpb.europa.eu/our-work-tools/documents/public-consultations/2022/guidelines-92022-personal-data-breach_en</w:t>
        </w:r>
      </w:hyperlink>
      <w:r w:rsidR="00B946D3">
        <w:rPr>
          <w:rFonts w:ascii="Calibri" w:hAnsi="Calibri"/>
          <w:sz w:val="22"/>
          <w:szCs w:val="22"/>
        </w:rPr>
        <w:t xml:space="preserve"> </w:t>
      </w:r>
    </w:p>
    <w:p w14:paraId="01720A29" w14:textId="77777777" w:rsidR="002E680D" w:rsidRDefault="002E680D" w:rsidP="002E680D">
      <w:pPr>
        <w:spacing w:line="320" w:lineRule="exact"/>
        <w:ind w:left="142"/>
        <w:jc w:val="both"/>
        <w:rPr>
          <w:color w:val="000000" w:themeColor="text1"/>
        </w:rPr>
      </w:pPr>
    </w:p>
    <w:sectPr w:rsidR="002E680D">
      <w:headerReference w:type="default" r:id="rId16"/>
      <w:footerReference w:type="default" r:id="rId17"/>
      <w:pgSz w:w="11906" w:h="16838"/>
      <w:pgMar w:top="1417" w:right="1134" w:bottom="1673" w:left="1134" w:header="0" w:footer="113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57B2B" w14:textId="77777777" w:rsidR="00E76D4D" w:rsidRDefault="00E76D4D">
      <w:r>
        <w:separator/>
      </w:r>
    </w:p>
  </w:endnote>
  <w:endnote w:type="continuationSeparator" w:id="0">
    <w:p w14:paraId="28515AC3" w14:textId="77777777" w:rsidR="00E76D4D" w:rsidRDefault="00E7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2508D" w14:textId="77777777" w:rsidR="004930C1" w:rsidRDefault="002B6799">
    <w:pPr>
      <w:pStyle w:val="Pidipagina"/>
      <w:jc w:val="right"/>
      <w:rPr>
        <w:rFonts w:cstheme="minorHAnsi"/>
        <w:sz w:val="20"/>
        <w:szCs w:val="20"/>
      </w:rPr>
    </w:pPr>
    <w:r>
      <w:rPr>
        <w:rFonts w:cstheme="minorHAnsi"/>
        <w:sz w:val="20"/>
        <w:szCs w:val="20"/>
        <w:lang w:val="it-IT"/>
      </w:rPr>
      <w:t>Pagina</w:t>
    </w:r>
    <w:r>
      <w:rPr>
        <w:rFonts w:cstheme="minorHAnsi"/>
        <w:sz w:val="20"/>
        <w:szCs w:val="20"/>
      </w:rPr>
      <w:t xml:space="preserve"> </w:t>
    </w:r>
    <w:r>
      <w:rPr>
        <w:rFonts w:cstheme="minorHAnsi"/>
        <w:sz w:val="20"/>
        <w:szCs w:val="20"/>
      </w:rPr>
      <w:fldChar w:fldCharType="begin"/>
    </w:r>
    <w:r>
      <w:rPr>
        <w:rFonts w:cs="Calibri"/>
        <w:sz w:val="20"/>
        <w:szCs w:val="20"/>
      </w:rPr>
      <w:instrText>PAGE</w:instrText>
    </w:r>
    <w:r>
      <w:rPr>
        <w:rFonts w:cs="Calibri"/>
        <w:sz w:val="20"/>
        <w:szCs w:val="20"/>
      </w:rPr>
      <w:fldChar w:fldCharType="separate"/>
    </w:r>
    <w:r w:rsidR="00442C39">
      <w:rPr>
        <w:rFonts w:cs="Calibri"/>
        <w:noProof/>
        <w:sz w:val="20"/>
        <w:szCs w:val="20"/>
      </w:rPr>
      <w:t>12</w:t>
    </w:r>
    <w:r>
      <w:rPr>
        <w:rFonts w:cs="Calibri"/>
        <w:sz w:val="20"/>
        <w:szCs w:val="20"/>
      </w:rPr>
      <w:fldChar w:fldCharType="end"/>
    </w:r>
    <w:r>
      <w:rPr>
        <w:rFonts w:cstheme="minorHAnsi"/>
        <w:sz w:val="20"/>
        <w:szCs w:val="20"/>
      </w:rPr>
      <w:t xml:space="preserve"> di </w:t>
    </w:r>
    <w:r>
      <w:rPr>
        <w:rFonts w:cstheme="minorHAnsi"/>
        <w:sz w:val="20"/>
        <w:szCs w:val="20"/>
      </w:rPr>
      <w:fldChar w:fldCharType="begin"/>
    </w:r>
    <w:r>
      <w:rPr>
        <w:rFonts w:cs="Calibri"/>
        <w:sz w:val="20"/>
        <w:szCs w:val="20"/>
      </w:rPr>
      <w:instrText>NUMPAGES</w:instrText>
    </w:r>
    <w:r>
      <w:rPr>
        <w:rFonts w:cs="Calibri"/>
        <w:sz w:val="20"/>
        <w:szCs w:val="20"/>
      </w:rPr>
      <w:fldChar w:fldCharType="separate"/>
    </w:r>
    <w:r w:rsidR="00442C39">
      <w:rPr>
        <w:rFonts w:cs="Calibri"/>
        <w:noProof/>
        <w:sz w:val="20"/>
        <w:szCs w:val="20"/>
      </w:rPr>
      <w:t>14</w:t>
    </w:r>
    <w:r>
      <w:rPr>
        <w:rFonts w:cs="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9B90D" w14:textId="77777777" w:rsidR="00E76D4D" w:rsidRDefault="00E76D4D">
      <w:pPr>
        <w:rPr>
          <w:sz w:val="12"/>
        </w:rPr>
      </w:pPr>
      <w:r>
        <w:separator/>
      </w:r>
    </w:p>
  </w:footnote>
  <w:footnote w:type="continuationSeparator" w:id="0">
    <w:p w14:paraId="3E319166" w14:textId="77777777" w:rsidR="00E76D4D" w:rsidRDefault="00E76D4D">
      <w:pPr>
        <w:rPr>
          <w:sz w:val="12"/>
        </w:rPr>
      </w:pPr>
      <w:r>
        <w:continuationSeparator/>
      </w:r>
    </w:p>
  </w:footnote>
  <w:footnote w:id="1">
    <w:p w14:paraId="591E6870" w14:textId="77777777" w:rsidR="004930C1" w:rsidRDefault="002B6799">
      <w:pPr>
        <w:pStyle w:val="Testonotaapidipagina"/>
      </w:pPr>
      <w:r>
        <w:rPr>
          <w:rStyle w:val="Caratterinotaapidipagina"/>
        </w:rPr>
        <w:footnoteRef/>
      </w:r>
      <w:r>
        <w:rPr>
          <w:rFonts w:asciiTheme="minorHAnsi" w:hAnsiTheme="minorHAnsi" w:cstheme="minorHAnsi"/>
          <w:i/>
          <w:color w:val="808080" w:themeColor="background1" w:themeShade="80"/>
        </w:rPr>
        <w:t xml:space="preserve">Se emerge che non si è trattato di una violazione di dati personali, è necessario comunicare tale circostanza al Garante. La notifica al Garante di un evento che poi non si rivela essere un </w:t>
      </w:r>
      <w:r>
        <w:rPr>
          <w:rFonts w:asciiTheme="minorHAnsi" w:hAnsiTheme="minorHAnsi" w:cstheme="minorHAnsi"/>
          <w:i/>
          <w:iCs/>
          <w:color w:val="808080" w:themeColor="background1" w:themeShade="80"/>
        </w:rPr>
        <w:t>data</w:t>
      </w:r>
      <w:r>
        <w:rPr>
          <w:rFonts w:asciiTheme="minorHAnsi" w:hAnsiTheme="minorHAnsi" w:cstheme="minorHAnsi"/>
          <w:i/>
          <w:color w:val="808080" w:themeColor="background1" w:themeShade="80"/>
        </w:rPr>
        <w:t xml:space="preserve"> </w:t>
      </w:r>
      <w:r>
        <w:rPr>
          <w:rFonts w:asciiTheme="minorHAnsi" w:hAnsiTheme="minorHAnsi" w:cstheme="minorHAnsi"/>
          <w:i/>
          <w:iCs/>
          <w:color w:val="808080" w:themeColor="background1" w:themeShade="80"/>
        </w:rPr>
        <w:t>breach</w:t>
      </w:r>
      <w:r>
        <w:rPr>
          <w:rFonts w:asciiTheme="minorHAnsi" w:hAnsiTheme="minorHAnsi" w:cstheme="minorHAnsi"/>
          <w:i/>
          <w:color w:val="808080" w:themeColor="background1" w:themeShade="80"/>
        </w:rPr>
        <w:t xml:space="preserve"> non è soggetta ad alcuna sanzione; viceversa, lo è l'omissione della notifica di un evento che, a seguito di ulteriori indagini approfondite, risulta essere una violazione di dati personali.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C2253" w14:textId="77777777" w:rsidR="004930C1" w:rsidRDefault="004930C1">
    <w:pPr>
      <w:pStyle w:val="Intestazione"/>
    </w:pPr>
  </w:p>
  <w:p w14:paraId="7552D3C8" w14:textId="77777777" w:rsidR="004930C1" w:rsidRDefault="004930C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2F46"/>
    <w:multiLevelType w:val="multilevel"/>
    <w:tmpl w:val="849AA0C0"/>
    <w:lvl w:ilvl="0">
      <w:start w:val="1"/>
      <w:numFmt w:val="decimal"/>
      <w:lvlText w:val="%1."/>
      <w:lvlJc w:val="left"/>
      <w:rPr>
        <w:rFonts w:ascii="Calibri" w:eastAsia="Times New Roman" w:hAnsi="Calibri" w:cs="Times New Roman" w:hint="default"/>
        <w:b/>
        <w:bCs/>
        <w:i w:val="0"/>
        <w:iCs w:val="0"/>
        <w:smallCaps w:val="0"/>
        <w:strike w:val="0"/>
        <w:color w:val="000000"/>
        <w:spacing w:val="0"/>
        <w:w w:val="100"/>
        <w:position w:val="0"/>
        <w:sz w:val="24"/>
        <w:szCs w:val="24"/>
        <w:u w:val="none"/>
        <w:lang w:val="it-IT" w:eastAsia="it-IT" w:bidi="it-IT"/>
      </w:rPr>
    </w:lvl>
    <w:lvl w:ilvl="1">
      <w:start w:val="1"/>
      <w:numFmt w:val="decimal"/>
      <w:lvlText w:val="%1.%2"/>
      <w:lvlJc w:val="left"/>
      <w:rPr>
        <w:rFonts w:ascii="Calibri" w:eastAsia="Times New Roman" w:hAnsi="Calibri" w:cs="Times New Roman" w:hint="default"/>
        <w:b/>
        <w:bCs/>
        <w:i w:val="0"/>
        <w:iCs w:val="0"/>
        <w:smallCaps w:val="0"/>
        <w:strike w:val="0"/>
        <w:color w:val="000000"/>
        <w:spacing w:val="0"/>
        <w:w w:val="100"/>
        <w:position w:val="0"/>
        <w:sz w:val="24"/>
        <w:szCs w:val="24"/>
        <w:u w:val="none"/>
        <w:lang w:val="it-IT" w:eastAsia="it-IT" w:bidi="it-IT"/>
      </w:rPr>
    </w:lvl>
    <w:lvl w:ilvl="2">
      <w:start w:val="1"/>
      <w:numFmt w:val="decimal"/>
      <w:lvlText w:val="%1.%2.%3"/>
      <w:lvlJc w:val="left"/>
      <w:rPr>
        <w:rFonts w:ascii="Calibri" w:eastAsia="Times New Roman" w:hAnsi="Calibri" w:cs="Times New Roman" w:hint="default"/>
        <w:b/>
        <w:bCs/>
        <w:i w:val="0"/>
        <w:iCs w:val="0"/>
        <w:smallCaps w:val="0"/>
        <w:strike w:val="0"/>
        <w:color w:val="000000"/>
        <w:spacing w:val="0"/>
        <w:w w:val="100"/>
        <w:position w:val="0"/>
        <w:sz w:val="24"/>
        <w:szCs w:val="24"/>
        <w:u w:val="none"/>
        <w:lang w:val="it-IT" w:eastAsia="it-IT" w:bidi="it-I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C51B7"/>
    <w:multiLevelType w:val="multilevel"/>
    <w:tmpl w:val="1EE0CAC2"/>
    <w:lvl w:ilvl="0">
      <w:start w:val="1"/>
      <w:numFmt w:val="bullet"/>
      <w:lvlText w:val=""/>
      <w:lvlJc w:val="left"/>
      <w:pPr>
        <w:tabs>
          <w:tab w:val="num" w:pos="786"/>
        </w:tabs>
        <w:ind w:left="786" w:hanging="360"/>
      </w:pPr>
      <w:rPr>
        <w:rFonts w:ascii="Symbol" w:hAnsi="Symbol" w:cs="Symbol" w:hint="default"/>
        <w:b/>
        <w:sz w:val="20"/>
      </w:rPr>
    </w:lvl>
    <w:lvl w:ilvl="1">
      <w:start w:val="1"/>
      <w:numFmt w:val="bullet"/>
      <w:lvlText w:val="◦"/>
      <w:lvlJc w:val="left"/>
      <w:pPr>
        <w:tabs>
          <w:tab w:val="num" w:pos="1146"/>
        </w:tabs>
        <w:ind w:left="1146" w:hanging="360"/>
      </w:pPr>
      <w:rPr>
        <w:rFonts w:ascii="OpenSymbol" w:hAnsi="OpenSymbol" w:cs="OpenSymbol" w:hint="default"/>
        <w:b/>
        <w:sz w:val="24"/>
      </w:rPr>
    </w:lvl>
    <w:lvl w:ilvl="2">
      <w:start w:val="1"/>
      <w:numFmt w:val="bullet"/>
      <w:lvlText w:val="▪"/>
      <w:lvlJc w:val="left"/>
      <w:pPr>
        <w:tabs>
          <w:tab w:val="num" w:pos="1506"/>
        </w:tabs>
        <w:ind w:left="1506" w:hanging="360"/>
      </w:pPr>
      <w:rPr>
        <w:rFonts w:ascii="OpenSymbol" w:hAnsi="OpenSymbol" w:cs="OpenSymbol" w:hint="default"/>
        <w:b/>
        <w:sz w:val="24"/>
      </w:rPr>
    </w:lvl>
    <w:lvl w:ilvl="3">
      <w:start w:val="1"/>
      <w:numFmt w:val="bullet"/>
      <w:lvlText w:val=""/>
      <w:lvlJc w:val="left"/>
      <w:pPr>
        <w:tabs>
          <w:tab w:val="num" w:pos="1866"/>
        </w:tabs>
        <w:ind w:left="1866" w:hanging="360"/>
      </w:pPr>
      <w:rPr>
        <w:rFonts w:ascii="Symbol" w:hAnsi="Symbol" w:cs="Symbol" w:hint="default"/>
        <w:b/>
        <w:sz w:val="24"/>
      </w:rPr>
    </w:lvl>
    <w:lvl w:ilvl="4">
      <w:start w:val="1"/>
      <w:numFmt w:val="bullet"/>
      <w:lvlText w:val="◦"/>
      <w:lvlJc w:val="left"/>
      <w:pPr>
        <w:tabs>
          <w:tab w:val="num" w:pos="2226"/>
        </w:tabs>
        <w:ind w:left="2226" w:hanging="360"/>
      </w:pPr>
      <w:rPr>
        <w:rFonts w:ascii="OpenSymbol" w:hAnsi="OpenSymbol" w:cs="OpenSymbol" w:hint="default"/>
        <w:b/>
        <w:sz w:val="24"/>
      </w:rPr>
    </w:lvl>
    <w:lvl w:ilvl="5">
      <w:start w:val="1"/>
      <w:numFmt w:val="bullet"/>
      <w:lvlText w:val="▪"/>
      <w:lvlJc w:val="left"/>
      <w:pPr>
        <w:tabs>
          <w:tab w:val="num" w:pos="2586"/>
        </w:tabs>
        <w:ind w:left="2586" w:hanging="360"/>
      </w:pPr>
      <w:rPr>
        <w:rFonts w:ascii="OpenSymbol" w:hAnsi="OpenSymbol" w:cs="OpenSymbol" w:hint="default"/>
        <w:b/>
        <w:sz w:val="24"/>
      </w:rPr>
    </w:lvl>
    <w:lvl w:ilvl="6">
      <w:start w:val="1"/>
      <w:numFmt w:val="bullet"/>
      <w:lvlText w:val=""/>
      <w:lvlJc w:val="left"/>
      <w:pPr>
        <w:tabs>
          <w:tab w:val="num" w:pos="2946"/>
        </w:tabs>
        <w:ind w:left="2946" w:hanging="360"/>
      </w:pPr>
      <w:rPr>
        <w:rFonts w:ascii="Symbol" w:hAnsi="Symbol" w:cs="Symbol" w:hint="default"/>
        <w:b/>
        <w:sz w:val="24"/>
      </w:rPr>
    </w:lvl>
    <w:lvl w:ilvl="7">
      <w:start w:val="1"/>
      <w:numFmt w:val="bullet"/>
      <w:lvlText w:val="◦"/>
      <w:lvlJc w:val="left"/>
      <w:pPr>
        <w:tabs>
          <w:tab w:val="num" w:pos="3306"/>
        </w:tabs>
        <w:ind w:left="3306" w:hanging="360"/>
      </w:pPr>
      <w:rPr>
        <w:rFonts w:ascii="OpenSymbol" w:hAnsi="OpenSymbol" w:cs="OpenSymbol" w:hint="default"/>
        <w:b/>
        <w:sz w:val="24"/>
      </w:rPr>
    </w:lvl>
    <w:lvl w:ilvl="8">
      <w:start w:val="1"/>
      <w:numFmt w:val="bullet"/>
      <w:lvlText w:val="▪"/>
      <w:lvlJc w:val="left"/>
      <w:pPr>
        <w:tabs>
          <w:tab w:val="num" w:pos="3666"/>
        </w:tabs>
        <w:ind w:left="3666" w:hanging="360"/>
      </w:pPr>
      <w:rPr>
        <w:rFonts w:ascii="OpenSymbol" w:hAnsi="OpenSymbol" w:cs="OpenSymbol" w:hint="default"/>
        <w:b/>
        <w:sz w:val="24"/>
      </w:rPr>
    </w:lvl>
  </w:abstractNum>
  <w:abstractNum w:abstractNumId="2" w15:restartNumberingAfterBreak="0">
    <w:nsid w:val="0FE16245"/>
    <w:multiLevelType w:val="multilevel"/>
    <w:tmpl w:val="63F291D6"/>
    <w:lvl w:ilvl="0">
      <w:start w:val="1"/>
      <w:numFmt w:val="bullet"/>
      <w:lvlText w:val=""/>
      <w:lvlJc w:val="left"/>
      <w:pPr>
        <w:tabs>
          <w:tab w:val="num" w:pos="0"/>
        </w:tabs>
        <w:ind w:left="360" w:hanging="360"/>
      </w:pPr>
      <w:rPr>
        <w:rFonts w:ascii="Wingdings" w:hAnsi="Wingdings" w:cs="Wingdings" w:hint="default"/>
        <w:sz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4A064E1"/>
    <w:multiLevelType w:val="multilevel"/>
    <w:tmpl w:val="C04809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C3D7A71"/>
    <w:multiLevelType w:val="hybridMultilevel"/>
    <w:tmpl w:val="54EC6D5A"/>
    <w:lvl w:ilvl="0" w:tplc="2F925466">
      <w:numFmt w:val="bullet"/>
      <w:lvlText w:val="-"/>
      <w:lvlJc w:val="left"/>
      <w:pPr>
        <w:ind w:left="800" w:hanging="440"/>
      </w:pPr>
      <w:rPr>
        <w:rFonts w:ascii="Courier New" w:eastAsia="Courier New" w:hAnsi="Courier New" w:cs="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8E579A"/>
    <w:multiLevelType w:val="multilevel"/>
    <w:tmpl w:val="2F400E96"/>
    <w:lvl w:ilvl="0">
      <w:start w:val="1"/>
      <w:numFmt w:val="decimal"/>
      <w:pStyle w:val="Titolo1"/>
      <w:lvlText w:val="Art. %1)"/>
      <w:lvlJc w:val="left"/>
      <w:pPr>
        <w:tabs>
          <w:tab w:val="num" w:pos="-142"/>
        </w:tabs>
        <w:ind w:left="360" w:hanging="360"/>
      </w:pPr>
      <w:rPr>
        <w:rFonts w:ascii="Calibri" w:hAnsi="Calibri"/>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2421390F"/>
    <w:multiLevelType w:val="hybridMultilevel"/>
    <w:tmpl w:val="8710E0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EC068D"/>
    <w:multiLevelType w:val="multilevel"/>
    <w:tmpl w:val="C34603E2"/>
    <w:lvl w:ilvl="0">
      <w:start w:val="1"/>
      <w:numFmt w:val="bullet"/>
      <w:lvlText w:val="o"/>
      <w:lvlJc w:val="left"/>
      <w:pPr>
        <w:tabs>
          <w:tab w:val="num" w:pos="0"/>
        </w:tabs>
        <w:ind w:left="862" w:hanging="360"/>
      </w:pPr>
      <w:rPr>
        <w:rFonts w:ascii="Courier New" w:hAnsi="Courier New" w:cs="Courier New" w:hint="default"/>
        <w:b/>
        <w:sz w:val="20"/>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8" w15:restartNumberingAfterBreak="0">
    <w:nsid w:val="26721A5B"/>
    <w:multiLevelType w:val="multilevel"/>
    <w:tmpl w:val="872E5F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BE3533C"/>
    <w:multiLevelType w:val="hybridMultilevel"/>
    <w:tmpl w:val="E08268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2F431C"/>
    <w:multiLevelType w:val="hybridMultilevel"/>
    <w:tmpl w:val="86D64FFC"/>
    <w:lvl w:ilvl="0" w:tplc="04100001">
      <w:start w:val="1"/>
      <w:numFmt w:val="bullet"/>
      <w:lvlText w:val=""/>
      <w:lvlJc w:val="left"/>
      <w:pPr>
        <w:ind w:left="1020" w:hanging="360"/>
      </w:pPr>
      <w:rPr>
        <w:rFonts w:ascii="Symbol" w:hAnsi="Symbol" w:hint="default"/>
      </w:rPr>
    </w:lvl>
    <w:lvl w:ilvl="1" w:tplc="04100003" w:tentative="1">
      <w:start w:val="1"/>
      <w:numFmt w:val="bullet"/>
      <w:lvlText w:val="o"/>
      <w:lvlJc w:val="left"/>
      <w:pPr>
        <w:ind w:left="1740" w:hanging="360"/>
      </w:pPr>
      <w:rPr>
        <w:rFonts w:ascii="Courier New" w:hAnsi="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11" w15:restartNumberingAfterBreak="0">
    <w:nsid w:val="3ED65D9E"/>
    <w:multiLevelType w:val="hybridMultilevel"/>
    <w:tmpl w:val="70364D44"/>
    <w:lvl w:ilvl="0" w:tplc="04100003">
      <w:start w:val="1"/>
      <w:numFmt w:val="bullet"/>
      <w:lvlText w:val="o"/>
      <w:lvlJc w:val="left"/>
      <w:pPr>
        <w:ind w:left="862" w:hanging="360"/>
      </w:pPr>
      <w:rPr>
        <w:rFonts w:ascii="Courier New" w:hAnsi="Courier New" w:cs="Courier New"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43111C18"/>
    <w:multiLevelType w:val="hybridMultilevel"/>
    <w:tmpl w:val="123AC124"/>
    <w:lvl w:ilvl="0" w:tplc="2B443F0E">
      <w:start w:val="1"/>
      <w:numFmt w:val="bullet"/>
      <w:lvlText w:val=""/>
      <w:lvlJc w:val="left"/>
      <w:pPr>
        <w:ind w:left="661" w:hanging="360"/>
      </w:pPr>
      <w:rPr>
        <w:rFonts w:ascii="Symbol" w:hAnsi="Symbol" w:hint="default"/>
        <w:strike w:val="0"/>
        <w:dstrike w:val="0"/>
      </w:rPr>
    </w:lvl>
    <w:lvl w:ilvl="1" w:tplc="04100003" w:tentative="1">
      <w:start w:val="1"/>
      <w:numFmt w:val="bullet"/>
      <w:lvlText w:val="o"/>
      <w:lvlJc w:val="left"/>
      <w:pPr>
        <w:ind w:left="1381" w:hanging="360"/>
      </w:pPr>
      <w:rPr>
        <w:rFonts w:ascii="Courier New" w:hAnsi="Courier New" w:hint="default"/>
      </w:rPr>
    </w:lvl>
    <w:lvl w:ilvl="2" w:tplc="04100005" w:tentative="1">
      <w:start w:val="1"/>
      <w:numFmt w:val="bullet"/>
      <w:lvlText w:val=""/>
      <w:lvlJc w:val="left"/>
      <w:pPr>
        <w:ind w:left="2101" w:hanging="360"/>
      </w:pPr>
      <w:rPr>
        <w:rFonts w:ascii="Wingdings" w:hAnsi="Wingdings" w:hint="default"/>
      </w:rPr>
    </w:lvl>
    <w:lvl w:ilvl="3" w:tplc="04100001" w:tentative="1">
      <w:start w:val="1"/>
      <w:numFmt w:val="bullet"/>
      <w:lvlText w:val=""/>
      <w:lvlJc w:val="left"/>
      <w:pPr>
        <w:ind w:left="2821" w:hanging="360"/>
      </w:pPr>
      <w:rPr>
        <w:rFonts w:ascii="Symbol" w:hAnsi="Symbol" w:hint="default"/>
      </w:rPr>
    </w:lvl>
    <w:lvl w:ilvl="4" w:tplc="04100003" w:tentative="1">
      <w:start w:val="1"/>
      <w:numFmt w:val="bullet"/>
      <w:lvlText w:val="o"/>
      <w:lvlJc w:val="left"/>
      <w:pPr>
        <w:ind w:left="3541" w:hanging="360"/>
      </w:pPr>
      <w:rPr>
        <w:rFonts w:ascii="Courier New" w:hAnsi="Courier New" w:hint="default"/>
      </w:rPr>
    </w:lvl>
    <w:lvl w:ilvl="5" w:tplc="04100005" w:tentative="1">
      <w:start w:val="1"/>
      <w:numFmt w:val="bullet"/>
      <w:lvlText w:val=""/>
      <w:lvlJc w:val="left"/>
      <w:pPr>
        <w:ind w:left="4261" w:hanging="360"/>
      </w:pPr>
      <w:rPr>
        <w:rFonts w:ascii="Wingdings" w:hAnsi="Wingdings" w:hint="default"/>
      </w:rPr>
    </w:lvl>
    <w:lvl w:ilvl="6" w:tplc="04100001" w:tentative="1">
      <w:start w:val="1"/>
      <w:numFmt w:val="bullet"/>
      <w:lvlText w:val=""/>
      <w:lvlJc w:val="left"/>
      <w:pPr>
        <w:ind w:left="4981" w:hanging="360"/>
      </w:pPr>
      <w:rPr>
        <w:rFonts w:ascii="Symbol" w:hAnsi="Symbol" w:hint="default"/>
      </w:rPr>
    </w:lvl>
    <w:lvl w:ilvl="7" w:tplc="04100003" w:tentative="1">
      <w:start w:val="1"/>
      <w:numFmt w:val="bullet"/>
      <w:lvlText w:val="o"/>
      <w:lvlJc w:val="left"/>
      <w:pPr>
        <w:ind w:left="5701" w:hanging="360"/>
      </w:pPr>
      <w:rPr>
        <w:rFonts w:ascii="Courier New" w:hAnsi="Courier New" w:hint="default"/>
      </w:rPr>
    </w:lvl>
    <w:lvl w:ilvl="8" w:tplc="04100005" w:tentative="1">
      <w:start w:val="1"/>
      <w:numFmt w:val="bullet"/>
      <w:lvlText w:val=""/>
      <w:lvlJc w:val="left"/>
      <w:pPr>
        <w:ind w:left="6421" w:hanging="360"/>
      </w:pPr>
      <w:rPr>
        <w:rFonts w:ascii="Wingdings" w:hAnsi="Wingdings" w:hint="default"/>
      </w:rPr>
    </w:lvl>
  </w:abstractNum>
  <w:abstractNum w:abstractNumId="13" w15:restartNumberingAfterBreak="0">
    <w:nsid w:val="434B46F6"/>
    <w:multiLevelType w:val="hybridMultilevel"/>
    <w:tmpl w:val="2F0E7B0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5E3A3152"/>
    <w:multiLevelType w:val="hybridMultilevel"/>
    <w:tmpl w:val="2E3E8288"/>
    <w:lvl w:ilvl="0" w:tplc="2B3ACDC8">
      <w:start w:val="8"/>
      <w:numFmt w:val="bullet"/>
      <w:lvlText w:val="-"/>
      <w:lvlJc w:val="left"/>
      <w:pPr>
        <w:ind w:left="712" w:hanging="57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688D4624"/>
    <w:multiLevelType w:val="hybridMultilevel"/>
    <w:tmpl w:val="07C45240"/>
    <w:lvl w:ilvl="0" w:tplc="04100017">
      <w:start w:val="1"/>
      <w:numFmt w:val="lowerLetter"/>
      <w:lvlText w:val="%1)"/>
      <w:lvlJc w:val="left"/>
      <w:pPr>
        <w:ind w:left="660" w:hanging="360"/>
      </w:p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16" w15:restartNumberingAfterBreak="0">
    <w:nsid w:val="698573A0"/>
    <w:multiLevelType w:val="multilevel"/>
    <w:tmpl w:val="5D5AA4F2"/>
    <w:lvl w:ilvl="0">
      <w:start w:val="1"/>
      <w:numFmt w:val="lowerLetter"/>
      <w:lvlText w:val="%1)"/>
      <w:lvlJc w:val="left"/>
      <w:rPr>
        <w:rFonts w:ascii="Calibri" w:eastAsia="Times New Roman" w:hAnsi="Calibri" w:cs="Times New Roman" w:hint="default"/>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7"/>
  </w:num>
  <w:num w:numId="4">
    <w:abstractNumId w:val="8"/>
  </w:num>
  <w:num w:numId="5">
    <w:abstractNumId w:val="2"/>
  </w:num>
  <w:num w:numId="6">
    <w:abstractNumId w:val="3"/>
  </w:num>
  <w:num w:numId="7">
    <w:abstractNumId w:val="11"/>
  </w:num>
  <w:num w:numId="8">
    <w:abstractNumId w:val="14"/>
  </w:num>
  <w:num w:numId="9">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6"/>
  </w:num>
  <w:num w:numId="16">
    <w:abstractNumId w:val="4"/>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C1"/>
    <w:rsid w:val="000C3572"/>
    <w:rsid w:val="001214E9"/>
    <w:rsid w:val="00125164"/>
    <w:rsid w:val="00137E75"/>
    <w:rsid w:val="00212239"/>
    <w:rsid w:val="00233CE4"/>
    <w:rsid w:val="002A743B"/>
    <w:rsid w:val="002B6799"/>
    <w:rsid w:val="002B7410"/>
    <w:rsid w:val="002C38FA"/>
    <w:rsid w:val="002E680D"/>
    <w:rsid w:val="0032436C"/>
    <w:rsid w:val="003714B8"/>
    <w:rsid w:val="003B0BE7"/>
    <w:rsid w:val="003C019F"/>
    <w:rsid w:val="0044102A"/>
    <w:rsid w:val="00442C39"/>
    <w:rsid w:val="004544EF"/>
    <w:rsid w:val="004930C1"/>
    <w:rsid w:val="004C08C7"/>
    <w:rsid w:val="00522C82"/>
    <w:rsid w:val="00523246"/>
    <w:rsid w:val="005651C5"/>
    <w:rsid w:val="005966CD"/>
    <w:rsid w:val="005B0B0F"/>
    <w:rsid w:val="005D7B86"/>
    <w:rsid w:val="00642881"/>
    <w:rsid w:val="006768B5"/>
    <w:rsid w:val="006D68B3"/>
    <w:rsid w:val="007239D2"/>
    <w:rsid w:val="007563D4"/>
    <w:rsid w:val="00785436"/>
    <w:rsid w:val="007938CB"/>
    <w:rsid w:val="007A2135"/>
    <w:rsid w:val="007C3CE3"/>
    <w:rsid w:val="007F494E"/>
    <w:rsid w:val="00825E1B"/>
    <w:rsid w:val="00847AA4"/>
    <w:rsid w:val="00852500"/>
    <w:rsid w:val="00900192"/>
    <w:rsid w:val="00907A2C"/>
    <w:rsid w:val="009523A5"/>
    <w:rsid w:val="009816FC"/>
    <w:rsid w:val="00987A20"/>
    <w:rsid w:val="009C50B1"/>
    <w:rsid w:val="00A330C6"/>
    <w:rsid w:val="00A9345E"/>
    <w:rsid w:val="00AB21B1"/>
    <w:rsid w:val="00AD7422"/>
    <w:rsid w:val="00B721AD"/>
    <w:rsid w:val="00B946D3"/>
    <w:rsid w:val="00BA51AF"/>
    <w:rsid w:val="00BB10DA"/>
    <w:rsid w:val="00BF420D"/>
    <w:rsid w:val="00C04B4E"/>
    <w:rsid w:val="00C61AD8"/>
    <w:rsid w:val="00D359BE"/>
    <w:rsid w:val="00D7500F"/>
    <w:rsid w:val="00DB52C7"/>
    <w:rsid w:val="00DF740B"/>
    <w:rsid w:val="00E05839"/>
    <w:rsid w:val="00E165F5"/>
    <w:rsid w:val="00E75D9B"/>
    <w:rsid w:val="00E76D4D"/>
    <w:rsid w:val="00EA37C9"/>
    <w:rsid w:val="00EB4E82"/>
    <w:rsid w:val="00EF0108"/>
    <w:rsid w:val="00F326BC"/>
    <w:rsid w:val="00F93087"/>
    <w:rsid w:val="00FB2CD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CF2A2"/>
  <w15:docId w15:val="{861835B6-3D99-4B71-89AE-930C4536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4416D"/>
    <w:rPr>
      <w:sz w:val="24"/>
      <w:szCs w:val="24"/>
    </w:rPr>
  </w:style>
  <w:style w:type="paragraph" w:styleId="Titolo1">
    <w:name w:val="heading 1"/>
    <w:basedOn w:val="Normale"/>
    <w:link w:val="Titolo1Carattere"/>
    <w:uiPriority w:val="9"/>
    <w:qFormat/>
    <w:rsid w:val="007A2135"/>
    <w:pPr>
      <w:numPr>
        <w:numId w:val="1"/>
      </w:numPr>
      <w:tabs>
        <w:tab w:val="clear" w:pos="-142"/>
        <w:tab w:val="num" w:pos="0"/>
      </w:tabs>
      <w:spacing w:before="400" w:after="60" w:line="320" w:lineRule="exact"/>
      <w:ind w:left="555" w:hanging="413"/>
      <w:contextualSpacing/>
      <w:outlineLvl w:val="0"/>
    </w:pPr>
    <w:rPr>
      <w:rFonts w:ascii="Calibri" w:hAnsi="Calibri" w:cs="Calibri"/>
      <w:smallCaps/>
      <w:color w:val="000000" w:themeColor="text1"/>
      <w:spacing w:val="20"/>
      <w:szCs w:val="32"/>
    </w:rPr>
  </w:style>
  <w:style w:type="paragraph" w:styleId="Titolo6">
    <w:name w:val="heading 6"/>
    <w:basedOn w:val="Normale"/>
    <w:link w:val="Titolo6Carattere"/>
    <w:uiPriority w:val="9"/>
    <w:unhideWhenUsed/>
    <w:qFormat/>
    <w:rsid w:val="00AE675F"/>
    <w:pPr>
      <w:pBdr>
        <w:bottom w:val="dotted" w:sz="8" w:space="1" w:color="938953"/>
      </w:pBdr>
      <w:spacing w:before="200" w:after="100" w:line="288" w:lineRule="auto"/>
      <w:ind w:left="2160"/>
      <w:contextualSpacing/>
      <w:outlineLvl w:val="5"/>
    </w:pPr>
    <w:rPr>
      <w:rFonts w:ascii="Cambria" w:hAnsi="Cambria"/>
      <w:smallCaps/>
      <w:color w:val="938953"/>
      <w:spacing w:val="20"/>
      <w:sz w:val="20"/>
      <w:szCs w:val="20"/>
    </w:rPr>
  </w:style>
  <w:style w:type="paragraph" w:styleId="Titolo9">
    <w:name w:val="heading 9"/>
    <w:basedOn w:val="Normale"/>
    <w:link w:val="Titolo9Carattere"/>
    <w:uiPriority w:val="9"/>
    <w:semiHidden/>
    <w:unhideWhenUsed/>
    <w:qFormat/>
    <w:rsid w:val="00AE675F"/>
    <w:pPr>
      <w:spacing w:before="200" w:after="60"/>
      <w:ind w:left="2160"/>
      <w:contextualSpacing/>
      <w:outlineLvl w:val="8"/>
    </w:pPr>
    <w:rPr>
      <w:rFonts w:ascii="Cambria" w:hAnsi="Cambria"/>
      <w:smallCaps/>
      <w:color w:val="938953"/>
      <w:spacing w:val="20"/>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7A2135"/>
    <w:rPr>
      <w:rFonts w:ascii="Calibri" w:hAnsi="Calibri" w:cs="Calibri"/>
      <w:smallCaps/>
      <w:color w:val="000000" w:themeColor="text1"/>
      <w:spacing w:val="20"/>
      <w:sz w:val="24"/>
      <w:szCs w:val="32"/>
    </w:rPr>
  </w:style>
  <w:style w:type="character" w:customStyle="1" w:styleId="Titolo6Carattere">
    <w:name w:val="Titolo 6 Carattere"/>
    <w:basedOn w:val="Carpredefinitoparagrafo"/>
    <w:link w:val="Titolo6"/>
    <w:uiPriority w:val="9"/>
    <w:qFormat/>
    <w:rsid w:val="00AE675F"/>
    <w:rPr>
      <w:rFonts w:ascii="Cambria" w:hAnsi="Cambria"/>
      <w:smallCaps/>
      <w:color w:val="938953"/>
      <w:spacing w:val="20"/>
    </w:rPr>
  </w:style>
  <w:style w:type="character" w:customStyle="1" w:styleId="Titolo9Carattere">
    <w:name w:val="Titolo 9 Carattere"/>
    <w:basedOn w:val="Carpredefinitoparagrafo"/>
    <w:link w:val="Titolo9"/>
    <w:uiPriority w:val="9"/>
    <w:semiHidden/>
    <w:qFormat/>
    <w:rsid w:val="00AE675F"/>
    <w:rPr>
      <w:rFonts w:ascii="Cambria" w:hAnsi="Cambria"/>
      <w:smallCaps/>
      <w:color w:val="938953"/>
      <w:spacing w:val="20"/>
      <w:sz w:val="16"/>
      <w:szCs w:val="16"/>
    </w:rPr>
  </w:style>
  <w:style w:type="character" w:customStyle="1" w:styleId="CollegamentoInternet">
    <w:name w:val="Collegamento Internet"/>
    <w:basedOn w:val="Carpredefinitoparagrafo"/>
    <w:uiPriority w:val="99"/>
    <w:unhideWhenUsed/>
    <w:rsid w:val="002F5C53"/>
    <w:rPr>
      <w:color w:val="0000FF" w:themeColor="hyperlink"/>
      <w:u w:val="single"/>
    </w:rPr>
  </w:style>
  <w:style w:type="character" w:customStyle="1" w:styleId="sentence">
    <w:name w:val="sentence"/>
    <w:basedOn w:val="Carpredefinitoparagrafo"/>
    <w:qFormat/>
    <w:rsid w:val="009A22A4"/>
  </w:style>
  <w:style w:type="character" w:styleId="Enfasigrassetto">
    <w:name w:val="Strong"/>
    <w:basedOn w:val="Carpredefinitoparagrafo"/>
    <w:uiPriority w:val="22"/>
    <w:qFormat/>
    <w:rsid w:val="009A22A4"/>
    <w:rPr>
      <w:b/>
      <w:bCs/>
    </w:rPr>
  </w:style>
  <w:style w:type="character" w:customStyle="1" w:styleId="Rientrocorpodeltesto3Carattere">
    <w:name w:val="Rientro corpo del testo 3 Carattere"/>
    <w:basedOn w:val="Carpredefinitoparagrafo"/>
    <w:link w:val="Rientrocorpodeltesto3"/>
    <w:uiPriority w:val="99"/>
    <w:semiHidden/>
    <w:qFormat/>
    <w:rsid w:val="00672857"/>
    <w:rPr>
      <w:sz w:val="16"/>
      <w:szCs w:val="16"/>
    </w:rPr>
  </w:style>
  <w:style w:type="character" w:customStyle="1" w:styleId="IntestazioneCarattere">
    <w:name w:val="Intestazione Carattere"/>
    <w:basedOn w:val="Carpredefinitoparagrafo"/>
    <w:link w:val="Intestazione"/>
    <w:qFormat/>
    <w:rsid w:val="00672857"/>
    <w:rPr>
      <w:sz w:val="24"/>
      <w:szCs w:val="24"/>
    </w:rPr>
  </w:style>
  <w:style w:type="character" w:customStyle="1" w:styleId="TestofumettoCarattere">
    <w:name w:val="Testo fumetto Carattere"/>
    <w:basedOn w:val="Carpredefinitoparagrafo"/>
    <w:link w:val="Testofumetto"/>
    <w:uiPriority w:val="99"/>
    <w:semiHidden/>
    <w:qFormat/>
    <w:rsid w:val="001B140F"/>
    <w:rPr>
      <w:rFonts w:ascii="Tahoma" w:hAnsi="Tahoma" w:cs="Tahoma"/>
      <w:sz w:val="16"/>
      <w:szCs w:val="16"/>
    </w:rPr>
  </w:style>
  <w:style w:type="character" w:customStyle="1" w:styleId="CorpotestoCarattere">
    <w:name w:val="Corpo testo Carattere"/>
    <w:basedOn w:val="Carpredefinitoparagrafo"/>
    <w:link w:val="Corpotesto"/>
    <w:uiPriority w:val="99"/>
    <w:semiHidden/>
    <w:qFormat/>
    <w:rsid w:val="00896103"/>
    <w:rPr>
      <w:sz w:val="24"/>
      <w:szCs w:val="24"/>
    </w:rPr>
  </w:style>
  <w:style w:type="character" w:customStyle="1" w:styleId="TestonotaapidipaginaCarattere">
    <w:name w:val="Testo nota a piè di pagina Carattere"/>
    <w:basedOn w:val="Carpredefinitoparagrafo"/>
    <w:link w:val="Testonotaapidipagina"/>
    <w:semiHidden/>
    <w:qFormat/>
    <w:rsid w:val="00EF03DD"/>
  </w:style>
  <w:style w:type="character" w:customStyle="1" w:styleId="Richiamoallanotaapidipagina">
    <w:name w:val="Richiamo alla nota a piè di pagina"/>
    <w:rPr>
      <w:vertAlign w:val="superscript"/>
    </w:rPr>
  </w:style>
  <w:style w:type="character" w:customStyle="1" w:styleId="FootnoteCharacters">
    <w:name w:val="Footnote Characters"/>
    <w:semiHidden/>
    <w:qFormat/>
    <w:rsid w:val="00EF03DD"/>
    <w:rPr>
      <w:vertAlign w:val="superscript"/>
    </w:rPr>
  </w:style>
  <w:style w:type="character" w:customStyle="1" w:styleId="PidipaginaCarattere">
    <w:name w:val="Piè di pagina Carattere"/>
    <w:basedOn w:val="Carpredefinitoparagrafo"/>
    <w:link w:val="Pidipagina"/>
    <w:uiPriority w:val="99"/>
    <w:qFormat/>
    <w:rsid w:val="0037239D"/>
    <w:rPr>
      <w:rFonts w:asciiTheme="minorHAnsi" w:eastAsiaTheme="minorHAnsi" w:hAnsiTheme="minorHAnsi" w:cstheme="minorBidi"/>
      <w:sz w:val="22"/>
      <w:szCs w:val="22"/>
      <w:lang w:val="en-US" w:eastAsia="en-US"/>
    </w:rPr>
  </w:style>
  <w:style w:type="character" w:customStyle="1" w:styleId="Menzionenonrisolta1">
    <w:name w:val="Menzione non risolta1"/>
    <w:basedOn w:val="Carpredefinitoparagrafo"/>
    <w:uiPriority w:val="99"/>
    <w:semiHidden/>
    <w:unhideWhenUsed/>
    <w:qFormat/>
    <w:rsid w:val="00F76B92"/>
    <w:rPr>
      <w:color w:val="605E5C"/>
      <w:shd w:val="clear" w:color="auto" w:fill="E1DFDD"/>
    </w:rPr>
  </w:style>
  <w:style w:type="character" w:styleId="Rimandocommento">
    <w:name w:val="annotation reference"/>
    <w:basedOn w:val="Carpredefinitoparagrafo"/>
    <w:uiPriority w:val="99"/>
    <w:semiHidden/>
    <w:unhideWhenUsed/>
    <w:qFormat/>
    <w:rsid w:val="00142B61"/>
    <w:rPr>
      <w:sz w:val="16"/>
      <w:szCs w:val="16"/>
    </w:rPr>
  </w:style>
  <w:style w:type="character" w:customStyle="1" w:styleId="TestocommentoCarattere">
    <w:name w:val="Testo commento Carattere"/>
    <w:basedOn w:val="Carpredefinitoparagrafo"/>
    <w:link w:val="Testocommento"/>
    <w:uiPriority w:val="99"/>
    <w:semiHidden/>
    <w:qFormat/>
    <w:rsid w:val="00142B61"/>
  </w:style>
  <w:style w:type="character" w:customStyle="1" w:styleId="SoggettocommentoCarattere">
    <w:name w:val="Soggetto commento Carattere"/>
    <w:basedOn w:val="TestocommentoCarattere"/>
    <w:link w:val="Soggettocommento"/>
    <w:uiPriority w:val="99"/>
    <w:semiHidden/>
    <w:qFormat/>
    <w:rsid w:val="00142B61"/>
    <w:rPr>
      <w:b/>
      <w:bCs/>
    </w:rPr>
  </w:style>
  <w:style w:type="character" w:customStyle="1" w:styleId="Saltoaindice">
    <w:name w:val="Salto a indice"/>
    <w:qFormat/>
  </w:style>
  <w:style w:type="character" w:customStyle="1" w:styleId="Caratterinotaapidipagina">
    <w:name w:val="Caratteri nota a piè di pagina"/>
    <w:qFormat/>
    <w:rsid w:val="000336A3"/>
  </w:style>
  <w:style w:type="character" w:customStyle="1" w:styleId="PreformattatoHTMLCarattere">
    <w:name w:val="Preformattato HTML Carattere"/>
    <w:basedOn w:val="Carpredefinitoparagrafo"/>
    <w:link w:val="PreformattatoHTML"/>
    <w:qFormat/>
    <w:rsid w:val="000336A3"/>
    <w:rPr>
      <w:rFonts w:ascii="Courier New" w:eastAsia="SimSun" w:hAnsi="Courier New" w:cs="Courier New"/>
      <w:color w:val="00000A"/>
      <w:szCs w:val="24"/>
      <w:lang w:bidi="hi-IN"/>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UnresolvedMention">
    <w:name w:val="Unresolved Mention"/>
    <w:basedOn w:val="Carpredefinitoparagrafo"/>
    <w:uiPriority w:val="99"/>
    <w:semiHidden/>
    <w:unhideWhenUsed/>
    <w:qFormat/>
    <w:rsid w:val="002F5C53"/>
    <w:rPr>
      <w:color w:val="605E5C"/>
      <w:shd w:val="clear" w:color="auto" w:fill="E1DFDD"/>
    </w:rPr>
  </w:style>
  <w:style w:type="character" w:customStyle="1" w:styleId="CollegamentoInternetvisitato">
    <w:name w:val="Collegamento Internet visitato"/>
    <w:basedOn w:val="Carpredefinitoparagrafo"/>
    <w:uiPriority w:val="99"/>
    <w:semiHidden/>
    <w:unhideWhenUsed/>
    <w:rsid w:val="00717E35"/>
    <w:rPr>
      <w:color w:val="800080" w:themeColor="followedHyperlink"/>
      <w:u w:val="single"/>
    </w:rPr>
  </w:style>
  <w:style w:type="character" w:styleId="Numeropagina">
    <w:name w:val="page number"/>
    <w:basedOn w:val="Carpredefinitoparagrafo"/>
    <w:qFormat/>
    <w:rsid w:val="0042338D"/>
  </w:style>
  <w:style w:type="character" w:customStyle="1" w:styleId="Numerazionerighe">
    <w:name w:val="Numerazione righe"/>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896103"/>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3okretinonero">
    <w:name w:val="3 ok retino nero"/>
    <w:basedOn w:val="Normale"/>
    <w:qFormat/>
    <w:pPr>
      <w:pBdr>
        <w:top w:val="single" w:sz="12" w:space="0" w:color="000000"/>
      </w:pBdr>
      <w:jc w:val="both"/>
    </w:pPr>
    <w:rPr>
      <w:rFonts w:ascii="Times" w:hAnsi="Times"/>
      <w:b/>
      <w:i/>
      <w:caps/>
      <w:sz w:val="22"/>
      <w:szCs w:val="20"/>
    </w:rPr>
  </w:style>
  <w:style w:type="paragraph" w:customStyle="1" w:styleId="4maiuscolo">
    <w:name w:val="4 maiuscolo"/>
    <w:basedOn w:val="Normale"/>
    <w:qFormat/>
    <w:pPr>
      <w:jc w:val="both"/>
    </w:pPr>
    <w:rPr>
      <w:rFonts w:ascii="Times" w:hAnsi="Times"/>
      <w:b/>
      <w:caps/>
      <w:sz w:val="22"/>
      <w:szCs w:val="20"/>
    </w:rPr>
  </w:style>
  <w:style w:type="paragraph" w:styleId="Rientrocorpodeltesto">
    <w:name w:val="Body Text Indent"/>
    <w:basedOn w:val="Normale"/>
    <w:semiHidden/>
    <w:pPr>
      <w:ind w:firstLine="397"/>
      <w:jc w:val="both"/>
    </w:pPr>
    <w:rPr>
      <w:rFonts w:ascii="Times" w:hAnsi="Times"/>
      <w:sz w:val="22"/>
      <w:szCs w:val="20"/>
    </w:rPr>
  </w:style>
  <w:style w:type="paragraph" w:styleId="Titoloindice">
    <w:name w:val="index heading"/>
    <w:basedOn w:val="Titolo"/>
  </w:style>
  <w:style w:type="paragraph" w:styleId="Titolosommario">
    <w:name w:val="TOC Heading"/>
    <w:basedOn w:val="Titolo1"/>
    <w:uiPriority w:val="39"/>
    <w:unhideWhenUsed/>
    <w:qFormat/>
    <w:rsid w:val="00AE675F"/>
    <w:pPr>
      <w:outlineLvl w:val="9"/>
    </w:pPr>
    <w:rPr>
      <w:lang w:bidi="en-US"/>
    </w:rPr>
  </w:style>
  <w:style w:type="paragraph" w:styleId="Sommario1">
    <w:name w:val="toc 1"/>
    <w:basedOn w:val="Normale"/>
    <w:autoRedefine/>
    <w:uiPriority w:val="39"/>
    <w:unhideWhenUsed/>
    <w:rsid w:val="00AE675F"/>
    <w:pPr>
      <w:tabs>
        <w:tab w:val="right" w:leader="dot" w:pos="9628"/>
      </w:tabs>
      <w:spacing w:after="100" w:line="276" w:lineRule="auto"/>
      <w:ind w:left="426"/>
    </w:pPr>
    <w:rPr>
      <w:rFonts w:ascii="Calibri" w:hAnsi="Calibri"/>
      <w:color w:val="5A5A5A"/>
      <w:sz w:val="22"/>
      <w:szCs w:val="22"/>
    </w:rPr>
  </w:style>
  <w:style w:type="paragraph" w:styleId="NormaleWeb">
    <w:name w:val="Normal (Web)"/>
    <w:basedOn w:val="Normale"/>
    <w:uiPriority w:val="99"/>
    <w:semiHidden/>
    <w:unhideWhenUsed/>
    <w:qFormat/>
    <w:rsid w:val="009A22A4"/>
    <w:pPr>
      <w:spacing w:beforeAutospacing="1" w:afterAutospacing="1"/>
    </w:pPr>
  </w:style>
  <w:style w:type="paragraph" w:styleId="Paragrafoelenco">
    <w:name w:val="List Paragraph"/>
    <w:basedOn w:val="Normale"/>
    <w:uiPriority w:val="34"/>
    <w:qFormat/>
    <w:rsid w:val="009A22A4"/>
    <w:pPr>
      <w:ind w:left="720"/>
      <w:contextualSpacing/>
    </w:pPr>
  </w:style>
  <w:style w:type="paragraph" w:customStyle="1" w:styleId="Default">
    <w:name w:val="Default"/>
    <w:qFormat/>
    <w:rsid w:val="00672857"/>
    <w:rPr>
      <w:rFonts w:ascii="Arial" w:hAnsi="Arial" w:cs="Arial"/>
      <w:color w:val="000000"/>
      <w:sz w:val="24"/>
      <w:szCs w:val="24"/>
    </w:rPr>
  </w:style>
  <w:style w:type="paragraph" w:styleId="Rientrocorpodeltesto3">
    <w:name w:val="Body Text Indent 3"/>
    <w:basedOn w:val="Normale"/>
    <w:link w:val="Rientrocorpodeltesto3Carattere"/>
    <w:uiPriority w:val="99"/>
    <w:semiHidden/>
    <w:unhideWhenUsed/>
    <w:qFormat/>
    <w:rsid w:val="00672857"/>
    <w:pPr>
      <w:spacing w:after="120"/>
      <w:ind w:left="283"/>
    </w:pPr>
    <w:rPr>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672857"/>
    <w:pPr>
      <w:tabs>
        <w:tab w:val="center" w:pos="4819"/>
        <w:tab w:val="right" w:pos="9638"/>
      </w:tabs>
    </w:pPr>
  </w:style>
  <w:style w:type="paragraph" w:styleId="Testofumetto">
    <w:name w:val="Balloon Text"/>
    <w:basedOn w:val="Normale"/>
    <w:link w:val="TestofumettoCarattere"/>
    <w:uiPriority w:val="99"/>
    <w:semiHidden/>
    <w:unhideWhenUsed/>
    <w:qFormat/>
    <w:rsid w:val="001B140F"/>
    <w:rPr>
      <w:rFonts w:ascii="Tahoma" w:hAnsi="Tahoma" w:cs="Tahoma"/>
      <w:sz w:val="16"/>
      <w:szCs w:val="16"/>
    </w:rPr>
  </w:style>
  <w:style w:type="paragraph" w:styleId="Testonotaapidipagina">
    <w:name w:val="footnote text"/>
    <w:basedOn w:val="Normale"/>
    <w:link w:val="TestonotaapidipaginaCarattere"/>
    <w:rsid w:val="00EF03DD"/>
    <w:pPr>
      <w:jc w:val="both"/>
    </w:pPr>
    <w:rPr>
      <w:sz w:val="20"/>
      <w:szCs w:val="20"/>
    </w:rPr>
  </w:style>
  <w:style w:type="paragraph" w:styleId="Pidipagina">
    <w:name w:val="footer"/>
    <w:basedOn w:val="Normale"/>
    <w:link w:val="PidipaginaCarattere"/>
    <w:uiPriority w:val="99"/>
    <w:unhideWhenUsed/>
    <w:rsid w:val="0037239D"/>
    <w:pPr>
      <w:widowControl w:val="0"/>
      <w:tabs>
        <w:tab w:val="center" w:pos="4819"/>
        <w:tab w:val="right" w:pos="9638"/>
      </w:tabs>
    </w:pPr>
    <w:rPr>
      <w:rFonts w:asciiTheme="minorHAnsi" w:eastAsiaTheme="minorHAnsi" w:hAnsiTheme="minorHAnsi" w:cstheme="minorBidi"/>
      <w:sz w:val="22"/>
      <w:szCs w:val="22"/>
      <w:lang w:val="en-US" w:eastAsia="en-US"/>
    </w:rPr>
  </w:style>
  <w:style w:type="paragraph" w:styleId="Testocommento">
    <w:name w:val="annotation text"/>
    <w:basedOn w:val="Normale"/>
    <w:link w:val="TestocommentoCarattere"/>
    <w:uiPriority w:val="99"/>
    <w:semiHidden/>
    <w:unhideWhenUsed/>
    <w:qFormat/>
    <w:rsid w:val="00142B61"/>
    <w:rPr>
      <w:sz w:val="20"/>
      <w:szCs w:val="20"/>
    </w:rPr>
  </w:style>
  <w:style w:type="paragraph" w:styleId="Soggettocommento">
    <w:name w:val="annotation subject"/>
    <w:basedOn w:val="Testocommento"/>
    <w:link w:val="SoggettocommentoCarattere"/>
    <w:uiPriority w:val="99"/>
    <w:semiHidden/>
    <w:unhideWhenUsed/>
    <w:qFormat/>
    <w:rsid w:val="00142B61"/>
    <w:rPr>
      <w:b/>
      <w:bCs/>
    </w:rPr>
  </w:style>
  <w:style w:type="paragraph" w:customStyle="1" w:styleId="Contenutocornice">
    <w:name w:val="Contenuto cornice"/>
    <w:basedOn w:val="Normale"/>
    <w:qFormat/>
  </w:style>
  <w:style w:type="paragraph" w:styleId="Revisione">
    <w:name w:val="Revision"/>
    <w:uiPriority w:val="99"/>
    <w:semiHidden/>
    <w:qFormat/>
    <w:rsid w:val="005364A7"/>
    <w:rPr>
      <w:sz w:val="24"/>
      <w:szCs w:val="24"/>
    </w:rPr>
  </w:style>
  <w:style w:type="paragraph" w:styleId="PreformattatoHTML">
    <w:name w:val="HTML Preformatted"/>
    <w:basedOn w:val="Normale"/>
    <w:link w:val="PreformattatoHTMLCarattere"/>
    <w:qFormat/>
    <w:rsid w:val="000336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00000A"/>
      <w:sz w:val="20"/>
      <w:lang w:bidi="hi-IN"/>
    </w:rPr>
  </w:style>
  <w:style w:type="paragraph" w:styleId="Nessunaspaziatura">
    <w:name w:val="No Spacing"/>
    <w:uiPriority w:val="1"/>
    <w:qFormat/>
    <w:rsid w:val="009C50B1"/>
    <w:pPr>
      <w:widowControl w:val="0"/>
      <w:suppressAutoHyphens w:val="0"/>
    </w:pPr>
    <w:rPr>
      <w:rFonts w:ascii="Courier New" w:eastAsia="Courier New" w:hAnsi="Courier New" w:cs="Courier New"/>
      <w:color w:val="000000"/>
      <w:sz w:val="24"/>
      <w:szCs w:val="24"/>
      <w:lang w:bidi="it-IT"/>
    </w:rPr>
  </w:style>
  <w:style w:type="character" w:customStyle="1" w:styleId="Intestazione2">
    <w:name w:val="Intestazione #2_"/>
    <w:link w:val="Intestazione20"/>
    <w:rsid w:val="009C50B1"/>
    <w:rPr>
      <w:b/>
      <w:bCs/>
      <w:shd w:val="clear" w:color="auto" w:fill="FFFFFF"/>
    </w:rPr>
  </w:style>
  <w:style w:type="paragraph" w:customStyle="1" w:styleId="Intestazione20">
    <w:name w:val="Intestazione #2"/>
    <w:basedOn w:val="Normale"/>
    <w:link w:val="Intestazione2"/>
    <w:rsid w:val="009C50B1"/>
    <w:pPr>
      <w:widowControl w:val="0"/>
      <w:shd w:val="clear" w:color="auto" w:fill="FFFFFF"/>
      <w:suppressAutoHyphens w:val="0"/>
      <w:spacing w:before="240" w:after="300" w:line="0" w:lineRule="atLeast"/>
      <w:ind w:hanging="6"/>
      <w:jc w:val="both"/>
      <w:outlineLvl w:val="1"/>
    </w:pPr>
    <w:rPr>
      <w:b/>
      <w:bCs/>
      <w:sz w:val="20"/>
      <w:szCs w:val="20"/>
    </w:rPr>
  </w:style>
  <w:style w:type="character" w:styleId="Collegamentoipertestuale">
    <w:name w:val="Hyperlink"/>
    <w:uiPriority w:val="99"/>
    <w:unhideWhenUsed/>
    <w:rsid w:val="009C50B1"/>
    <w:rPr>
      <w:color w:val="0000FF"/>
      <w:u w:val="single"/>
    </w:rPr>
  </w:style>
  <w:style w:type="paragraph" w:styleId="Sommario2">
    <w:name w:val="toc 2"/>
    <w:basedOn w:val="Normale"/>
    <w:next w:val="Normale"/>
    <w:autoRedefine/>
    <w:uiPriority w:val="39"/>
    <w:unhideWhenUsed/>
    <w:rsid w:val="00AB21B1"/>
    <w:pPr>
      <w:spacing w:after="100"/>
      <w:ind w:left="240"/>
    </w:pPr>
  </w:style>
  <w:style w:type="character" w:customStyle="1" w:styleId="Corpodeltesto10">
    <w:name w:val="Corpo del testo (10)_"/>
    <w:link w:val="Corpodeltesto100"/>
    <w:rsid w:val="009816FC"/>
    <w:rPr>
      <w:i/>
      <w:iCs/>
      <w:shd w:val="clear" w:color="auto" w:fill="FFFFFF"/>
    </w:rPr>
  </w:style>
  <w:style w:type="character" w:customStyle="1" w:styleId="Corpodeltesto10Noncorsivo">
    <w:name w:val="Corpo del testo (10) + Non corsivo"/>
    <w:rsid w:val="009816FC"/>
    <w:rPr>
      <w:rFonts w:ascii="Times New Roman" w:eastAsia="Times New Roman" w:hAnsi="Times New Roman" w:cs="Times New Roman"/>
      <w:i/>
      <w:iCs/>
      <w:color w:val="000000"/>
      <w:spacing w:val="0"/>
      <w:w w:val="100"/>
      <w:position w:val="0"/>
      <w:sz w:val="24"/>
      <w:szCs w:val="24"/>
      <w:shd w:val="clear" w:color="auto" w:fill="FFFFFF"/>
      <w:lang w:val="it-IT" w:eastAsia="it-IT" w:bidi="it-IT"/>
    </w:rPr>
  </w:style>
  <w:style w:type="paragraph" w:customStyle="1" w:styleId="Corpodeltesto100">
    <w:name w:val="Corpo del testo (10)"/>
    <w:basedOn w:val="Normale"/>
    <w:link w:val="Corpodeltesto10"/>
    <w:rsid w:val="009816FC"/>
    <w:pPr>
      <w:widowControl w:val="0"/>
      <w:shd w:val="clear" w:color="auto" w:fill="FFFFFF"/>
      <w:suppressAutoHyphens w:val="0"/>
      <w:spacing w:line="274" w:lineRule="exact"/>
      <w:ind w:hanging="5"/>
      <w:jc w:val="both"/>
    </w:pPr>
    <w:rPr>
      <w:i/>
      <w:iCs/>
      <w:sz w:val="20"/>
      <w:szCs w:val="20"/>
    </w:rPr>
  </w:style>
  <w:style w:type="character" w:styleId="Collegamentovisitato">
    <w:name w:val="FollowedHyperlink"/>
    <w:basedOn w:val="Carpredefinitoparagrafo"/>
    <w:uiPriority w:val="99"/>
    <w:semiHidden/>
    <w:unhideWhenUsed/>
    <w:rsid w:val="00DB52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7157">
      <w:bodyDiv w:val="1"/>
      <w:marLeft w:val="0"/>
      <w:marRight w:val="0"/>
      <w:marTop w:val="0"/>
      <w:marBottom w:val="0"/>
      <w:divBdr>
        <w:top w:val="none" w:sz="0" w:space="0" w:color="auto"/>
        <w:left w:val="none" w:sz="0" w:space="0" w:color="auto"/>
        <w:bottom w:val="none" w:sz="0" w:space="0" w:color="auto"/>
        <w:right w:val="none" w:sz="0" w:space="0" w:color="auto"/>
      </w:divBdr>
    </w:div>
    <w:div w:id="223756292">
      <w:bodyDiv w:val="1"/>
      <w:marLeft w:val="0"/>
      <w:marRight w:val="0"/>
      <w:marTop w:val="0"/>
      <w:marBottom w:val="0"/>
      <w:divBdr>
        <w:top w:val="none" w:sz="0" w:space="0" w:color="auto"/>
        <w:left w:val="none" w:sz="0" w:space="0" w:color="auto"/>
        <w:bottom w:val="none" w:sz="0" w:space="0" w:color="auto"/>
        <w:right w:val="none" w:sz="0" w:space="0" w:color="auto"/>
      </w:divBdr>
    </w:div>
    <w:div w:id="791561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rvizi.gpdp.it/databreach/s/" TargetMode="External"/><Relationship Id="rId13" Type="http://schemas.openxmlformats.org/officeDocument/2006/relationships/hyperlink" Target="https://ec.europa.eu/newsroom/article29/items/612052/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zi.gpdp.it/databreach/resource/1629905132000/DB_Istruzion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zi.gpdp.it/databreach/s/istruzioni" TargetMode="External"/><Relationship Id="rId5" Type="http://schemas.openxmlformats.org/officeDocument/2006/relationships/webSettings" Target="webSettings.xml"/><Relationship Id="rId15" Type="http://schemas.openxmlformats.org/officeDocument/2006/relationships/hyperlink" Target="https://edpb.europa.eu/our-work-tools/documents/public-consultations/2022/guidelines-92022-personal-data-breach_en" TargetMode="External"/><Relationship Id="rId10" Type="http://schemas.openxmlformats.org/officeDocument/2006/relationships/hyperlink" Target="https://servizi.gpdp.it/databreach/s/self-assess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aranteprivacy.it/garante/doc.jsp?ID=9667201" TargetMode="External"/><Relationship Id="rId14" Type="http://schemas.openxmlformats.org/officeDocument/2006/relationships/hyperlink" Target="https://edpb.europa.eu/our-work-tools/our-documents/guidelines/guidelines-012021-examples-regarding-personal-data-breach_e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330D8-4AAB-48B5-BBC4-51D315CE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6195</Words>
  <Characters>35314</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Battista Gallus</dc:creator>
  <dc:description/>
  <cp:lastModifiedBy>Alessia Porta</cp:lastModifiedBy>
  <cp:revision>2</cp:revision>
  <dcterms:created xsi:type="dcterms:W3CDTF">2025-12-01T10:37:00Z</dcterms:created>
  <dcterms:modified xsi:type="dcterms:W3CDTF">2025-12-01T10:37:00Z</dcterms:modified>
  <dc:language>it-IT</dc:language>
</cp:coreProperties>
</file>