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46481D" w14:textId="77777777" w:rsidR="00362ECB" w:rsidRPr="002453DD" w:rsidRDefault="00362ECB" w:rsidP="00362ECB">
      <w:pPr>
        <w:spacing w:after="0" w:line="240" w:lineRule="auto"/>
        <w:jc w:val="center"/>
        <w:rPr>
          <w:rFonts w:asciiTheme="minorHAnsi" w:hAnsiTheme="minorHAnsi" w:cstheme="minorHAnsi"/>
          <w:b/>
          <w:sz w:val="28"/>
          <w:szCs w:val="28"/>
        </w:rPr>
      </w:pPr>
      <w:r w:rsidRPr="002453DD">
        <w:rPr>
          <w:rFonts w:asciiTheme="minorHAnsi" w:hAnsiTheme="minorHAnsi" w:cstheme="minorHAnsi"/>
          <w:b/>
          <w:sz w:val="28"/>
          <w:szCs w:val="28"/>
        </w:rPr>
        <w:t>NUCLEO DI VALUTAZIONE</w:t>
      </w:r>
    </w:p>
    <w:p w14:paraId="1D4960F8" w14:textId="4D847FF5" w:rsidR="004E3FEA" w:rsidRPr="002453DD" w:rsidRDefault="00362ECB" w:rsidP="00362ECB">
      <w:pPr>
        <w:spacing w:after="0" w:line="240" w:lineRule="auto"/>
        <w:jc w:val="center"/>
        <w:rPr>
          <w:rFonts w:asciiTheme="minorHAnsi" w:hAnsiTheme="minorHAnsi" w:cstheme="minorHAnsi"/>
          <w:sz w:val="28"/>
          <w:szCs w:val="28"/>
        </w:rPr>
      </w:pPr>
      <w:r w:rsidRPr="002453DD">
        <w:rPr>
          <w:rFonts w:asciiTheme="minorHAnsi" w:hAnsiTheme="minorHAnsi" w:cstheme="minorHAnsi"/>
          <w:b/>
          <w:sz w:val="28"/>
          <w:szCs w:val="28"/>
        </w:rPr>
        <w:t xml:space="preserve">COMUNE DI </w:t>
      </w:r>
      <w:r w:rsidR="006A2130">
        <w:rPr>
          <w:rFonts w:asciiTheme="minorHAnsi" w:hAnsiTheme="minorHAnsi" w:cstheme="minorHAnsi"/>
          <w:b/>
          <w:sz w:val="28"/>
          <w:szCs w:val="28"/>
        </w:rPr>
        <w:t>BARATILI SAN PIETRO</w:t>
      </w:r>
    </w:p>
    <w:p w14:paraId="2319DB2B" w14:textId="77777777" w:rsidR="004E3FEA" w:rsidRPr="002453DD" w:rsidRDefault="00782E5B" w:rsidP="00602524">
      <w:pPr>
        <w:spacing w:before="240" w:after="240" w:line="320" w:lineRule="exact"/>
        <w:jc w:val="center"/>
        <w:rPr>
          <w:rFonts w:asciiTheme="minorHAnsi" w:hAnsiTheme="minorHAnsi" w:cstheme="minorHAnsi"/>
          <w:b/>
          <w:bCs/>
          <w:sz w:val="22"/>
          <w:szCs w:val="22"/>
        </w:rPr>
      </w:pPr>
      <w:r w:rsidRPr="002453DD">
        <w:rPr>
          <w:rFonts w:asciiTheme="minorHAnsi" w:hAnsiTheme="minorHAnsi" w:cstheme="minorHAnsi"/>
          <w:b/>
          <w:bCs/>
          <w:sz w:val="22"/>
          <w:szCs w:val="22"/>
        </w:rPr>
        <w:t xml:space="preserve">Documento di attestazione </w:t>
      </w:r>
    </w:p>
    <w:p w14:paraId="0DFEC387" w14:textId="48F164C7" w:rsidR="0019236F" w:rsidRPr="00987C24" w:rsidRDefault="0019236F" w:rsidP="0019236F">
      <w:pPr>
        <w:pStyle w:val="Paragrafoelenco"/>
        <w:numPr>
          <w:ilvl w:val="0"/>
          <w:numId w:val="1"/>
        </w:numPr>
        <w:tabs>
          <w:tab w:val="left" w:pos="0"/>
        </w:tabs>
        <w:spacing w:before="120" w:after="0" w:line="276" w:lineRule="auto"/>
        <w:ind w:left="717"/>
        <w:rPr>
          <w:rFonts w:ascii="Titillium" w:hAnsi="Titillium" w:cs="Times New Roman"/>
          <w:color w:val="000000" w:themeColor="text1"/>
          <w:sz w:val="20"/>
          <w:szCs w:val="20"/>
        </w:rPr>
      </w:pPr>
      <w:r>
        <w:rPr>
          <w:rFonts w:ascii="Titillium" w:hAnsi="Titillium" w:cs="Times New Roman"/>
          <w:sz w:val="20"/>
          <w:szCs w:val="20"/>
        </w:rPr>
        <w:t>Il Nucleo di Valutazione</w:t>
      </w:r>
      <w:r w:rsidRPr="00C5488A">
        <w:rPr>
          <w:rFonts w:ascii="Titillium" w:hAnsi="Titillium" w:cs="Times New Roman"/>
          <w:sz w:val="20"/>
          <w:szCs w:val="20"/>
        </w:rPr>
        <w:t xml:space="preserve"> </w:t>
      </w:r>
      <w:r>
        <w:rPr>
          <w:rFonts w:ascii="Titillium" w:hAnsi="Titillium" w:cs="Times New Roman"/>
          <w:sz w:val="20"/>
          <w:szCs w:val="20"/>
        </w:rPr>
        <w:t xml:space="preserve">del Comune di </w:t>
      </w:r>
      <w:r w:rsidR="006A2130">
        <w:rPr>
          <w:rFonts w:ascii="Titillium" w:hAnsi="Titillium" w:cs="Times New Roman"/>
          <w:sz w:val="20"/>
          <w:szCs w:val="20"/>
        </w:rPr>
        <w:t>BARATILI SAN PIETRO</w:t>
      </w:r>
      <w:r w:rsidRPr="00C5488A">
        <w:rPr>
          <w:rFonts w:ascii="Titillium" w:hAnsi="Titillium" w:cs="Times New Roman"/>
          <w:sz w:val="20"/>
          <w:szCs w:val="20"/>
        </w:rPr>
        <w:t xml:space="preserve"> ha effettuato, ai sensi dell’art. 14, co. 4, </w:t>
      </w:r>
      <w:proofErr w:type="spellStart"/>
      <w:r w:rsidRPr="00C5488A">
        <w:rPr>
          <w:rFonts w:ascii="Titillium" w:hAnsi="Titillium" w:cs="Times New Roman"/>
          <w:sz w:val="20"/>
          <w:szCs w:val="20"/>
        </w:rPr>
        <w:t>lett</w:t>
      </w:r>
      <w:proofErr w:type="spellEnd"/>
      <w:r w:rsidRPr="00C5488A">
        <w:rPr>
          <w:rFonts w:ascii="Titillium" w:hAnsi="Titillium" w:cs="Times New Roman"/>
          <w:sz w:val="20"/>
          <w:szCs w:val="20"/>
        </w:rPr>
        <w:t xml:space="preserve">. g), del d.lgs. n. 150/2009 e delle </w:t>
      </w:r>
      <w:r w:rsidRPr="00C5488A">
        <w:rPr>
          <w:rFonts w:ascii="Titillium" w:hAnsi="Titillium" w:cs="Times New Roman"/>
          <w:b/>
          <w:sz w:val="20"/>
          <w:szCs w:val="20"/>
        </w:rPr>
        <w:t xml:space="preserve">delibere ANAC n. 1310/2016 e n. </w:t>
      </w:r>
      <w:r>
        <w:rPr>
          <w:rFonts w:ascii="Titillium" w:hAnsi="Titillium" w:cs="Times New Roman"/>
          <w:b/>
          <w:sz w:val="20"/>
          <w:szCs w:val="20"/>
        </w:rPr>
        <w:t>201</w:t>
      </w:r>
      <w:r w:rsidRPr="00C5488A">
        <w:rPr>
          <w:rFonts w:ascii="Titillium" w:hAnsi="Titillium" w:cs="Times New Roman"/>
          <w:b/>
          <w:sz w:val="20"/>
          <w:szCs w:val="20"/>
        </w:rPr>
        <w:t>/202</w:t>
      </w:r>
      <w:r>
        <w:rPr>
          <w:rFonts w:ascii="Titillium" w:hAnsi="Titillium" w:cs="Times New Roman"/>
          <w:b/>
          <w:sz w:val="20"/>
          <w:szCs w:val="20"/>
        </w:rPr>
        <w:t>2</w:t>
      </w:r>
      <w:r w:rsidRPr="00C5488A">
        <w:rPr>
          <w:rFonts w:ascii="Titillium" w:hAnsi="Titillium" w:cs="Times New Roman"/>
          <w:b/>
          <w:sz w:val="20"/>
          <w:szCs w:val="20"/>
        </w:rPr>
        <w:t xml:space="preserve">, </w:t>
      </w:r>
      <w:r w:rsidRPr="00C5488A">
        <w:rPr>
          <w:rFonts w:ascii="Titillium" w:hAnsi="Titillium" w:cs="Times New Roman"/>
          <w:sz w:val="20"/>
          <w:szCs w:val="20"/>
        </w:rPr>
        <w:t xml:space="preserve">la verifica sulla pubblicazione, sulla completezza, </w:t>
      </w:r>
      <w:r w:rsidRPr="00987C24">
        <w:rPr>
          <w:rFonts w:ascii="Titillium" w:hAnsi="Titillium" w:cs="Times New Roman"/>
          <w:color w:val="000000" w:themeColor="text1"/>
          <w:sz w:val="20"/>
          <w:szCs w:val="20"/>
        </w:rPr>
        <w:t xml:space="preserve">sull’aggiornamento e sull’apertura del formato di ciascun documento, dato ed informazione elencati nell’Allegato 2.1.A (e Allegato 2.1.B per amministrazioni ed enti con uffici periferici) – Griglia di rilevazione al </w:t>
      </w:r>
      <w:r w:rsidRPr="006F7903">
        <w:rPr>
          <w:rFonts w:ascii="Titillium" w:hAnsi="Titillium" w:cs="Times New Roman"/>
          <w:b/>
          <w:color w:val="000000" w:themeColor="text1"/>
          <w:sz w:val="20"/>
          <w:szCs w:val="20"/>
        </w:rPr>
        <w:t xml:space="preserve">31 maggio 2022 </w:t>
      </w:r>
      <w:r w:rsidRPr="006F7903">
        <w:rPr>
          <w:rFonts w:ascii="Titillium" w:hAnsi="Titillium" w:cs="Times New Roman"/>
          <w:color w:val="000000" w:themeColor="text1"/>
          <w:sz w:val="20"/>
          <w:szCs w:val="20"/>
        </w:rPr>
        <w:t>della</w:t>
      </w:r>
      <w:r w:rsidRPr="00987C24">
        <w:rPr>
          <w:rFonts w:ascii="Titillium" w:hAnsi="Titillium" w:cs="Times New Roman"/>
          <w:color w:val="000000" w:themeColor="text1"/>
          <w:sz w:val="20"/>
          <w:szCs w:val="20"/>
        </w:rPr>
        <w:t xml:space="preserve"> delibera n. </w:t>
      </w:r>
      <w:r>
        <w:rPr>
          <w:rFonts w:ascii="Titillium" w:hAnsi="Titillium" w:cs="Times New Roman"/>
          <w:color w:val="000000" w:themeColor="text1"/>
          <w:sz w:val="20"/>
          <w:szCs w:val="20"/>
        </w:rPr>
        <w:t>201</w:t>
      </w:r>
      <w:r w:rsidRPr="00987C24">
        <w:rPr>
          <w:rFonts w:ascii="Titillium" w:hAnsi="Titillium" w:cs="Times New Roman"/>
          <w:color w:val="000000" w:themeColor="text1"/>
          <w:sz w:val="20"/>
          <w:szCs w:val="20"/>
        </w:rPr>
        <w:t>/202</w:t>
      </w:r>
      <w:r>
        <w:rPr>
          <w:rFonts w:ascii="Titillium" w:hAnsi="Titillium" w:cs="Times New Roman"/>
          <w:color w:val="000000" w:themeColor="text1"/>
          <w:sz w:val="20"/>
          <w:szCs w:val="20"/>
        </w:rPr>
        <w:t>2</w:t>
      </w:r>
      <w:r w:rsidRPr="00987C24">
        <w:rPr>
          <w:rFonts w:ascii="Titillium" w:hAnsi="Titillium" w:cs="Times New Roman"/>
          <w:color w:val="000000" w:themeColor="text1"/>
          <w:sz w:val="20"/>
          <w:szCs w:val="20"/>
        </w:rPr>
        <w:t>.</w:t>
      </w:r>
    </w:p>
    <w:p w14:paraId="019FC440" w14:textId="12B43563" w:rsidR="0019236F" w:rsidRPr="00C5488A" w:rsidRDefault="0019236F" w:rsidP="0019236F">
      <w:pPr>
        <w:pStyle w:val="Paragrafoelenco"/>
        <w:numPr>
          <w:ilvl w:val="0"/>
          <w:numId w:val="1"/>
        </w:numPr>
        <w:tabs>
          <w:tab w:val="left" w:pos="0"/>
        </w:tabs>
        <w:spacing w:before="120" w:after="0" w:line="276" w:lineRule="auto"/>
        <w:ind w:left="717"/>
        <w:rPr>
          <w:rFonts w:ascii="Titillium" w:hAnsi="Titillium" w:cs="Times New Roman"/>
          <w:sz w:val="20"/>
          <w:szCs w:val="20"/>
        </w:rPr>
      </w:pPr>
      <w:r>
        <w:rPr>
          <w:rFonts w:ascii="Titillium" w:hAnsi="Titillium" w:cs="Times New Roman"/>
          <w:sz w:val="20"/>
          <w:szCs w:val="20"/>
        </w:rPr>
        <w:t>Il Nucleo di Valutazione</w:t>
      </w:r>
      <w:r w:rsidRPr="00C5488A">
        <w:rPr>
          <w:rFonts w:ascii="Titillium" w:hAnsi="Titillium" w:cs="Times New Roman"/>
          <w:sz w:val="20"/>
          <w:szCs w:val="20"/>
        </w:rPr>
        <w:t xml:space="preserve"> ha svolto gli accertamenti:</w:t>
      </w:r>
    </w:p>
    <w:p w14:paraId="6938732F" w14:textId="77777777" w:rsidR="0019236F" w:rsidRPr="00C5488A" w:rsidRDefault="0019236F" w:rsidP="0019236F">
      <w:pPr>
        <w:pStyle w:val="Paragrafoelenco"/>
        <w:tabs>
          <w:tab w:val="left" w:pos="0"/>
        </w:tabs>
        <w:spacing w:before="120" w:after="0" w:line="276" w:lineRule="auto"/>
        <w:ind w:left="717" w:firstLine="0"/>
        <w:rPr>
          <w:rFonts w:ascii="Titillium" w:hAnsi="Titillium" w:cs="Times New Roman"/>
          <w:sz w:val="20"/>
          <w:szCs w:val="20"/>
        </w:rPr>
      </w:pPr>
      <w:r w:rsidRPr="00C5488A">
        <w:rPr>
          <w:rFonts w:ascii="Courier New" w:hAnsi="Courier New" w:cs="Courier New"/>
          <w:sz w:val="20"/>
          <w:szCs w:val="20"/>
        </w:rPr>
        <w:t>□</w:t>
      </w:r>
      <w:r w:rsidRPr="00C5488A">
        <w:rPr>
          <w:rFonts w:ascii="Titillium" w:hAnsi="Titillium" w:cs="Times New Roman"/>
          <w:sz w:val="20"/>
          <w:szCs w:val="20"/>
        </w:rPr>
        <w:t xml:space="preserve"> tenendo anche conto dei risultati e degli elementi emersi dall’attività di controllo sull’assolvimento degli obblighi di pubblicazione svolta dal Responsabile della prevenzione della corruzione e della trasparenza ai sensi dell’art. 43, co. 1, del d.lgs. n. 33/2013</w:t>
      </w:r>
    </w:p>
    <w:p w14:paraId="0129B738" w14:textId="2F70C272" w:rsidR="0019236F" w:rsidRPr="00C5488A" w:rsidRDefault="0019236F" w:rsidP="0019236F">
      <w:pPr>
        <w:pStyle w:val="Paragrafoelenco"/>
        <w:spacing w:before="120" w:after="0" w:line="276" w:lineRule="auto"/>
        <w:ind w:left="360" w:firstLine="0"/>
        <w:rPr>
          <w:rFonts w:ascii="Titillium" w:hAnsi="Titillium" w:cs="Times New Roman"/>
          <w:sz w:val="20"/>
          <w:szCs w:val="20"/>
        </w:rPr>
      </w:pPr>
      <w:r w:rsidRPr="00C5488A">
        <w:rPr>
          <w:rFonts w:ascii="Titillium" w:hAnsi="Titillium" w:cs="Times New Roman"/>
          <w:sz w:val="20"/>
          <w:szCs w:val="20"/>
        </w:rPr>
        <w:t xml:space="preserve">Sulla base di quanto sopra, </w:t>
      </w:r>
      <w:r>
        <w:rPr>
          <w:rFonts w:ascii="Titillium" w:hAnsi="Titillium" w:cs="Times New Roman"/>
          <w:sz w:val="20"/>
          <w:szCs w:val="20"/>
        </w:rPr>
        <w:t>il Nucleo di Valutazione</w:t>
      </w:r>
      <w:r w:rsidRPr="00C5488A">
        <w:rPr>
          <w:rFonts w:ascii="Titillium" w:hAnsi="Titillium" w:cs="Times New Roman"/>
          <w:sz w:val="20"/>
          <w:szCs w:val="20"/>
        </w:rPr>
        <w:t xml:space="preserve">, ai sensi dell’art. 14, co. 4, </w:t>
      </w:r>
      <w:proofErr w:type="spellStart"/>
      <w:r w:rsidRPr="00C5488A">
        <w:rPr>
          <w:rFonts w:ascii="Titillium" w:hAnsi="Titillium" w:cs="Times New Roman"/>
          <w:sz w:val="20"/>
          <w:szCs w:val="20"/>
        </w:rPr>
        <w:t>lett</w:t>
      </w:r>
      <w:proofErr w:type="spellEnd"/>
      <w:r w:rsidRPr="00C5488A">
        <w:rPr>
          <w:rFonts w:ascii="Titillium" w:hAnsi="Titillium" w:cs="Times New Roman"/>
          <w:sz w:val="20"/>
          <w:szCs w:val="20"/>
        </w:rPr>
        <w:t>. g), del d.lgs. n. 150/2009</w:t>
      </w:r>
    </w:p>
    <w:p w14:paraId="1B224D5E" w14:textId="77777777" w:rsidR="0019236F" w:rsidRPr="00C5488A" w:rsidRDefault="0019236F" w:rsidP="00D57F04">
      <w:pPr>
        <w:pStyle w:val="Paragrafoelenco"/>
        <w:spacing w:before="120" w:after="0" w:line="276" w:lineRule="auto"/>
        <w:ind w:left="360" w:firstLine="0"/>
        <w:rPr>
          <w:rFonts w:ascii="Titillium" w:hAnsi="Titillium" w:cs="Times New Roman"/>
          <w:sz w:val="20"/>
          <w:szCs w:val="20"/>
        </w:rPr>
      </w:pPr>
    </w:p>
    <w:p w14:paraId="413BA884" w14:textId="77777777" w:rsidR="004E3FEA" w:rsidRPr="002453DD" w:rsidRDefault="00782E5B" w:rsidP="00814479">
      <w:pPr>
        <w:spacing w:before="120" w:after="0"/>
        <w:ind w:left="426"/>
        <w:jc w:val="center"/>
        <w:rPr>
          <w:rFonts w:asciiTheme="minorHAnsi" w:hAnsiTheme="minorHAnsi" w:cstheme="minorHAnsi"/>
          <w:b/>
          <w:sz w:val="22"/>
          <w:szCs w:val="22"/>
        </w:rPr>
      </w:pPr>
      <w:r w:rsidRPr="002453DD">
        <w:rPr>
          <w:rFonts w:asciiTheme="minorHAnsi" w:hAnsiTheme="minorHAnsi" w:cstheme="minorHAnsi"/>
          <w:b/>
          <w:sz w:val="22"/>
          <w:szCs w:val="22"/>
        </w:rPr>
        <w:t>ATTESTA</w:t>
      </w:r>
      <w:r w:rsidR="00851A73" w:rsidRPr="002453DD">
        <w:rPr>
          <w:rFonts w:asciiTheme="minorHAnsi" w:hAnsiTheme="minorHAnsi" w:cstheme="minorHAnsi"/>
          <w:b/>
          <w:sz w:val="22"/>
          <w:szCs w:val="22"/>
        </w:rPr>
        <w:t xml:space="preserve"> CHE</w:t>
      </w:r>
    </w:p>
    <w:p w14:paraId="517BBE40" w14:textId="6D532639" w:rsidR="0019236F" w:rsidRPr="005912E7" w:rsidRDefault="0019236F" w:rsidP="0019236F">
      <w:pPr>
        <w:pStyle w:val="Paragrafoelenco"/>
        <w:widowControl/>
        <w:spacing w:before="120" w:after="0"/>
        <w:ind w:left="709" w:firstLine="0"/>
        <w:rPr>
          <w:rFonts w:ascii="Titillium" w:hAnsi="Titillium"/>
          <w:sz w:val="20"/>
          <w:szCs w:val="20"/>
        </w:rPr>
      </w:pPr>
      <w:r w:rsidRPr="00C5488A">
        <w:rPr>
          <w:rFonts w:ascii="Courier New" w:hAnsi="Courier New" w:cs="Courier New"/>
          <w:sz w:val="20"/>
          <w:szCs w:val="20"/>
        </w:rPr>
        <w:t>□</w:t>
      </w:r>
      <w:r>
        <w:rPr>
          <w:rFonts w:ascii="Courier New" w:hAnsi="Courier New" w:cs="Courier New"/>
          <w:sz w:val="20"/>
          <w:szCs w:val="20"/>
        </w:rPr>
        <w:t xml:space="preserve"> </w:t>
      </w:r>
      <w:r w:rsidRPr="002453DD">
        <w:rPr>
          <w:rFonts w:asciiTheme="minorHAnsi" w:hAnsiTheme="minorHAnsi" w:cstheme="minorHAnsi"/>
          <w:caps/>
          <w:sz w:val="22"/>
          <w:szCs w:val="22"/>
        </w:rPr>
        <w:t>l’E</w:t>
      </w:r>
      <w:r w:rsidRPr="002453DD">
        <w:rPr>
          <w:rFonts w:asciiTheme="minorHAnsi" w:hAnsiTheme="minorHAnsi" w:cstheme="minorHAnsi"/>
          <w:sz w:val="22"/>
          <w:szCs w:val="22"/>
        </w:rPr>
        <w:t>nte</w:t>
      </w:r>
      <w:r w:rsidRPr="00C5488A">
        <w:rPr>
          <w:rFonts w:ascii="Titillium" w:hAnsi="Titillium"/>
          <w:sz w:val="20"/>
          <w:szCs w:val="20"/>
        </w:rPr>
        <w:t xml:space="preserve"> ha individuato misure organizzative che assicurano il regolare funzionamento dei flussi informativi per la pubblicazione dei dati nella sezione “</w:t>
      </w:r>
      <w:r w:rsidRPr="00C5488A">
        <w:rPr>
          <w:rFonts w:ascii="Titillium" w:hAnsi="Titillium"/>
          <w:i/>
          <w:sz w:val="20"/>
          <w:szCs w:val="20"/>
        </w:rPr>
        <w:t>Amministrazione trasparente</w:t>
      </w:r>
      <w:r w:rsidRPr="00C5488A">
        <w:rPr>
          <w:rFonts w:ascii="Titillium" w:hAnsi="Titillium"/>
          <w:sz w:val="20"/>
          <w:szCs w:val="20"/>
        </w:rPr>
        <w:t>”</w:t>
      </w:r>
      <w:r>
        <w:rPr>
          <w:rFonts w:ascii="Titillium" w:hAnsi="Titillium"/>
          <w:sz w:val="20"/>
          <w:szCs w:val="20"/>
        </w:rPr>
        <w:t xml:space="preserve"> </w:t>
      </w:r>
      <w:r w:rsidRPr="005912E7">
        <w:rPr>
          <w:rFonts w:ascii="Titillium" w:hAnsi="Titillium"/>
          <w:sz w:val="20"/>
          <w:szCs w:val="20"/>
        </w:rPr>
        <w:t>limitatamente alle sotto sezioni collegate con i gestionali;</w:t>
      </w:r>
    </w:p>
    <w:p w14:paraId="17BF703D" w14:textId="4F674E78" w:rsidR="0019236F" w:rsidRPr="006A2130" w:rsidRDefault="0019236F" w:rsidP="006A2130">
      <w:pPr>
        <w:pStyle w:val="Paragrafoelenco"/>
        <w:widowControl/>
        <w:spacing w:before="120" w:after="0" w:line="276" w:lineRule="auto"/>
        <w:ind w:left="388" w:firstLine="320"/>
        <w:rPr>
          <w:rFonts w:ascii="Titillium" w:hAnsi="Titillium"/>
          <w:sz w:val="20"/>
          <w:szCs w:val="20"/>
        </w:rPr>
      </w:pPr>
      <w:r w:rsidRPr="00C5488A">
        <w:rPr>
          <w:rFonts w:ascii="Courier New" w:hAnsi="Courier New" w:cs="Courier New"/>
          <w:sz w:val="20"/>
          <w:szCs w:val="20"/>
        </w:rPr>
        <w:t>□</w:t>
      </w:r>
      <w:r w:rsidRPr="00C5488A">
        <w:rPr>
          <w:rFonts w:ascii="Titillium" w:hAnsi="Titillium" w:cs="Times New Roman"/>
          <w:sz w:val="20"/>
          <w:szCs w:val="20"/>
        </w:rPr>
        <w:t xml:space="preserve"> </w:t>
      </w:r>
      <w:r w:rsidRPr="002453DD">
        <w:rPr>
          <w:rFonts w:asciiTheme="minorHAnsi" w:hAnsiTheme="minorHAnsi" w:cstheme="minorHAnsi"/>
          <w:caps/>
          <w:sz w:val="22"/>
          <w:szCs w:val="22"/>
        </w:rPr>
        <w:t>l’E</w:t>
      </w:r>
      <w:r w:rsidRPr="002453DD">
        <w:rPr>
          <w:rFonts w:asciiTheme="minorHAnsi" w:hAnsiTheme="minorHAnsi" w:cstheme="minorHAnsi"/>
          <w:sz w:val="22"/>
          <w:szCs w:val="22"/>
        </w:rPr>
        <w:t>nte</w:t>
      </w:r>
      <w:r w:rsidRPr="00C5488A">
        <w:rPr>
          <w:rFonts w:ascii="Titillium" w:hAnsi="Titillium"/>
          <w:sz w:val="20"/>
          <w:szCs w:val="20"/>
        </w:rPr>
        <w:t xml:space="preserve"> ha individuato nella sezione Trasparenza del PTPCT i responsabili della trasmissione e della pubblicazione dei documenti, delle informazioni e dei dati ai sensi dell’art. 10 del d.lgs. 33/2013;</w:t>
      </w:r>
    </w:p>
    <w:p w14:paraId="26418D8F" w14:textId="66452466" w:rsidR="0019236F" w:rsidRPr="00C5488A" w:rsidRDefault="0019236F" w:rsidP="0019236F">
      <w:pPr>
        <w:pStyle w:val="Paragrafoelenco"/>
        <w:spacing w:before="120" w:after="0" w:line="276" w:lineRule="auto"/>
        <w:ind w:left="388" w:firstLine="320"/>
        <w:rPr>
          <w:rFonts w:ascii="Titillium" w:hAnsi="Titillium"/>
          <w:sz w:val="20"/>
          <w:szCs w:val="20"/>
        </w:rPr>
      </w:pPr>
      <w:r w:rsidRPr="00C5488A">
        <w:rPr>
          <w:rFonts w:ascii="Courier New" w:hAnsi="Courier New" w:cs="Courier New"/>
          <w:sz w:val="20"/>
          <w:szCs w:val="20"/>
        </w:rPr>
        <w:t>□</w:t>
      </w:r>
      <w:r w:rsidRPr="00C5488A">
        <w:rPr>
          <w:rFonts w:ascii="Titillium" w:hAnsi="Titillium"/>
          <w:sz w:val="20"/>
          <w:szCs w:val="20"/>
        </w:rPr>
        <w:t xml:space="preserve"> </w:t>
      </w:r>
      <w:r w:rsidRPr="002453DD">
        <w:rPr>
          <w:rFonts w:asciiTheme="minorHAnsi" w:hAnsiTheme="minorHAnsi" w:cstheme="minorHAnsi"/>
          <w:caps/>
          <w:sz w:val="22"/>
          <w:szCs w:val="22"/>
        </w:rPr>
        <w:t>l’E</w:t>
      </w:r>
      <w:r w:rsidRPr="002453DD">
        <w:rPr>
          <w:rFonts w:asciiTheme="minorHAnsi" w:hAnsiTheme="minorHAnsi" w:cstheme="minorHAnsi"/>
          <w:sz w:val="22"/>
          <w:szCs w:val="22"/>
        </w:rPr>
        <w:t>nte</w:t>
      </w:r>
      <w:r w:rsidRPr="00C5488A">
        <w:rPr>
          <w:rFonts w:ascii="Titillium" w:hAnsi="Titillium"/>
          <w:sz w:val="20"/>
          <w:szCs w:val="20"/>
        </w:rPr>
        <w:t xml:space="preserve"> NON ha disposto filtri </w:t>
      </w:r>
      <w:r w:rsidRPr="00C5488A">
        <w:rPr>
          <w:rFonts w:ascii="Titillium" w:eastAsiaTheme="minorHAnsi" w:hAnsi="Titillium" w:cstheme="minorBidi"/>
          <w:sz w:val="20"/>
          <w:szCs w:val="20"/>
          <w:lang w:eastAsia="en-US"/>
        </w:rPr>
        <w:t xml:space="preserve">e/o </w:t>
      </w:r>
      <w:r w:rsidRPr="00C5488A">
        <w:rPr>
          <w:rFonts w:ascii="Titillium" w:hAnsi="Titillium"/>
          <w:sz w:val="20"/>
          <w:szCs w:val="20"/>
        </w:rPr>
        <w:t xml:space="preserve">altre soluzioni tecniche atte ad impedire ai motori di ricerca </w:t>
      </w:r>
      <w:r w:rsidRPr="00C5488A">
        <w:rPr>
          <w:rFonts w:ascii="Titillium" w:hAnsi="Titillium"/>
          <w:i/>
          <w:sz w:val="20"/>
          <w:szCs w:val="20"/>
        </w:rPr>
        <w:t>web</w:t>
      </w:r>
      <w:r w:rsidRPr="00C5488A">
        <w:rPr>
          <w:rFonts w:ascii="Titillium" w:hAnsi="Titillium"/>
          <w:sz w:val="20"/>
          <w:szCs w:val="20"/>
        </w:rPr>
        <w:t xml:space="preserve"> di indicizzare ed effettuare ricerche all’interno della sezione AT, salvo le ipotesi consentite dalla normativa vigente;</w:t>
      </w:r>
    </w:p>
    <w:p w14:paraId="72D787A5" w14:textId="77777777" w:rsidR="0019236F" w:rsidRPr="005E4F33" w:rsidRDefault="0019236F" w:rsidP="005926EA">
      <w:pPr>
        <w:pStyle w:val="Paragrafoelenco"/>
        <w:widowControl/>
        <w:spacing w:before="120" w:after="0"/>
        <w:ind w:left="0" w:firstLine="0"/>
        <w:rPr>
          <w:rFonts w:asciiTheme="minorHAnsi" w:hAnsiTheme="minorHAnsi" w:cstheme="minorHAnsi"/>
          <w:sz w:val="22"/>
          <w:szCs w:val="22"/>
        </w:rPr>
      </w:pPr>
    </w:p>
    <w:p w14:paraId="073EC262" w14:textId="77777777" w:rsidR="00851A73" w:rsidRPr="002453DD" w:rsidRDefault="00851A73" w:rsidP="00814479">
      <w:pPr>
        <w:pStyle w:val="Paragrafoelenco"/>
        <w:widowControl/>
        <w:spacing w:before="120" w:after="0"/>
        <w:ind w:left="0" w:firstLine="0"/>
        <w:jc w:val="center"/>
        <w:rPr>
          <w:rFonts w:asciiTheme="minorHAnsi" w:hAnsiTheme="minorHAnsi" w:cstheme="minorHAnsi"/>
          <w:color w:val="FF0000"/>
          <w:sz w:val="22"/>
          <w:szCs w:val="22"/>
        </w:rPr>
      </w:pPr>
      <w:r w:rsidRPr="002453DD">
        <w:rPr>
          <w:rFonts w:asciiTheme="minorHAnsi" w:hAnsiTheme="minorHAnsi" w:cstheme="minorHAnsi"/>
          <w:b/>
          <w:sz w:val="22"/>
          <w:szCs w:val="22"/>
        </w:rPr>
        <w:t>ATTESTA</w:t>
      </w:r>
    </w:p>
    <w:p w14:paraId="0DB3DA4F" w14:textId="0DA2AE75" w:rsidR="004E3FEA" w:rsidRPr="002453DD" w:rsidRDefault="00782E5B" w:rsidP="00814479">
      <w:pPr>
        <w:pStyle w:val="Paragrafoelenco"/>
        <w:widowControl/>
        <w:spacing w:before="120" w:after="0"/>
        <w:ind w:left="0" w:firstLine="0"/>
        <w:rPr>
          <w:rFonts w:asciiTheme="minorHAnsi" w:hAnsiTheme="minorHAnsi" w:cstheme="minorHAnsi"/>
          <w:sz w:val="22"/>
          <w:szCs w:val="22"/>
        </w:rPr>
      </w:pPr>
      <w:proofErr w:type="gramStart"/>
      <w:r w:rsidRPr="002453DD">
        <w:rPr>
          <w:rFonts w:asciiTheme="minorHAnsi" w:hAnsiTheme="minorHAnsi" w:cstheme="minorHAnsi"/>
          <w:sz w:val="22"/>
          <w:szCs w:val="22"/>
        </w:rPr>
        <w:t>la</w:t>
      </w:r>
      <w:proofErr w:type="gramEnd"/>
      <w:r w:rsidRPr="002453DD">
        <w:rPr>
          <w:rFonts w:asciiTheme="minorHAnsi" w:hAnsiTheme="minorHAnsi" w:cstheme="minorHAnsi"/>
          <w:sz w:val="22"/>
          <w:szCs w:val="22"/>
        </w:rPr>
        <w:t xml:space="preserve"> veridicità</w:t>
      </w:r>
      <w:r w:rsidR="00066D41" w:rsidRPr="002453DD">
        <w:rPr>
          <w:rStyle w:val="Rimandonotaapidipagina"/>
        </w:rPr>
        <w:footnoteReference w:id="1"/>
      </w:r>
      <w:r w:rsidR="00066D41" w:rsidRPr="002453DD">
        <w:rPr>
          <w:rFonts w:asciiTheme="minorHAnsi" w:hAnsiTheme="minorHAnsi" w:cstheme="minorHAnsi"/>
          <w:sz w:val="22"/>
          <w:szCs w:val="22"/>
        </w:rPr>
        <w:t xml:space="preserve"> </w:t>
      </w:r>
      <w:r w:rsidRPr="002453DD">
        <w:rPr>
          <w:rFonts w:asciiTheme="minorHAnsi" w:hAnsiTheme="minorHAnsi" w:cstheme="minorHAnsi"/>
          <w:sz w:val="22"/>
          <w:szCs w:val="22"/>
        </w:rPr>
        <w:t xml:space="preserve">e l’attendibilità, </w:t>
      </w:r>
      <w:r w:rsidR="007923DF" w:rsidRPr="002453DD">
        <w:rPr>
          <w:rFonts w:asciiTheme="minorHAnsi" w:hAnsiTheme="minorHAnsi" w:cstheme="minorHAnsi"/>
          <w:sz w:val="22"/>
          <w:szCs w:val="22"/>
        </w:rPr>
        <w:t>alla data dell’attestazione, di quanto riportato nella griglia di cui all’Allegato 2.1.</w:t>
      </w:r>
      <w:r w:rsidR="007923DF" w:rsidRPr="002453DD">
        <w:rPr>
          <w:rFonts w:asciiTheme="minorHAnsi" w:hAnsiTheme="minorHAnsi" w:cstheme="minorHAnsi"/>
          <w:color w:val="FF0000"/>
          <w:sz w:val="22"/>
          <w:szCs w:val="22"/>
        </w:rPr>
        <w:t xml:space="preserve"> </w:t>
      </w:r>
      <w:proofErr w:type="gramStart"/>
      <w:r w:rsidR="007923DF" w:rsidRPr="002453DD">
        <w:rPr>
          <w:rFonts w:asciiTheme="minorHAnsi" w:hAnsiTheme="minorHAnsi" w:cstheme="minorHAnsi"/>
          <w:sz w:val="22"/>
          <w:szCs w:val="22"/>
        </w:rPr>
        <w:t>rispetto</w:t>
      </w:r>
      <w:proofErr w:type="gramEnd"/>
      <w:r w:rsidR="007923DF" w:rsidRPr="002453DD">
        <w:rPr>
          <w:rFonts w:asciiTheme="minorHAnsi" w:hAnsiTheme="minorHAnsi" w:cstheme="minorHAnsi"/>
          <w:sz w:val="22"/>
          <w:szCs w:val="22"/>
        </w:rPr>
        <w:t xml:space="preserve"> a quanto pubblicato sul sito dell’Ente</w:t>
      </w:r>
      <w:r w:rsidRPr="002453DD">
        <w:rPr>
          <w:rFonts w:asciiTheme="minorHAnsi" w:hAnsiTheme="minorHAnsi" w:cstheme="minorHAnsi"/>
          <w:sz w:val="22"/>
          <w:szCs w:val="22"/>
        </w:rPr>
        <w:t>.</w:t>
      </w:r>
    </w:p>
    <w:p w14:paraId="47CABEB9" w14:textId="77777777" w:rsidR="004E3FEA" w:rsidRPr="002453DD" w:rsidRDefault="007923DF" w:rsidP="00814479">
      <w:pPr>
        <w:widowControl/>
        <w:rPr>
          <w:rFonts w:asciiTheme="minorHAnsi" w:hAnsiTheme="minorHAnsi" w:cstheme="minorHAnsi"/>
          <w:sz w:val="22"/>
          <w:szCs w:val="22"/>
        </w:rPr>
      </w:pPr>
      <w:r w:rsidRPr="002453DD">
        <w:rPr>
          <w:rFonts w:asciiTheme="minorHAnsi" w:hAnsiTheme="minorHAnsi" w:cstheme="minorHAnsi"/>
          <w:sz w:val="22"/>
          <w:szCs w:val="22"/>
        </w:rPr>
        <w:t>La griglia, la presente attestazione e la relativa scheda di sintesi dovranno essere pubblicati sul sito Internet dell’Ente, nella sezione “</w:t>
      </w:r>
      <w:r w:rsidRPr="002453DD">
        <w:rPr>
          <w:rFonts w:asciiTheme="minorHAnsi" w:hAnsiTheme="minorHAnsi" w:cstheme="minorHAnsi"/>
          <w:i/>
          <w:sz w:val="22"/>
          <w:szCs w:val="22"/>
        </w:rPr>
        <w:t>Amministrazione trasparente</w:t>
      </w:r>
      <w:r w:rsidRPr="002453DD">
        <w:rPr>
          <w:rFonts w:asciiTheme="minorHAnsi" w:hAnsiTheme="minorHAnsi" w:cstheme="minorHAnsi"/>
          <w:sz w:val="22"/>
          <w:szCs w:val="22"/>
        </w:rPr>
        <w:t>”, sotto-sezione di primo livello “Controlli e rilievi sull'amministrazione”, sotto-sezione di secondo livello “</w:t>
      </w:r>
      <w:r w:rsidRPr="002453DD">
        <w:rPr>
          <w:rFonts w:asciiTheme="minorHAnsi" w:hAnsiTheme="minorHAnsi" w:cstheme="minorHAnsi"/>
          <w:i/>
          <w:sz w:val="22"/>
          <w:szCs w:val="22"/>
        </w:rPr>
        <w:t>Organismi indipendenti di valutazione, Nuclei di valutazione o altri organismi con funzioni analoghe</w:t>
      </w:r>
      <w:r w:rsidRPr="002453DD">
        <w:rPr>
          <w:rFonts w:asciiTheme="minorHAnsi" w:hAnsiTheme="minorHAnsi" w:cstheme="minorHAnsi"/>
          <w:sz w:val="22"/>
          <w:szCs w:val="22"/>
        </w:rPr>
        <w:t>” denominazione dell’obbligo “</w:t>
      </w:r>
      <w:r w:rsidRPr="002453DD">
        <w:rPr>
          <w:rFonts w:asciiTheme="minorHAnsi" w:hAnsiTheme="minorHAnsi" w:cstheme="minorHAnsi"/>
          <w:i/>
          <w:sz w:val="22"/>
          <w:szCs w:val="22"/>
        </w:rPr>
        <w:t>Atti degli Organismi indipendenti di valutazione, nuclei di valutazione o altri organismi con funzioni analoghe- Attestazione dell'OIV o di altra struttura analoga nell'assolvimento degli obblighi di pubblicazione</w:t>
      </w:r>
      <w:r w:rsidRPr="002453DD">
        <w:rPr>
          <w:rFonts w:asciiTheme="minorHAnsi" w:hAnsiTheme="minorHAnsi" w:cstheme="minorHAnsi"/>
          <w:sz w:val="22"/>
          <w:szCs w:val="22"/>
        </w:rPr>
        <w:t>”.</w:t>
      </w:r>
    </w:p>
    <w:p w14:paraId="4803979F" w14:textId="3FD32F1E" w:rsidR="00747FDE" w:rsidRPr="002453DD" w:rsidRDefault="00782E5B" w:rsidP="00814479">
      <w:pPr>
        <w:spacing w:before="120" w:after="0" w:line="320" w:lineRule="exact"/>
        <w:jc w:val="left"/>
        <w:rPr>
          <w:rFonts w:asciiTheme="minorHAnsi" w:hAnsiTheme="minorHAnsi" w:cstheme="minorHAnsi"/>
          <w:sz w:val="22"/>
          <w:szCs w:val="22"/>
        </w:rPr>
      </w:pPr>
      <w:r w:rsidRPr="006A2130">
        <w:rPr>
          <w:rFonts w:asciiTheme="minorHAnsi" w:hAnsiTheme="minorHAnsi" w:cstheme="minorHAnsi"/>
          <w:sz w:val="22"/>
          <w:szCs w:val="22"/>
        </w:rPr>
        <w:t xml:space="preserve">Data </w:t>
      </w:r>
      <w:r w:rsidR="006A2130">
        <w:rPr>
          <w:rFonts w:asciiTheme="minorHAnsi" w:hAnsiTheme="minorHAnsi" w:cstheme="minorHAnsi"/>
          <w:sz w:val="22"/>
          <w:szCs w:val="22"/>
        </w:rPr>
        <w:t>20.06.2022</w:t>
      </w:r>
    </w:p>
    <w:p w14:paraId="4CDC957D" w14:textId="77777777" w:rsidR="00AD1E08" w:rsidRPr="002453DD" w:rsidRDefault="00AD1E08" w:rsidP="00AD1E08">
      <w:pPr>
        <w:spacing w:after="240" w:line="360" w:lineRule="auto"/>
        <w:jc w:val="center"/>
        <w:rPr>
          <w:rFonts w:asciiTheme="minorHAnsi" w:hAnsiTheme="minorHAnsi" w:cstheme="minorHAnsi"/>
          <w:b/>
          <w:sz w:val="22"/>
          <w:szCs w:val="22"/>
        </w:rPr>
      </w:pPr>
      <w:r w:rsidRPr="002453DD">
        <w:rPr>
          <w:rFonts w:asciiTheme="minorHAnsi" w:hAnsiTheme="minorHAnsi" w:cstheme="minorHAnsi"/>
          <w:b/>
          <w:sz w:val="22"/>
          <w:szCs w:val="22"/>
        </w:rPr>
        <w:t>Il Nucleo di Valutazione</w:t>
      </w:r>
    </w:p>
    <w:tbl>
      <w:tblPr>
        <w:tblW w:w="0" w:type="auto"/>
        <w:tblCellMar>
          <w:left w:w="70" w:type="dxa"/>
          <w:right w:w="70" w:type="dxa"/>
        </w:tblCellMar>
        <w:tblLook w:val="0000" w:firstRow="0" w:lastRow="0" w:firstColumn="0" w:lastColumn="0" w:noHBand="0" w:noVBand="0"/>
      </w:tblPr>
      <w:tblGrid>
        <w:gridCol w:w="3259"/>
        <w:gridCol w:w="3259"/>
        <w:gridCol w:w="3260"/>
      </w:tblGrid>
      <w:tr w:rsidR="00AD1E08" w:rsidRPr="002453DD" w14:paraId="1138777C" w14:textId="77777777" w:rsidTr="005F62B0">
        <w:tc>
          <w:tcPr>
            <w:tcW w:w="3259" w:type="dxa"/>
          </w:tcPr>
          <w:p w14:paraId="455FB760" w14:textId="678313B3" w:rsidR="006B3D42" w:rsidRPr="002453DD" w:rsidRDefault="006B3D42" w:rsidP="005F62B0">
            <w:pPr>
              <w:spacing w:after="0" w:line="240" w:lineRule="auto"/>
              <w:jc w:val="center"/>
              <w:rPr>
                <w:rFonts w:asciiTheme="minorHAnsi" w:hAnsiTheme="minorHAnsi" w:cstheme="minorHAnsi"/>
                <w:sz w:val="22"/>
                <w:szCs w:val="22"/>
              </w:rPr>
            </w:pPr>
          </w:p>
        </w:tc>
        <w:tc>
          <w:tcPr>
            <w:tcW w:w="3259" w:type="dxa"/>
          </w:tcPr>
          <w:p w14:paraId="2768197C" w14:textId="0D85F350" w:rsidR="00AD1E08" w:rsidRPr="002453DD" w:rsidRDefault="00AD1E08" w:rsidP="006F5B22">
            <w:pPr>
              <w:spacing w:after="0" w:line="240" w:lineRule="auto"/>
              <w:jc w:val="center"/>
              <w:rPr>
                <w:rFonts w:asciiTheme="minorHAnsi" w:hAnsiTheme="minorHAnsi" w:cstheme="minorHAnsi"/>
                <w:sz w:val="22"/>
                <w:szCs w:val="22"/>
              </w:rPr>
            </w:pPr>
          </w:p>
        </w:tc>
        <w:tc>
          <w:tcPr>
            <w:tcW w:w="3260" w:type="dxa"/>
          </w:tcPr>
          <w:p w14:paraId="66D407B9" w14:textId="06A22D10" w:rsidR="006B3D42" w:rsidRPr="00B36826" w:rsidRDefault="00AD1E08" w:rsidP="006B3D42">
            <w:pPr>
              <w:spacing w:after="0" w:line="240" w:lineRule="auto"/>
              <w:jc w:val="center"/>
              <w:rPr>
                <w:rFonts w:asciiTheme="minorHAnsi" w:hAnsiTheme="minorHAnsi" w:cstheme="minorHAnsi"/>
                <w:sz w:val="22"/>
                <w:szCs w:val="22"/>
              </w:rPr>
            </w:pPr>
            <w:r w:rsidRPr="002453DD">
              <w:rPr>
                <w:rFonts w:asciiTheme="minorHAnsi" w:hAnsiTheme="minorHAnsi" w:cstheme="minorHAnsi"/>
                <w:sz w:val="22"/>
                <w:szCs w:val="22"/>
              </w:rPr>
              <w:t xml:space="preserve"> </w:t>
            </w:r>
            <w:r w:rsidR="005912E7">
              <w:rPr>
                <w:rFonts w:asciiTheme="minorHAnsi" w:hAnsiTheme="minorHAnsi" w:cstheme="minorHAnsi"/>
                <w:sz w:val="22"/>
                <w:szCs w:val="22"/>
              </w:rPr>
              <w:t>Dott.</w:t>
            </w:r>
            <w:r w:rsidR="006A2130">
              <w:rPr>
                <w:rFonts w:asciiTheme="minorHAnsi" w:hAnsiTheme="minorHAnsi" w:cstheme="minorHAnsi"/>
                <w:sz w:val="22"/>
                <w:szCs w:val="22"/>
              </w:rPr>
              <w:t xml:space="preserve"> Paolo Deidda</w:t>
            </w:r>
          </w:p>
          <w:p w14:paraId="5FA67DE4" w14:textId="6F391EDE" w:rsidR="00AD1E08" w:rsidRPr="002453DD" w:rsidRDefault="006B3D42" w:rsidP="006B3D42">
            <w:pPr>
              <w:spacing w:after="0" w:line="240" w:lineRule="auto"/>
              <w:jc w:val="center"/>
              <w:rPr>
                <w:rFonts w:asciiTheme="minorHAnsi" w:hAnsiTheme="minorHAnsi" w:cstheme="minorHAnsi"/>
                <w:sz w:val="22"/>
                <w:szCs w:val="22"/>
              </w:rPr>
            </w:pPr>
            <w:r w:rsidRPr="00B36826">
              <w:rPr>
                <w:rFonts w:asciiTheme="minorHAnsi" w:hAnsiTheme="minorHAnsi" w:cstheme="minorHAnsi"/>
                <w:sz w:val="22"/>
                <w:szCs w:val="22"/>
              </w:rPr>
              <w:t>Componente</w:t>
            </w:r>
            <w:r>
              <w:rPr>
                <w:rFonts w:asciiTheme="minorHAnsi" w:hAnsiTheme="minorHAnsi" w:cstheme="minorHAnsi"/>
                <w:sz w:val="22"/>
                <w:szCs w:val="22"/>
              </w:rPr>
              <w:t xml:space="preserve"> esterno</w:t>
            </w:r>
          </w:p>
        </w:tc>
      </w:tr>
    </w:tbl>
    <w:p w14:paraId="3E4C99DA" w14:textId="77777777" w:rsidR="00AD1E08" w:rsidRPr="002453DD" w:rsidRDefault="00AD1E08" w:rsidP="000B7CB8">
      <w:pPr>
        <w:spacing w:before="120" w:after="0" w:line="320" w:lineRule="exact"/>
        <w:jc w:val="right"/>
        <w:rPr>
          <w:rFonts w:asciiTheme="minorHAnsi" w:hAnsiTheme="minorHAnsi" w:cstheme="minorHAnsi"/>
          <w:sz w:val="22"/>
          <w:szCs w:val="22"/>
        </w:rPr>
      </w:pPr>
    </w:p>
    <w:p w14:paraId="1BB716D1" w14:textId="77777777" w:rsidR="00AD1E08" w:rsidRPr="002453DD" w:rsidRDefault="00AD1E08" w:rsidP="000B7CB8">
      <w:pPr>
        <w:spacing w:before="120" w:after="0" w:line="320" w:lineRule="exact"/>
        <w:jc w:val="right"/>
        <w:rPr>
          <w:rFonts w:asciiTheme="minorHAnsi" w:hAnsiTheme="minorHAnsi" w:cstheme="minorHAnsi"/>
          <w:sz w:val="22"/>
          <w:szCs w:val="22"/>
        </w:rPr>
        <w:sectPr w:rsidR="00AD1E08" w:rsidRPr="002453DD" w:rsidSect="00814479">
          <w:headerReference w:type="default" r:id="rId8"/>
          <w:pgSz w:w="11906" w:h="16838"/>
          <w:pgMar w:top="1276" w:right="1134" w:bottom="568" w:left="1134" w:header="708" w:footer="0" w:gutter="0"/>
          <w:cols w:space="720"/>
          <w:formProt w:val="0"/>
        </w:sectPr>
      </w:pPr>
    </w:p>
    <w:p w14:paraId="59F30280" w14:textId="77777777" w:rsidR="00362ECB" w:rsidRPr="002453DD" w:rsidRDefault="00362ECB" w:rsidP="00362ECB">
      <w:pPr>
        <w:pStyle w:val="Titolo"/>
        <w:pageBreakBefore/>
        <w:rPr>
          <w:rFonts w:asciiTheme="minorHAnsi" w:hAnsiTheme="minorHAnsi" w:cstheme="minorHAnsi"/>
          <w:sz w:val="22"/>
          <w:szCs w:val="22"/>
        </w:rPr>
      </w:pPr>
      <w:r w:rsidRPr="002453DD">
        <w:rPr>
          <w:rFonts w:asciiTheme="minorHAnsi" w:hAnsiTheme="minorHAnsi" w:cstheme="minorHAnsi"/>
          <w:sz w:val="22"/>
          <w:szCs w:val="22"/>
        </w:rPr>
        <w:lastRenderedPageBreak/>
        <w:t xml:space="preserve">Scheda di sintesi sulla rilevazione </w:t>
      </w:r>
      <w:r w:rsidR="001425A8">
        <w:rPr>
          <w:rFonts w:asciiTheme="minorHAnsi" w:hAnsiTheme="minorHAnsi" w:cstheme="minorHAnsi"/>
          <w:sz w:val="22"/>
          <w:szCs w:val="22"/>
        </w:rPr>
        <w:t>del Nucleo di Valutazione</w:t>
      </w:r>
    </w:p>
    <w:p w14:paraId="5AB3D9A4" w14:textId="77777777" w:rsidR="00362ECB" w:rsidRPr="002453DD" w:rsidRDefault="00362ECB" w:rsidP="00362ECB">
      <w:pPr>
        <w:pStyle w:val="Paragrafoelenco"/>
        <w:spacing w:line="360" w:lineRule="auto"/>
        <w:ind w:left="0" w:firstLine="0"/>
        <w:rPr>
          <w:rFonts w:asciiTheme="minorHAnsi" w:hAnsiTheme="minorHAnsi" w:cstheme="minorHAnsi"/>
          <w:b/>
          <w:i/>
          <w:sz w:val="22"/>
          <w:szCs w:val="22"/>
        </w:rPr>
      </w:pPr>
      <w:r w:rsidRPr="002453DD">
        <w:rPr>
          <w:rFonts w:asciiTheme="minorHAnsi" w:hAnsiTheme="minorHAnsi" w:cstheme="minorHAnsi"/>
          <w:b/>
          <w:i/>
          <w:sz w:val="22"/>
          <w:szCs w:val="22"/>
        </w:rPr>
        <w:t>Data di svolgimento della rilevazione</w:t>
      </w:r>
    </w:p>
    <w:p w14:paraId="40B14D0F" w14:textId="6B4F3D21" w:rsidR="00AD1E08" w:rsidRPr="005912E7" w:rsidRDefault="00AD1E08" w:rsidP="006A2130">
      <w:pPr>
        <w:spacing w:before="120" w:after="0" w:line="320" w:lineRule="exact"/>
        <w:jc w:val="left"/>
        <w:rPr>
          <w:rFonts w:asciiTheme="minorHAnsi" w:hAnsiTheme="minorHAnsi" w:cstheme="minorHAnsi"/>
          <w:sz w:val="22"/>
          <w:szCs w:val="22"/>
        </w:rPr>
      </w:pPr>
      <w:r w:rsidRPr="005912E7">
        <w:rPr>
          <w:rFonts w:asciiTheme="minorHAnsi" w:hAnsiTheme="minorHAnsi" w:cstheme="minorHAnsi"/>
          <w:sz w:val="22"/>
          <w:szCs w:val="22"/>
        </w:rPr>
        <w:t xml:space="preserve">Data di inizio di rilevazione: </w:t>
      </w:r>
      <w:r w:rsidR="006A2130">
        <w:rPr>
          <w:rFonts w:asciiTheme="minorHAnsi" w:hAnsiTheme="minorHAnsi" w:cstheme="minorHAnsi"/>
          <w:sz w:val="22"/>
          <w:szCs w:val="22"/>
        </w:rPr>
        <w:t>20.06.2022</w:t>
      </w:r>
    </w:p>
    <w:p w14:paraId="6CE6022D" w14:textId="3F4C4065" w:rsidR="00AD1E08" w:rsidRPr="005912E7" w:rsidRDefault="006A2130" w:rsidP="006A2130">
      <w:pPr>
        <w:spacing w:before="120" w:after="0" w:line="320" w:lineRule="exact"/>
        <w:jc w:val="left"/>
        <w:rPr>
          <w:rFonts w:asciiTheme="minorHAnsi" w:hAnsiTheme="minorHAnsi" w:cstheme="minorHAnsi"/>
          <w:sz w:val="22"/>
          <w:szCs w:val="22"/>
        </w:rPr>
      </w:pPr>
      <w:r>
        <w:rPr>
          <w:rFonts w:asciiTheme="minorHAnsi" w:hAnsiTheme="minorHAnsi" w:cstheme="minorHAnsi"/>
          <w:sz w:val="22"/>
          <w:szCs w:val="22"/>
        </w:rPr>
        <w:t xml:space="preserve">Data di attestazione: </w:t>
      </w:r>
      <w:r>
        <w:rPr>
          <w:rFonts w:asciiTheme="minorHAnsi" w:hAnsiTheme="minorHAnsi" w:cstheme="minorHAnsi"/>
          <w:sz w:val="22"/>
          <w:szCs w:val="22"/>
        </w:rPr>
        <w:t>20.06.2022</w:t>
      </w:r>
    </w:p>
    <w:p w14:paraId="4EEE6E5C" w14:textId="77777777" w:rsidR="00362ECB" w:rsidRPr="002453DD" w:rsidRDefault="00362ECB" w:rsidP="00362ECB">
      <w:pPr>
        <w:pStyle w:val="Paragrafoelenco"/>
        <w:spacing w:after="0" w:line="276" w:lineRule="auto"/>
        <w:ind w:left="720" w:firstLine="0"/>
        <w:rPr>
          <w:rFonts w:asciiTheme="minorHAnsi" w:hAnsiTheme="minorHAnsi" w:cstheme="minorHAnsi"/>
          <w:sz w:val="22"/>
          <w:szCs w:val="22"/>
        </w:rPr>
      </w:pPr>
    </w:p>
    <w:p w14:paraId="2C0C9C8F" w14:textId="77777777" w:rsidR="00AD1E08" w:rsidRPr="002453DD" w:rsidRDefault="00AD1E08" w:rsidP="00AD1E08">
      <w:pPr>
        <w:pStyle w:val="Paragrafoelenco"/>
        <w:spacing w:line="360" w:lineRule="auto"/>
        <w:ind w:left="0" w:firstLine="0"/>
        <w:rPr>
          <w:rFonts w:asciiTheme="minorHAnsi" w:hAnsiTheme="minorHAnsi" w:cstheme="minorHAnsi"/>
          <w:b/>
          <w:i/>
          <w:sz w:val="22"/>
          <w:szCs w:val="22"/>
        </w:rPr>
      </w:pPr>
      <w:r w:rsidRPr="002453DD">
        <w:rPr>
          <w:rFonts w:asciiTheme="minorHAnsi" w:hAnsiTheme="minorHAnsi" w:cstheme="minorHAnsi"/>
          <w:b/>
          <w:i/>
          <w:sz w:val="22"/>
          <w:szCs w:val="22"/>
        </w:rPr>
        <w:t xml:space="preserve">Procedure e modalità seguite per la rilevazione </w:t>
      </w:r>
    </w:p>
    <w:p w14:paraId="7ADEEB51" w14:textId="77777777" w:rsidR="00AD1E08" w:rsidRPr="002453DD" w:rsidRDefault="00AD1E08" w:rsidP="00AD1E08">
      <w:pPr>
        <w:pStyle w:val="Paragrafoelenco"/>
        <w:widowControl/>
        <w:spacing w:before="120" w:after="0"/>
        <w:ind w:left="0" w:firstLine="0"/>
        <w:rPr>
          <w:rFonts w:asciiTheme="minorHAnsi" w:hAnsiTheme="minorHAnsi" w:cstheme="minorHAnsi"/>
          <w:sz w:val="22"/>
          <w:szCs w:val="22"/>
        </w:rPr>
      </w:pPr>
      <w:r w:rsidRPr="002453DD">
        <w:rPr>
          <w:rFonts w:asciiTheme="minorHAnsi" w:hAnsiTheme="minorHAnsi" w:cstheme="minorHAnsi"/>
          <w:sz w:val="22"/>
          <w:szCs w:val="22"/>
        </w:rPr>
        <w:t xml:space="preserve">Per poter procedere alla verifica della conformità tra quanto rilevato nella Griglia e quanto pubblicato sul sito istituzionale al momento dell’attestazione, il Nucleo ha proceduto al controllo delle pagine oggetto di rilevazione, e a conservare traccia documentale (di carattere informatico) su un campione delle pubblicazioni alla data di rilevazione. </w:t>
      </w:r>
    </w:p>
    <w:p w14:paraId="54F68CAB" w14:textId="70FF3EC8" w:rsidR="00AD1E08" w:rsidRPr="002453DD" w:rsidRDefault="00AD1E08" w:rsidP="00AD1E08">
      <w:pPr>
        <w:pStyle w:val="Paragrafoelenco"/>
        <w:widowControl/>
        <w:spacing w:before="120" w:after="0"/>
        <w:ind w:left="0" w:firstLine="0"/>
        <w:rPr>
          <w:rFonts w:asciiTheme="minorHAnsi" w:hAnsiTheme="minorHAnsi" w:cstheme="minorHAnsi"/>
          <w:sz w:val="22"/>
          <w:szCs w:val="22"/>
        </w:rPr>
      </w:pPr>
      <w:r w:rsidRPr="002453DD">
        <w:rPr>
          <w:rFonts w:asciiTheme="minorHAnsi" w:hAnsiTheme="minorHAnsi" w:cstheme="minorHAnsi"/>
          <w:sz w:val="22"/>
          <w:szCs w:val="22"/>
        </w:rPr>
        <w:t>In particolare</w:t>
      </w:r>
      <w:r w:rsidR="00577017">
        <w:rPr>
          <w:rFonts w:asciiTheme="minorHAnsi" w:hAnsiTheme="minorHAnsi" w:cstheme="minorHAnsi"/>
          <w:sz w:val="22"/>
          <w:szCs w:val="22"/>
        </w:rPr>
        <w:t>,</w:t>
      </w:r>
      <w:r w:rsidRPr="002453DD">
        <w:rPr>
          <w:rFonts w:asciiTheme="minorHAnsi" w:hAnsiTheme="minorHAnsi" w:cstheme="minorHAnsi"/>
          <w:sz w:val="22"/>
          <w:szCs w:val="22"/>
        </w:rPr>
        <w:t xml:space="preserve"> è stata eseguita:</w:t>
      </w:r>
    </w:p>
    <w:p w14:paraId="6B29E391" w14:textId="77777777" w:rsidR="00577017" w:rsidRPr="005912E7" w:rsidRDefault="00577017" w:rsidP="00577017">
      <w:pPr>
        <w:pStyle w:val="Default"/>
        <w:numPr>
          <w:ilvl w:val="0"/>
          <w:numId w:val="8"/>
        </w:numPr>
        <w:pBdr>
          <w:top w:val="none" w:sz="0" w:space="0" w:color="auto"/>
          <w:left w:val="none" w:sz="0" w:space="0" w:color="auto"/>
          <w:bottom w:val="none" w:sz="0" w:space="0" w:color="auto"/>
          <w:right w:val="none" w:sz="0" w:space="0" w:color="auto"/>
        </w:pBdr>
        <w:tabs>
          <w:tab w:val="left" w:pos="0"/>
        </w:tabs>
        <w:spacing w:line="360" w:lineRule="auto"/>
        <w:jc w:val="both"/>
        <w:rPr>
          <w:rFonts w:ascii="Titillium" w:hAnsi="Titillium"/>
          <w:sz w:val="20"/>
          <w:szCs w:val="20"/>
        </w:rPr>
      </w:pPr>
      <w:proofErr w:type="gramStart"/>
      <w:r w:rsidRPr="005912E7">
        <w:rPr>
          <w:rFonts w:ascii="Titillium" w:hAnsi="Titillium"/>
          <w:sz w:val="20"/>
          <w:szCs w:val="20"/>
        </w:rPr>
        <w:t>verifica</w:t>
      </w:r>
      <w:proofErr w:type="gramEnd"/>
      <w:r w:rsidRPr="005912E7">
        <w:rPr>
          <w:rFonts w:ascii="Titillium" w:hAnsi="Titillium"/>
          <w:sz w:val="20"/>
          <w:szCs w:val="20"/>
        </w:rPr>
        <w:t xml:space="preserve"> diretta sul sito istituzionale, anche attraverso l’utilizzo di supporti informatici</w:t>
      </w:r>
    </w:p>
    <w:p w14:paraId="075ECA7A" w14:textId="77777777" w:rsidR="00577017" w:rsidRPr="00577017" w:rsidRDefault="00577017" w:rsidP="005912E7">
      <w:pPr>
        <w:pStyle w:val="Default"/>
        <w:pBdr>
          <w:top w:val="none" w:sz="0" w:space="0" w:color="auto"/>
          <w:left w:val="none" w:sz="0" w:space="0" w:color="auto"/>
          <w:bottom w:val="none" w:sz="0" w:space="0" w:color="auto"/>
          <w:right w:val="none" w:sz="0" w:space="0" w:color="auto"/>
        </w:pBdr>
        <w:tabs>
          <w:tab w:val="left" w:pos="0"/>
        </w:tabs>
        <w:spacing w:line="360" w:lineRule="auto"/>
        <w:ind w:left="360"/>
        <w:jc w:val="both"/>
        <w:rPr>
          <w:rFonts w:ascii="Titillium" w:hAnsi="Titillium"/>
          <w:sz w:val="20"/>
          <w:szCs w:val="20"/>
          <w:highlight w:val="yellow"/>
        </w:rPr>
      </w:pPr>
    </w:p>
    <w:p w14:paraId="584A56B5" w14:textId="77777777" w:rsidR="00232C07" w:rsidRPr="005912E7" w:rsidRDefault="00577017" w:rsidP="00232C07">
      <w:pPr>
        <w:pStyle w:val="Default"/>
        <w:pBdr>
          <w:top w:val="none" w:sz="0" w:space="0" w:color="auto"/>
          <w:left w:val="none" w:sz="0" w:space="0" w:color="auto"/>
          <w:bottom w:val="none" w:sz="0" w:space="0" w:color="auto"/>
          <w:right w:val="none" w:sz="0" w:space="0" w:color="auto"/>
        </w:pBdr>
        <w:tabs>
          <w:tab w:val="left" w:pos="0"/>
        </w:tabs>
        <w:spacing w:line="360" w:lineRule="auto"/>
        <w:ind w:left="360"/>
        <w:jc w:val="both"/>
        <w:rPr>
          <w:rFonts w:ascii="Titillium" w:hAnsi="Titillium"/>
          <w:sz w:val="20"/>
          <w:szCs w:val="20"/>
        </w:rPr>
      </w:pPr>
      <w:r w:rsidRPr="00577017">
        <w:rPr>
          <w:rFonts w:asciiTheme="minorHAnsi" w:hAnsiTheme="minorHAnsi" w:cstheme="minorHAnsi"/>
          <w:sz w:val="22"/>
          <w:szCs w:val="22"/>
        </w:rPr>
        <w:t xml:space="preserve"> </w:t>
      </w:r>
      <w:r w:rsidR="00641554" w:rsidRPr="00577017">
        <w:rPr>
          <w:rFonts w:asciiTheme="minorHAnsi" w:hAnsiTheme="minorHAnsi" w:cstheme="minorHAnsi"/>
          <w:sz w:val="22"/>
          <w:szCs w:val="22"/>
        </w:rPr>
        <w:t xml:space="preserve">In merito alla valutazione della colonna COMPLETEZZA DEL CONTENUTO, il Nucleo ha effettuato la verifica della completezza dei dati rispetto alle informazioni richieste dalle previsioni normative. Il Nucleo non ha inteso valutare la completezza rispetto alla quantità di casi </w:t>
      </w:r>
      <w:r w:rsidR="00232C07" w:rsidRPr="005912E7">
        <w:rPr>
          <w:rFonts w:asciiTheme="minorHAnsi" w:hAnsiTheme="minorHAnsi" w:cstheme="minorHAnsi"/>
          <w:sz w:val="22"/>
          <w:szCs w:val="22"/>
        </w:rPr>
        <w:t xml:space="preserve">esistenti (es. Consulenti e Collaboratori, Pianificazione del Territorio) </w:t>
      </w:r>
    </w:p>
    <w:p w14:paraId="1FCEAB3F" w14:textId="66FBDC86" w:rsidR="00814479" w:rsidRPr="00814479" w:rsidRDefault="00814479" w:rsidP="006E3699">
      <w:pPr>
        <w:pStyle w:val="Paragrafoelenco"/>
        <w:widowControl/>
        <w:spacing w:before="120" w:after="0"/>
        <w:ind w:left="0" w:firstLine="0"/>
        <w:rPr>
          <w:rFonts w:asciiTheme="minorHAnsi" w:hAnsiTheme="minorHAnsi" w:cstheme="minorHAnsi"/>
          <w:sz w:val="22"/>
          <w:szCs w:val="22"/>
          <w:u w:val="single"/>
        </w:rPr>
      </w:pPr>
    </w:p>
    <w:p w14:paraId="568C59EA" w14:textId="77777777" w:rsidR="00814479" w:rsidRPr="002453DD" w:rsidRDefault="00814479" w:rsidP="00814479">
      <w:pPr>
        <w:pStyle w:val="Paragrafoelenco"/>
        <w:spacing w:after="0"/>
        <w:ind w:left="0" w:firstLine="0"/>
        <w:rPr>
          <w:rFonts w:asciiTheme="minorHAnsi" w:hAnsiTheme="minorHAnsi" w:cstheme="minorHAnsi"/>
          <w:b/>
          <w:i/>
          <w:sz w:val="22"/>
          <w:szCs w:val="22"/>
        </w:rPr>
      </w:pPr>
      <w:r w:rsidRPr="002453DD">
        <w:rPr>
          <w:rFonts w:asciiTheme="minorHAnsi" w:hAnsiTheme="minorHAnsi" w:cstheme="minorHAnsi"/>
          <w:b/>
          <w:i/>
          <w:sz w:val="22"/>
          <w:szCs w:val="22"/>
        </w:rPr>
        <w:t>Estensione della rilevazione (nel caso di amministrazioni con uffici periferici)</w:t>
      </w:r>
    </w:p>
    <w:p w14:paraId="61625187" w14:textId="77777777" w:rsidR="00814479" w:rsidRPr="002453DD" w:rsidRDefault="00814479" w:rsidP="00814479">
      <w:pPr>
        <w:pStyle w:val="Paragrafoelenco"/>
        <w:spacing w:after="0"/>
        <w:ind w:left="0" w:firstLine="0"/>
        <w:rPr>
          <w:rFonts w:asciiTheme="minorHAnsi" w:hAnsiTheme="minorHAnsi" w:cstheme="minorHAnsi"/>
          <w:b/>
          <w:sz w:val="22"/>
          <w:szCs w:val="22"/>
          <w:u w:val="single"/>
        </w:rPr>
      </w:pPr>
    </w:p>
    <w:p w14:paraId="5DEC8173" w14:textId="59E8FE0B" w:rsidR="00814479" w:rsidRPr="002453DD" w:rsidRDefault="00814479" w:rsidP="00814479">
      <w:pPr>
        <w:pStyle w:val="Paragrafoelenco"/>
        <w:spacing w:line="276" w:lineRule="auto"/>
        <w:ind w:left="0" w:firstLine="0"/>
        <w:rPr>
          <w:rFonts w:asciiTheme="minorHAnsi" w:hAnsiTheme="minorHAnsi" w:cstheme="minorHAnsi"/>
          <w:sz w:val="22"/>
          <w:szCs w:val="22"/>
        </w:rPr>
      </w:pPr>
      <w:r w:rsidRPr="002453DD">
        <w:rPr>
          <w:rFonts w:asciiTheme="minorHAnsi" w:hAnsiTheme="minorHAnsi" w:cstheme="minorHAnsi"/>
          <w:sz w:val="22"/>
          <w:szCs w:val="22"/>
        </w:rPr>
        <w:t>L’Ente non è strutturato con uffici periferici e articolazioni organizzative autonome.</w:t>
      </w:r>
    </w:p>
    <w:p w14:paraId="08A6CB10" w14:textId="55783F7C" w:rsidR="00AD1E08" w:rsidRPr="006A2130" w:rsidRDefault="00362ECB" w:rsidP="006A2130">
      <w:pPr>
        <w:spacing w:line="360" w:lineRule="auto"/>
        <w:rPr>
          <w:rFonts w:asciiTheme="minorHAnsi" w:hAnsiTheme="minorHAnsi" w:cstheme="minorHAnsi"/>
          <w:b/>
          <w:i/>
          <w:sz w:val="22"/>
          <w:szCs w:val="22"/>
        </w:rPr>
      </w:pPr>
      <w:r w:rsidRPr="002453DD">
        <w:rPr>
          <w:rFonts w:asciiTheme="minorHAnsi" w:hAnsiTheme="minorHAnsi" w:cstheme="minorHAnsi"/>
          <w:b/>
          <w:i/>
          <w:sz w:val="22"/>
          <w:szCs w:val="22"/>
        </w:rPr>
        <w:t>Aspetti critici riscontrati nel corso della rilevazione</w:t>
      </w:r>
    </w:p>
    <w:p w14:paraId="01C8DC30" w14:textId="43F30076" w:rsidR="00AD1E08" w:rsidRDefault="00AD1E08" w:rsidP="00AD1E08">
      <w:pPr>
        <w:pStyle w:val="Paragrafoelenco"/>
        <w:spacing w:line="276" w:lineRule="auto"/>
        <w:ind w:left="0" w:firstLine="0"/>
        <w:rPr>
          <w:rFonts w:asciiTheme="minorHAnsi" w:hAnsiTheme="minorHAnsi" w:cstheme="minorHAnsi"/>
          <w:sz w:val="22"/>
          <w:szCs w:val="22"/>
        </w:rPr>
      </w:pPr>
      <w:bookmarkStart w:id="0" w:name="_GoBack"/>
      <w:bookmarkEnd w:id="0"/>
      <w:r w:rsidRPr="006A2130">
        <w:rPr>
          <w:rFonts w:asciiTheme="minorHAnsi" w:hAnsiTheme="minorHAnsi" w:cstheme="minorHAnsi"/>
          <w:sz w:val="22"/>
          <w:szCs w:val="22"/>
        </w:rPr>
        <w:t xml:space="preserve">Dal controllo effettuato emerge la necessità di completare l’adeguamento della struttura della sezione “Amministrazione Trasparente” ai nuovi obblighi di cui al </w:t>
      </w:r>
      <w:proofErr w:type="spellStart"/>
      <w:r w:rsidRPr="006A2130">
        <w:rPr>
          <w:rFonts w:asciiTheme="minorHAnsi" w:hAnsiTheme="minorHAnsi" w:cstheme="minorHAnsi"/>
          <w:sz w:val="22"/>
          <w:szCs w:val="22"/>
        </w:rPr>
        <w:t>D.Lgs</w:t>
      </w:r>
      <w:proofErr w:type="spellEnd"/>
      <w:r w:rsidRPr="006A2130">
        <w:rPr>
          <w:rFonts w:asciiTheme="minorHAnsi" w:hAnsiTheme="minorHAnsi" w:cstheme="minorHAnsi"/>
          <w:sz w:val="22"/>
          <w:szCs w:val="22"/>
        </w:rPr>
        <w:t xml:space="preserve"> 97/2016. </w:t>
      </w:r>
    </w:p>
    <w:p w14:paraId="404E2180" w14:textId="255BFFFC" w:rsidR="006A2130" w:rsidRPr="002453DD" w:rsidRDefault="006A2130" w:rsidP="006A2130">
      <w:pPr>
        <w:pStyle w:val="Paragrafoelenco"/>
        <w:spacing w:line="276" w:lineRule="auto"/>
        <w:ind w:left="0" w:firstLine="0"/>
        <w:rPr>
          <w:rFonts w:asciiTheme="minorHAnsi" w:hAnsiTheme="minorHAnsi" w:cstheme="minorHAnsi"/>
          <w:sz w:val="22"/>
          <w:szCs w:val="22"/>
        </w:rPr>
      </w:pPr>
      <w:r w:rsidRPr="002453DD">
        <w:rPr>
          <w:rFonts w:asciiTheme="minorHAnsi" w:hAnsiTheme="minorHAnsi" w:cstheme="minorHAnsi"/>
          <w:sz w:val="22"/>
          <w:szCs w:val="22"/>
        </w:rPr>
        <w:t>Si riscontra altresì la necessità di completare l’implementazione della sezione “Amministrazione Trasparente” con il caricamento dei dati relativi ad alcune sotto sezioni, in particolar modo</w:t>
      </w:r>
      <w:r>
        <w:rPr>
          <w:rFonts w:asciiTheme="minorHAnsi" w:hAnsiTheme="minorHAnsi" w:cstheme="minorHAnsi"/>
          <w:sz w:val="22"/>
          <w:szCs w:val="22"/>
        </w:rPr>
        <w:t xml:space="preserve"> Consulenti e Collaboratori, Enti Controllati</w:t>
      </w:r>
      <w:r w:rsidRPr="002453DD">
        <w:rPr>
          <w:rFonts w:asciiTheme="minorHAnsi" w:hAnsiTheme="minorHAnsi" w:cstheme="minorHAnsi"/>
          <w:sz w:val="22"/>
          <w:szCs w:val="22"/>
        </w:rPr>
        <w:t xml:space="preserve">). </w:t>
      </w:r>
    </w:p>
    <w:p w14:paraId="002D49F0" w14:textId="1CDAA2F5" w:rsidR="00611B63" w:rsidRPr="005912E7" w:rsidRDefault="00611B63" w:rsidP="005912E7">
      <w:pPr>
        <w:rPr>
          <w:rFonts w:asciiTheme="minorHAnsi" w:hAnsiTheme="minorHAnsi" w:cstheme="minorHAnsi"/>
          <w:sz w:val="22"/>
          <w:szCs w:val="22"/>
        </w:rPr>
      </w:pPr>
      <w:bookmarkStart w:id="1" w:name="_Hlk73979565"/>
      <w:bookmarkStart w:id="2" w:name="_Hlk74314732"/>
      <w:r w:rsidRPr="00721158">
        <w:rPr>
          <w:rFonts w:asciiTheme="minorHAnsi" w:hAnsiTheme="minorHAnsi" w:cstheme="minorHAnsi"/>
          <w:sz w:val="22"/>
          <w:szCs w:val="22"/>
        </w:rPr>
        <w:t>Si precisa, infine, che nei casi in cui l’Ente abbia esplicitato le ragioni della mancata pubblicazione con espressa indicazione sull’apposita pagina del sito istituzionale, come precisato da apposita FAQ ANAC, questo Nucleo ha provveduto ad attribuire il massimo punteggio</w:t>
      </w:r>
      <w:bookmarkEnd w:id="1"/>
      <w:r w:rsidRPr="00721158">
        <w:rPr>
          <w:rFonts w:asciiTheme="minorHAnsi" w:hAnsiTheme="minorHAnsi" w:cstheme="minorHAnsi"/>
          <w:sz w:val="22"/>
          <w:szCs w:val="22"/>
        </w:rPr>
        <w:t>.</w:t>
      </w:r>
      <w:bookmarkEnd w:id="2"/>
    </w:p>
    <w:p w14:paraId="2CD1D8F3" w14:textId="0F49CA18" w:rsidR="00AD1E08" w:rsidRPr="002453DD" w:rsidRDefault="001A0E31" w:rsidP="005912E7">
      <w:pPr>
        <w:pStyle w:val="Paragrafoelenco"/>
        <w:spacing w:line="276" w:lineRule="auto"/>
        <w:ind w:left="0" w:firstLine="0"/>
        <w:rPr>
          <w:rFonts w:asciiTheme="minorHAnsi" w:hAnsiTheme="minorHAnsi" w:cstheme="minorHAnsi"/>
          <w:sz w:val="22"/>
          <w:szCs w:val="22"/>
        </w:rPr>
      </w:pPr>
      <w:r w:rsidRPr="007464D8">
        <w:rPr>
          <w:rFonts w:asciiTheme="minorHAnsi" w:hAnsiTheme="minorHAnsi" w:cstheme="minorHAnsi"/>
          <w:sz w:val="22"/>
          <w:szCs w:val="22"/>
        </w:rPr>
        <w:t>Si evidenzia, infine, che nei casi in cui l’Ente non abbia esplicitato le ragioni della mancata pubblicazione, con espressa indicazione sull’apposita pagina del sito istituzionale, questo Nucleo ha attribuito il punteggio di 0 (zero).</w:t>
      </w:r>
    </w:p>
    <w:p w14:paraId="097CB2FB" w14:textId="77777777" w:rsidR="00362ECB" w:rsidRPr="002453DD" w:rsidRDefault="00362ECB" w:rsidP="007C7EC1">
      <w:pPr>
        <w:spacing w:line="360" w:lineRule="auto"/>
        <w:rPr>
          <w:rFonts w:asciiTheme="minorHAnsi" w:hAnsiTheme="minorHAnsi" w:cstheme="minorHAnsi"/>
          <w:b/>
          <w:sz w:val="22"/>
          <w:szCs w:val="22"/>
          <w:u w:val="single"/>
        </w:rPr>
      </w:pPr>
    </w:p>
    <w:p w14:paraId="39A44231" w14:textId="77777777" w:rsidR="004E3FEA" w:rsidRPr="00D2519E" w:rsidRDefault="004E3FEA" w:rsidP="005912E7">
      <w:pPr>
        <w:spacing w:before="120" w:after="0" w:line="320" w:lineRule="exact"/>
        <w:rPr>
          <w:rFonts w:ascii="Garamond" w:hAnsi="Garamond" w:cs="Times New Roman"/>
        </w:rPr>
      </w:pPr>
    </w:p>
    <w:sectPr w:rsidR="004E3FEA" w:rsidRPr="00D2519E" w:rsidSect="00814479">
      <w:headerReference w:type="default" r:id="rId9"/>
      <w:pgSz w:w="11906" w:h="16838"/>
      <w:pgMar w:top="1134" w:right="1134" w:bottom="708" w:left="1134" w:header="708" w:footer="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5B327" w14:textId="77777777" w:rsidR="006A2CC7" w:rsidRDefault="006A2CC7">
      <w:pPr>
        <w:spacing w:after="0" w:line="240" w:lineRule="auto"/>
      </w:pPr>
      <w:r>
        <w:separator/>
      </w:r>
    </w:p>
  </w:endnote>
  <w:endnote w:type="continuationSeparator" w:id="0">
    <w:p w14:paraId="75E78423" w14:textId="77777777" w:rsidR="006A2CC7" w:rsidRDefault="006A2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tillium">
    <w:altName w:val="Calibri"/>
    <w:panose1 w:val="00000000000000000000"/>
    <w:charset w:val="00"/>
    <w:family w:val="modern"/>
    <w:notTrueType/>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FBFF7" w14:textId="77777777" w:rsidR="006A2CC7" w:rsidRDefault="006A2CC7">
      <w:r>
        <w:separator/>
      </w:r>
    </w:p>
  </w:footnote>
  <w:footnote w:type="continuationSeparator" w:id="0">
    <w:p w14:paraId="3E9466A5" w14:textId="77777777" w:rsidR="006A2CC7" w:rsidRDefault="006A2CC7">
      <w:r>
        <w:continuationSeparator/>
      </w:r>
    </w:p>
  </w:footnote>
  <w:footnote w:id="1">
    <w:p w14:paraId="3AD0F96A" w14:textId="561B4A47" w:rsidR="00066D41" w:rsidRDefault="00577017">
      <w:pPr>
        <w:pStyle w:val="Testonotaapidipagina"/>
      </w:pPr>
      <w:r w:rsidRPr="001E200A">
        <w:rPr>
          <w:rStyle w:val="Rimandonotaapidipagina"/>
          <w:rFonts w:ascii="Titillium" w:hAnsi="Titillium"/>
          <w:sz w:val="12"/>
          <w:szCs w:val="12"/>
        </w:rPr>
        <w:footnoteRef/>
      </w:r>
      <w:r w:rsidRPr="00AA64A3">
        <w:rPr>
          <w:rFonts w:ascii="Titillium" w:hAnsi="Titillium"/>
          <w:sz w:val="18"/>
          <w:szCs w:val="18"/>
        </w:rPr>
        <w:t>Il concetto di veridicità è inteso qui come conformità tra quanto rilevato dall’OIV/altro organismo con funzioni analoghe nell’Allegato 2.1 e quanto pubblicato sul sito istituzionale al momento dell’attestazione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41C2D" w14:textId="77777777" w:rsidR="0019236F" w:rsidRPr="00B91F3C" w:rsidRDefault="0019236F" w:rsidP="0019236F">
    <w:pPr>
      <w:pStyle w:val="Intestazione"/>
      <w:spacing w:line="276" w:lineRule="auto"/>
      <w:rPr>
        <w:rFonts w:ascii="Titillium" w:hAnsi="Titillium"/>
        <w:b/>
        <w:sz w:val="20"/>
        <w:szCs w:val="20"/>
        <w:u w:val="single"/>
      </w:rPr>
    </w:pPr>
    <w:r w:rsidRPr="00B91F3C">
      <w:rPr>
        <w:rFonts w:ascii="Titillium" w:hAnsi="Titillium"/>
        <w:b/>
        <w:sz w:val="20"/>
        <w:szCs w:val="20"/>
      </w:rPr>
      <w:t xml:space="preserve">Allegato 1.1 alla </w:t>
    </w:r>
    <w:r w:rsidRPr="00B91F3C">
      <w:rPr>
        <w:rFonts w:ascii="Titillium" w:hAnsi="Titillium" w:cs="Times New Roman"/>
        <w:b/>
        <w:sz w:val="20"/>
        <w:szCs w:val="20"/>
      </w:rPr>
      <w:t xml:space="preserve">delibera ANAC n. </w:t>
    </w:r>
    <w:r>
      <w:rPr>
        <w:rFonts w:ascii="Titillium" w:hAnsi="Titillium" w:cs="Times New Roman"/>
        <w:b/>
        <w:sz w:val="20"/>
        <w:szCs w:val="20"/>
      </w:rPr>
      <w:t>201</w:t>
    </w:r>
    <w:r w:rsidRPr="00B91F3C">
      <w:rPr>
        <w:rFonts w:ascii="Titillium" w:hAnsi="Titillium" w:cs="Times New Roman"/>
        <w:b/>
        <w:sz w:val="20"/>
        <w:szCs w:val="20"/>
      </w:rPr>
      <w:t>/202</w:t>
    </w:r>
    <w:r>
      <w:rPr>
        <w:rFonts w:ascii="Titillium" w:hAnsi="Titillium" w:cs="Times New Roman"/>
        <w:b/>
        <w:sz w:val="20"/>
        <w:szCs w:val="20"/>
      </w:rPr>
      <w:t>2</w:t>
    </w:r>
    <w:r w:rsidRPr="00B91F3C">
      <w:rPr>
        <w:rFonts w:ascii="Titillium" w:hAnsi="Titillium" w:cs="Times New Roman"/>
        <w:b/>
        <w:sz w:val="20"/>
        <w:szCs w:val="20"/>
      </w:rPr>
      <w:t xml:space="preserve"> </w:t>
    </w:r>
    <w:r w:rsidRPr="00B91F3C">
      <w:rPr>
        <w:rFonts w:ascii="Titillium" w:hAnsi="Titillium"/>
        <w:b/>
        <w:sz w:val="20"/>
        <w:szCs w:val="20"/>
      </w:rPr>
      <w:t xml:space="preserve">– Documento di attestazione </w:t>
    </w:r>
    <w:r w:rsidRPr="00B91F3C">
      <w:rPr>
        <w:rFonts w:ascii="Titillium" w:hAnsi="Titillium"/>
        <w:b/>
        <w:sz w:val="20"/>
        <w:szCs w:val="20"/>
        <w:u w:val="single"/>
      </w:rPr>
      <w:t>per le pubbliche amministrazioni di cui al § 1.1.</w:t>
    </w:r>
  </w:p>
  <w:p w14:paraId="5A42C47D" w14:textId="77777777" w:rsidR="004E3FEA" w:rsidRPr="005E4F33" w:rsidRDefault="004E3FEA" w:rsidP="005E4F3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E2B2A" w14:textId="2E8F2E19" w:rsidR="00577017" w:rsidRDefault="00577017" w:rsidP="00577017">
    <w:pPr>
      <w:pStyle w:val="Intestazione"/>
      <w:jc w:val="right"/>
      <w:rPr>
        <w:rFonts w:ascii="Garamond" w:hAnsi="Garamond"/>
        <w:b/>
      </w:rPr>
    </w:pPr>
    <w:r>
      <w:rPr>
        <w:noProof/>
        <w:lang w:eastAsia="it-IT"/>
      </w:rPr>
      <w:drawing>
        <wp:anchor distT="0" distB="0" distL="114300" distR="114300" simplePos="0" relativeHeight="251658240" behindDoc="0" locked="0" layoutInCell="1" allowOverlap="1" wp14:anchorId="07AF2C96" wp14:editId="7E3ABDC5">
          <wp:simplePos x="0" y="0"/>
          <wp:positionH relativeFrom="margin">
            <wp:posOffset>-271780</wp:posOffset>
          </wp:positionH>
          <wp:positionV relativeFrom="topMargin">
            <wp:posOffset>453390</wp:posOffset>
          </wp:positionV>
          <wp:extent cx="2879725" cy="341630"/>
          <wp:effectExtent l="0" t="0" r="0" b="127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9725" cy="341630"/>
                  </a:xfrm>
                  <a:prstGeom prst="rect">
                    <a:avLst/>
                  </a:prstGeom>
                  <a:noFill/>
                </pic:spPr>
              </pic:pic>
            </a:graphicData>
          </a:graphic>
          <wp14:sizeRelH relativeFrom="page">
            <wp14:pctWidth>0</wp14:pctWidth>
          </wp14:sizeRelH>
          <wp14:sizeRelV relativeFrom="page">
            <wp14:pctHeight>0</wp14:pctHeight>
          </wp14:sizeRelV>
        </wp:anchor>
      </w:drawing>
    </w:r>
  </w:p>
  <w:p w14:paraId="5FDADEB2" w14:textId="77777777" w:rsidR="00577017" w:rsidRDefault="00577017" w:rsidP="00577017">
    <w:pPr>
      <w:pStyle w:val="Intestazione"/>
      <w:jc w:val="right"/>
      <w:rPr>
        <w:rFonts w:ascii="Garamond" w:hAnsi="Garamond"/>
        <w:b/>
      </w:rPr>
    </w:pPr>
  </w:p>
  <w:p w14:paraId="6A9E36D7" w14:textId="77777777" w:rsidR="00577017" w:rsidRDefault="00577017" w:rsidP="00577017">
    <w:pPr>
      <w:pStyle w:val="Intestazione"/>
      <w:tabs>
        <w:tab w:val="left" w:pos="3878"/>
      </w:tabs>
      <w:rPr>
        <w:rFonts w:ascii="Garamond" w:hAnsi="Garamond"/>
        <w:b/>
      </w:rPr>
    </w:pPr>
    <w:r>
      <w:rPr>
        <w:rFonts w:ascii="Garamond" w:hAnsi="Garamond"/>
        <w:b/>
      </w:rPr>
      <w:tab/>
    </w:r>
    <w:r>
      <w:rPr>
        <w:rFonts w:ascii="Garamond" w:hAnsi="Garamond"/>
        <w:b/>
      </w:rPr>
      <w:tab/>
    </w:r>
  </w:p>
  <w:p w14:paraId="52AAD0B0" w14:textId="77777777" w:rsidR="00577017" w:rsidRDefault="00577017" w:rsidP="00577017">
    <w:pPr>
      <w:pStyle w:val="Intestazione"/>
      <w:jc w:val="right"/>
      <w:rPr>
        <w:rFonts w:ascii="Titillium" w:hAnsi="Titillium" w:cs="Times New Roman"/>
        <w:b/>
        <w:sz w:val="20"/>
        <w:szCs w:val="20"/>
      </w:rPr>
    </w:pPr>
    <w:r>
      <w:rPr>
        <w:rFonts w:ascii="Titillium" w:hAnsi="Titillium"/>
        <w:b/>
        <w:sz w:val="20"/>
        <w:szCs w:val="20"/>
      </w:rPr>
      <w:t xml:space="preserve">Allegato 3 alla </w:t>
    </w:r>
    <w:r>
      <w:rPr>
        <w:rFonts w:ascii="Titillium" w:hAnsi="Titillium" w:cs="Times New Roman"/>
        <w:b/>
        <w:sz w:val="20"/>
        <w:szCs w:val="20"/>
      </w:rPr>
      <w:t>delibera ANAC n. 201/2022</w:t>
    </w:r>
  </w:p>
  <w:p w14:paraId="2F26A889" w14:textId="77777777" w:rsidR="00C27B23" w:rsidRPr="00577017" w:rsidRDefault="006A2CC7" w:rsidP="00577017">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94CA5"/>
    <w:multiLevelType w:val="hybridMultilevel"/>
    <w:tmpl w:val="7952D70E"/>
    <w:lvl w:ilvl="0" w:tplc="0410000F">
      <w:start w:val="1"/>
      <w:numFmt w:val="decimal"/>
      <w:lvlText w:val="%1."/>
      <w:lvlJc w:val="left"/>
      <w:pPr>
        <w:ind w:left="930" w:hanging="360"/>
      </w:pPr>
      <w:rPr>
        <w:rFonts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1" w15:restartNumberingAfterBreak="0">
    <w:nsid w:val="298F04A3"/>
    <w:multiLevelType w:val="multilevel"/>
    <w:tmpl w:val="2A0EE6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3E981BA1"/>
    <w:multiLevelType w:val="multilevel"/>
    <w:tmpl w:val="42B6B57E"/>
    <w:lvl w:ilvl="0">
      <w:start w:val="1"/>
      <w:numFmt w:val="none"/>
      <w:pStyle w:val="Titolo"/>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40C80CAF"/>
    <w:multiLevelType w:val="hybridMultilevel"/>
    <w:tmpl w:val="AA68E2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15A3C8A"/>
    <w:multiLevelType w:val="multilevel"/>
    <w:tmpl w:val="C562D43A"/>
    <w:lvl w:ilvl="0">
      <w:start w:val="1"/>
      <w:numFmt w:val="upperLetter"/>
      <w:lvlText w:val="%1."/>
      <w:lvlJc w:val="left"/>
      <w:pPr>
        <w:tabs>
          <w:tab w:val="num" w:pos="360"/>
        </w:tabs>
        <w:ind w:left="360" w:hanging="360"/>
      </w:pPr>
      <w:rPr>
        <w:color w:val="auto"/>
      </w:r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5" w15:restartNumberingAfterBreak="0">
    <w:nsid w:val="54743015"/>
    <w:multiLevelType w:val="multilevel"/>
    <w:tmpl w:val="95685400"/>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F5544F4"/>
    <w:multiLevelType w:val="hybridMultilevel"/>
    <w:tmpl w:val="6D5AAA52"/>
    <w:lvl w:ilvl="0" w:tplc="04100001">
      <w:start w:val="1"/>
      <w:numFmt w:val="bullet"/>
      <w:lvlText w:val=""/>
      <w:lvlJc w:val="left"/>
      <w:pPr>
        <w:ind w:left="1437" w:hanging="360"/>
      </w:pPr>
      <w:rPr>
        <w:rFonts w:ascii="Symbol" w:hAnsi="Symbol" w:hint="default"/>
      </w:rPr>
    </w:lvl>
    <w:lvl w:ilvl="1" w:tplc="04100003" w:tentative="1">
      <w:start w:val="1"/>
      <w:numFmt w:val="bullet"/>
      <w:lvlText w:val="o"/>
      <w:lvlJc w:val="left"/>
      <w:pPr>
        <w:ind w:left="2157" w:hanging="360"/>
      </w:pPr>
      <w:rPr>
        <w:rFonts w:ascii="Courier New" w:hAnsi="Courier New" w:cs="Courier New" w:hint="default"/>
      </w:rPr>
    </w:lvl>
    <w:lvl w:ilvl="2" w:tplc="04100005" w:tentative="1">
      <w:start w:val="1"/>
      <w:numFmt w:val="bullet"/>
      <w:lvlText w:val=""/>
      <w:lvlJc w:val="left"/>
      <w:pPr>
        <w:ind w:left="2877" w:hanging="360"/>
      </w:pPr>
      <w:rPr>
        <w:rFonts w:ascii="Wingdings" w:hAnsi="Wingdings" w:hint="default"/>
      </w:rPr>
    </w:lvl>
    <w:lvl w:ilvl="3" w:tplc="04100001" w:tentative="1">
      <w:start w:val="1"/>
      <w:numFmt w:val="bullet"/>
      <w:lvlText w:val=""/>
      <w:lvlJc w:val="left"/>
      <w:pPr>
        <w:ind w:left="3597" w:hanging="360"/>
      </w:pPr>
      <w:rPr>
        <w:rFonts w:ascii="Symbol" w:hAnsi="Symbol" w:hint="default"/>
      </w:rPr>
    </w:lvl>
    <w:lvl w:ilvl="4" w:tplc="04100003" w:tentative="1">
      <w:start w:val="1"/>
      <w:numFmt w:val="bullet"/>
      <w:lvlText w:val="o"/>
      <w:lvlJc w:val="left"/>
      <w:pPr>
        <w:ind w:left="4317" w:hanging="360"/>
      </w:pPr>
      <w:rPr>
        <w:rFonts w:ascii="Courier New" w:hAnsi="Courier New" w:cs="Courier New" w:hint="default"/>
      </w:rPr>
    </w:lvl>
    <w:lvl w:ilvl="5" w:tplc="04100005" w:tentative="1">
      <w:start w:val="1"/>
      <w:numFmt w:val="bullet"/>
      <w:lvlText w:val=""/>
      <w:lvlJc w:val="left"/>
      <w:pPr>
        <w:ind w:left="5037" w:hanging="360"/>
      </w:pPr>
      <w:rPr>
        <w:rFonts w:ascii="Wingdings" w:hAnsi="Wingdings" w:hint="default"/>
      </w:rPr>
    </w:lvl>
    <w:lvl w:ilvl="6" w:tplc="04100001" w:tentative="1">
      <w:start w:val="1"/>
      <w:numFmt w:val="bullet"/>
      <w:lvlText w:val=""/>
      <w:lvlJc w:val="left"/>
      <w:pPr>
        <w:ind w:left="5757" w:hanging="360"/>
      </w:pPr>
      <w:rPr>
        <w:rFonts w:ascii="Symbol" w:hAnsi="Symbol" w:hint="default"/>
      </w:rPr>
    </w:lvl>
    <w:lvl w:ilvl="7" w:tplc="04100003" w:tentative="1">
      <w:start w:val="1"/>
      <w:numFmt w:val="bullet"/>
      <w:lvlText w:val="o"/>
      <w:lvlJc w:val="left"/>
      <w:pPr>
        <w:ind w:left="6477" w:hanging="360"/>
      </w:pPr>
      <w:rPr>
        <w:rFonts w:ascii="Courier New" w:hAnsi="Courier New" w:cs="Courier New" w:hint="default"/>
      </w:rPr>
    </w:lvl>
    <w:lvl w:ilvl="8" w:tplc="04100005" w:tentative="1">
      <w:start w:val="1"/>
      <w:numFmt w:val="bullet"/>
      <w:lvlText w:val=""/>
      <w:lvlJc w:val="left"/>
      <w:pPr>
        <w:ind w:left="7197"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5"/>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FEA"/>
    <w:rsid w:val="00010A7E"/>
    <w:rsid w:val="00011339"/>
    <w:rsid w:val="00012DF2"/>
    <w:rsid w:val="00046161"/>
    <w:rsid w:val="00066D41"/>
    <w:rsid w:val="000B0E9A"/>
    <w:rsid w:val="000B7CB8"/>
    <w:rsid w:val="000C1504"/>
    <w:rsid w:val="000C371F"/>
    <w:rsid w:val="000D5314"/>
    <w:rsid w:val="000E1E9E"/>
    <w:rsid w:val="000F18AB"/>
    <w:rsid w:val="00113654"/>
    <w:rsid w:val="001425A8"/>
    <w:rsid w:val="001918D5"/>
    <w:rsid w:val="0019236F"/>
    <w:rsid w:val="00193B7A"/>
    <w:rsid w:val="001A0E31"/>
    <w:rsid w:val="001E538C"/>
    <w:rsid w:val="001F4C4E"/>
    <w:rsid w:val="00200E69"/>
    <w:rsid w:val="00201C6C"/>
    <w:rsid w:val="00206951"/>
    <w:rsid w:val="00232C07"/>
    <w:rsid w:val="002453DD"/>
    <w:rsid w:val="0027396B"/>
    <w:rsid w:val="00294D29"/>
    <w:rsid w:val="00324847"/>
    <w:rsid w:val="00362ECB"/>
    <w:rsid w:val="0038004A"/>
    <w:rsid w:val="003867E2"/>
    <w:rsid w:val="003C03F8"/>
    <w:rsid w:val="003C3435"/>
    <w:rsid w:val="003C54AF"/>
    <w:rsid w:val="00417308"/>
    <w:rsid w:val="00452424"/>
    <w:rsid w:val="004540ED"/>
    <w:rsid w:val="004869E2"/>
    <w:rsid w:val="004A6E9E"/>
    <w:rsid w:val="004B3307"/>
    <w:rsid w:val="004D4EBF"/>
    <w:rsid w:val="004E3014"/>
    <w:rsid w:val="004E3FEA"/>
    <w:rsid w:val="005148C3"/>
    <w:rsid w:val="005314E6"/>
    <w:rsid w:val="005345A7"/>
    <w:rsid w:val="0055151A"/>
    <w:rsid w:val="00577017"/>
    <w:rsid w:val="005912E7"/>
    <w:rsid w:val="005926EA"/>
    <w:rsid w:val="005E3451"/>
    <w:rsid w:val="005E4F33"/>
    <w:rsid w:val="00600B7E"/>
    <w:rsid w:val="00602524"/>
    <w:rsid w:val="00611B63"/>
    <w:rsid w:val="00641554"/>
    <w:rsid w:val="00660BCF"/>
    <w:rsid w:val="006626ED"/>
    <w:rsid w:val="006A2130"/>
    <w:rsid w:val="006A2CC7"/>
    <w:rsid w:val="006B3D42"/>
    <w:rsid w:val="006C4F57"/>
    <w:rsid w:val="006E3699"/>
    <w:rsid w:val="006F5B22"/>
    <w:rsid w:val="00727F6D"/>
    <w:rsid w:val="00747FDE"/>
    <w:rsid w:val="00765D66"/>
    <w:rsid w:val="00782E5B"/>
    <w:rsid w:val="007923DF"/>
    <w:rsid w:val="007A1393"/>
    <w:rsid w:val="007C7EC1"/>
    <w:rsid w:val="007F0BC7"/>
    <w:rsid w:val="007F5D2E"/>
    <w:rsid w:val="00814479"/>
    <w:rsid w:val="00846EE3"/>
    <w:rsid w:val="00851A73"/>
    <w:rsid w:val="0092201A"/>
    <w:rsid w:val="009517B8"/>
    <w:rsid w:val="0098733F"/>
    <w:rsid w:val="009B1578"/>
    <w:rsid w:val="009B3EC4"/>
    <w:rsid w:val="00A01D67"/>
    <w:rsid w:val="00A35E86"/>
    <w:rsid w:val="00A431C2"/>
    <w:rsid w:val="00A928DF"/>
    <w:rsid w:val="00A93462"/>
    <w:rsid w:val="00AB516F"/>
    <w:rsid w:val="00AD1A69"/>
    <w:rsid w:val="00AD1E08"/>
    <w:rsid w:val="00B13C70"/>
    <w:rsid w:val="00B15635"/>
    <w:rsid w:val="00B3568E"/>
    <w:rsid w:val="00B505D1"/>
    <w:rsid w:val="00B679FE"/>
    <w:rsid w:val="00B806F4"/>
    <w:rsid w:val="00BC601A"/>
    <w:rsid w:val="00BE32EF"/>
    <w:rsid w:val="00BF1924"/>
    <w:rsid w:val="00C017C6"/>
    <w:rsid w:val="00C037C3"/>
    <w:rsid w:val="00C205DD"/>
    <w:rsid w:val="00C62825"/>
    <w:rsid w:val="00C7329C"/>
    <w:rsid w:val="00CD5018"/>
    <w:rsid w:val="00CE4B1E"/>
    <w:rsid w:val="00D2519E"/>
    <w:rsid w:val="00D40C2D"/>
    <w:rsid w:val="00D57F04"/>
    <w:rsid w:val="00DA74D8"/>
    <w:rsid w:val="00DC262D"/>
    <w:rsid w:val="00DC3EB5"/>
    <w:rsid w:val="00DF2E3B"/>
    <w:rsid w:val="00E34708"/>
    <w:rsid w:val="00E438B6"/>
    <w:rsid w:val="00E67C28"/>
    <w:rsid w:val="00E70D36"/>
    <w:rsid w:val="00E93B7A"/>
    <w:rsid w:val="00EC1397"/>
    <w:rsid w:val="00F052AD"/>
    <w:rsid w:val="00F070D7"/>
    <w:rsid w:val="00F25BB1"/>
    <w:rsid w:val="00F50EFD"/>
    <w:rsid w:val="00F70C0B"/>
    <w:rsid w:val="00F81E69"/>
    <w:rsid w:val="00F85475"/>
    <w:rsid w:val="00FE5393"/>
    <w:rsid w:val="00FF2D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2CC87"/>
  <w15:docId w15:val="{C653003B-7F8C-4023-80F4-83AEECC63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keepNext/>
      <w:widowControl w:val="0"/>
      <w:pBdr>
        <w:top w:val="nil"/>
        <w:left w:val="nil"/>
        <w:bottom w:val="nil"/>
        <w:right w:val="nil"/>
      </w:pBdr>
      <w:suppressAutoHyphens/>
      <w:spacing w:after="120" w:line="100" w:lineRule="atLeast"/>
      <w:jc w:val="both"/>
    </w:pPr>
    <w:rPr>
      <w:rFonts w:ascii="Times New Roman" w:eastAsia="Times New Roman" w:hAnsi="Times New Roman" w:cs="Cambria"/>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basedOn w:val="Carpredefinitoparagrafo"/>
    <w:rPr>
      <w:position w:val="20"/>
      <w:sz w:val="13"/>
    </w:rPr>
  </w:style>
  <w:style w:type="character" w:customStyle="1" w:styleId="TestonotaapidipaginaCarattere">
    <w:name w:val="Testo nota a piè di pagina Carattere"/>
    <w:basedOn w:val="Carpredefinitoparagrafo"/>
    <w:rPr>
      <w:rFonts w:ascii="Times New Roman" w:eastAsia="Times New Roman" w:hAnsi="Times New Roman" w:cs="Cambria"/>
      <w:sz w:val="20"/>
      <w:szCs w:val="20"/>
      <w:lang w:eastAsia="ar-SA"/>
    </w:rPr>
  </w:style>
  <w:style w:type="character" w:customStyle="1" w:styleId="TestonotaapidipaginaCarattere1">
    <w:name w:val="Testo nota a piè di pagina Carattere1"/>
    <w:basedOn w:val="Carpredefinitoparagrafo"/>
    <w:rPr>
      <w:rFonts w:ascii="Times New Roman" w:eastAsia="Times New Roman" w:hAnsi="Times New Roman" w:cs="Cambria"/>
      <w:sz w:val="24"/>
      <w:szCs w:val="24"/>
      <w:lang w:eastAsia="ar-SA"/>
    </w:rPr>
  </w:style>
  <w:style w:type="character" w:customStyle="1" w:styleId="TestonormaleCarattere">
    <w:name w:val="Testo normale Carattere"/>
    <w:basedOn w:val="Carpredefinitoparagrafo"/>
    <w:rPr>
      <w:rFonts w:ascii="Calibri" w:hAnsi="Calibri"/>
      <w:szCs w:val="21"/>
    </w:rPr>
  </w:style>
  <w:style w:type="character" w:customStyle="1" w:styleId="IntestazioneCarattere">
    <w:name w:val="Intestazione Carattere"/>
    <w:basedOn w:val="Carpredefinitoparagrafo"/>
    <w:rPr>
      <w:rFonts w:ascii="Times New Roman" w:eastAsia="Times New Roman" w:hAnsi="Times New Roman" w:cs="Cambria"/>
      <w:sz w:val="24"/>
      <w:szCs w:val="24"/>
      <w:lang w:eastAsia="ar-SA"/>
    </w:rPr>
  </w:style>
  <w:style w:type="character" w:customStyle="1" w:styleId="PidipaginaCarattere">
    <w:name w:val="Piè di pagina Carattere"/>
    <w:basedOn w:val="Carpredefinitoparagrafo"/>
    <w:rPr>
      <w:rFonts w:ascii="Times New Roman" w:eastAsia="Times New Roman" w:hAnsi="Times New Roman" w:cs="Cambria"/>
      <w:sz w:val="24"/>
      <w:szCs w:val="24"/>
      <w:lang w:eastAsia="ar-SA"/>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rFonts w:ascii="Times New Roman" w:eastAsia="Times New Roman" w:hAnsi="Times New Roman" w:cs="Cambria"/>
      <w:sz w:val="20"/>
      <w:szCs w:val="20"/>
      <w:lang w:eastAsia="ar-SA"/>
    </w:rPr>
  </w:style>
  <w:style w:type="character" w:customStyle="1" w:styleId="SoggettocommentoCarattere">
    <w:name w:val="Soggetto commento Carattere"/>
    <w:basedOn w:val="TestocommentoCarattere"/>
    <w:rPr>
      <w:rFonts w:ascii="Times New Roman" w:eastAsia="Times New Roman" w:hAnsi="Times New Roman" w:cs="Cambria"/>
      <w:b/>
      <w:bCs/>
      <w:sz w:val="20"/>
      <w:szCs w:val="20"/>
      <w:lang w:eastAsia="ar-SA"/>
    </w:rPr>
  </w:style>
  <w:style w:type="character" w:customStyle="1" w:styleId="TestofumettoCarattere">
    <w:name w:val="Testo fumetto Carattere"/>
    <w:basedOn w:val="Carpredefinitoparagrafo"/>
    <w:rPr>
      <w:rFonts w:ascii="Tahoma" w:eastAsia="Times New Roman" w:hAnsi="Tahoma" w:cs="Tahoma"/>
      <w:sz w:val="16"/>
      <w:szCs w:val="16"/>
      <w:lang w:eastAsia="ar-SA"/>
    </w:rPr>
  </w:style>
  <w:style w:type="character" w:customStyle="1" w:styleId="Caratteredellanota">
    <w:name w:val="Carattere della nota"/>
  </w:style>
  <w:style w:type="character" w:customStyle="1" w:styleId="Richiamoallanotadichiusura">
    <w:name w:val="Richiamo alla nota di chiusura"/>
    <w:rPr>
      <w:vertAlign w:val="superscript"/>
    </w:rPr>
  </w:style>
  <w:style w:type="character" w:customStyle="1" w:styleId="Caratterenotadichiusura">
    <w:name w:val="Carattere nota di chiusura"/>
  </w:style>
  <w:style w:type="paragraph" w:styleId="Testonotaapidipagina">
    <w:name w:val="footnote text"/>
    <w:basedOn w:val="Normale"/>
  </w:style>
  <w:style w:type="paragraph" w:styleId="Paragrafoelenco">
    <w:name w:val="List Paragraph"/>
    <w:basedOn w:val="Normale"/>
    <w:uiPriority w:val="34"/>
    <w:qFormat/>
    <w:pPr>
      <w:ind w:left="357" w:hanging="357"/>
    </w:pPr>
  </w:style>
  <w:style w:type="paragraph" w:styleId="Testonormale">
    <w:name w:val="Plain Text"/>
    <w:basedOn w:val="Normale"/>
    <w:pPr>
      <w:widowControl/>
      <w:spacing w:after="0"/>
      <w:jc w:val="left"/>
    </w:pPr>
    <w:rPr>
      <w:rFonts w:ascii="Calibri" w:eastAsia="Calibri" w:hAnsi="Calibri" w:cs="Times New Roman"/>
      <w:sz w:val="22"/>
      <w:szCs w:val="21"/>
      <w:lang w:eastAsia="en-US"/>
    </w:rPr>
  </w:style>
  <w:style w:type="paragraph" w:styleId="Intestazione">
    <w:name w:val="header"/>
    <w:basedOn w:val="Normale"/>
    <w:pPr>
      <w:tabs>
        <w:tab w:val="center" w:pos="4819"/>
        <w:tab w:val="right" w:pos="9638"/>
      </w:tabs>
      <w:spacing w:after="0"/>
    </w:pPr>
  </w:style>
  <w:style w:type="paragraph" w:styleId="Pidipagina">
    <w:name w:val="footer"/>
    <w:basedOn w:val="Normale"/>
    <w:pPr>
      <w:tabs>
        <w:tab w:val="center" w:pos="4819"/>
        <w:tab w:val="right" w:pos="9638"/>
      </w:tabs>
      <w:spacing w:after="0"/>
    </w:pPr>
  </w:style>
  <w:style w:type="paragraph" w:styleId="Testocommento">
    <w:name w:val="annotation text"/>
    <w:basedOn w:val="Normale"/>
    <w:rPr>
      <w:sz w:val="20"/>
      <w:szCs w:val="20"/>
    </w:rPr>
  </w:style>
  <w:style w:type="paragraph" w:styleId="Soggettocommento">
    <w:name w:val="annotation subject"/>
    <w:basedOn w:val="Testocommento"/>
    <w:next w:val="Testocommento"/>
    <w:rPr>
      <w:b/>
      <w:bCs/>
    </w:rPr>
  </w:style>
  <w:style w:type="paragraph" w:styleId="Testofumetto">
    <w:name w:val="Balloon Text"/>
    <w:basedOn w:val="Normale"/>
    <w:pPr>
      <w:spacing w:after="0"/>
    </w:pPr>
    <w:rPr>
      <w:rFonts w:ascii="Tahoma" w:hAnsi="Tahoma" w:cs="Tahoma"/>
      <w:sz w:val="16"/>
      <w:szCs w:val="16"/>
    </w:rPr>
  </w:style>
  <w:style w:type="paragraph" w:customStyle="1" w:styleId="Notaapidipagina">
    <w:name w:val="Nota a piè di pagina"/>
    <w:basedOn w:val="Normale"/>
    <w:pPr>
      <w:suppressLineNumbers/>
      <w:ind w:left="339" w:hanging="339"/>
    </w:pPr>
    <w:rPr>
      <w:sz w:val="20"/>
      <w:szCs w:val="20"/>
    </w:rPr>
  </w:style>
  <w:style w:type="paragraph" w:styleId="Titolo">
    <w:name w:val="Title"/>
    <w:basedOn w:val="Normale"/>
    <w:next w:val="Normale"/>
    <w:link w:val="TitoloCarattere"/>
    <w:autoRedefine/>
    <w:rsid w:val="00362ECB"/>
    <w:pPr>
      <w:numPr>
        <w:numId w:val="4"/>
      </w:numPr>
      <w:spacing w:before="240" w:after="240"/>
      <w:jc w:val="center"/>
      <w:outlineLvl w:val="0"/>
    </w:pPr>
    <w:rPr>
      <w:rFonts w:cs="Times New Roman"/>
      <w:b/>
      <w:bCs/>
      <w:i/>
      <w:sz w:val="36"/>
      <w:szCs w:val="32"/>
    </w:rPr>
  </w:style>
  <w:style w:type="character" w:customStyle="1" w:styleId="TitoloCarattere">
    <w:name w:val="Titolo Carattere"/>
    <w:basedOn w:val="Carpredefinitoparagrafo"/>
    <w:link w:val="Titolo"/>
    <w:rsid w:val="00362ECB"/>
    <w:rPr>
      <w:rFonts w:ascii="Times New Roman" w:eastAsia="Times New Roman" w:hAnsi="Times New Roman" w:cs="Times New Roman"/>
      <w:b/>
      <w:bCs/>
      <w:i/>
      <w:sz w:val="36"/>
      <w:szCs w:val="32"/>
      <w:lang w:eastAsia="ar-SA"/>
    </w:rPr>
  </w:style>
  <w:style w:type="paragraph" w:customStyle="1" w:styleId="Default">
    <w:name w:val="Default"/>
    <w:rsid w:val="00362ECB"/>
    <w:pPr>
      <w:keepNext/>
      <w:pBdr>
        <w:top w:val="nil"/>
        <w:left w:val="nil"/>
        <w:bottom w:val="nil"/>
        <w:right w:val="nil"/>
      </w:pBdr>
      <w:suppressAutoHyphens/>
      <w:autoSpaceDE w:val="0"/>
      <w:spacing w:after="0" w:line="100" w:lineRule="atLeast"/>
    </w:pPr>
    <w:rPr>
      <w:rFonts w:ascii="Times New Roman" w:eastAsia="Calibri" w:hAnsi="Times New Roman" w:cs="Times New Roman"/>
      <w:color w:val="000000"/>
      <w:sz w:val="24"/>
      <w:szCs w:val="24"/>
      <w:lang w:eastAsia="en-US"/>
    </w:rPr>
  </w:style>
  <w:style w:type="paragraph" w:styleId="NormaleWeb">
    <w:name w:val="Normal (Web)"/>
    <w:basedOn w:val="Normale"/>
    <w:uiPriority w:val="99"/>
    <w:semiHidden/>
    <w:unhideWhenUsed/>
    <w:rsid w:val="00AD1E08"/>
    <w:pPr>
      <w:keepNext w:val="0"/>
      <w:widowControl/>
      <w:pBdr>
        <w:top w:val="none" w:sz="0" w:space="0" w:color="auto"/>
        <w:left w:val="none" w:sz="0" w:space="0" w:color="auto"/>
        <w:bottom w:val="none" w:sz="0" w:space="0" w:color="auto"/>
        <w:right w:val="none" w:sz="0" w:space="0" w:color="auto"/>
      </w:pBdr>
      <w:suppressAutoHyphens w:val="0"/>
      <w:spacing w:before="100" w:beforeAutospacing="1" w:after="100" w:afterAutospacing="1" w:line="240" w:lineRule="auto"/>
      <w:jc w:val="left"/>
    </w:pPr>
    <w:rPr>
      <w:rFonts w:cs="Times New Roman"/>
      <w:lang w:eastAsia="it-IT"/>
    </w:rPr>
  </w:style>
  <w:style w:type="character" w:styleId="Enfasigrassetto">
    <w:name w:val="Strong"/>
    <w:uiPriority w:val="22"/>
    <w:qFormat/>
    <w:rsid w:val="00AD1E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988496">
      <w:bodyDiv w:val="1"/>
      <w:marLeft w:val="0"/>
      <w:marRight w:val="0"/>
      <w:marTop w:val="0"/>
      <w:marBottom w:val="0"/>
      <w:divBdr>
        <w:top w:val="none" w:sz="0" w:space="0" w:color="auto"/>
        <w:left w:val="none" w:sz="0" w:space="0" w:color="auto"/>
        <w:bottom w:val="none" w:sz="0" w:space="0" w:color="auto"/>
        <w:right w:val="none" w:sz="0" w:space="0" w:color="auto"/>
      </w:divBdr>
    </w:div>
    <w:div w:id="1058432735">
      <w:bodyDiv w:val="1"/>
      <w:marLeft w:val="0"/>
      <w:marRight w:val="0"/>
      <w:marTop w:val="0"/>
      <w:marBottom w:val="0"/>
      <w:divBdr>
        <w:top w:val="none" w:sz="0" w:space="0" w:color="auto"/>
        <w:left w:val="none" w:sz="0" w:space="0" w:color="auto"/>
        <w:bottom w:val="none" w:sz="0" w:space="0" w:color="auto"/>
        <w:right w:val="none" w:sz="0" w:space="0" w:color="auto"/>
      </w:divBdr>
    </w:div>
    <w:div w:id="1466047520">
      <w:bodyDiv w:val="1"/>
      <w:marLeft w:val="0"/>
      <w:marRight w:val="0"/>
      <w:marTop w:val="0"/>
      <w:marBottom w:val="0"/>
      <w:divBdr>
        <w:top w:val="none" w:sz="0" w:space="0" w:color="auto"/>
        <w:left w:val="none" w:sz="0" w:space="0" w:color="auto"/>
        <w:bottom w:val="none" w:sz="0" w:space="0" w:color="auto"/>
        <w:right w:val="none" w:sz="0" w:space="0" w:color="auto"/>
      </w:divBdr>
    </w:div>
    <w:div w:id="1789352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D2076-06C2-4FC1-8A79-5548A1C0A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2</Pages>
  <Words>716</Words>
  <Characters>4086</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Rossella Picicci</dc:creator>
  <cp:lastModifiedBy>delloro</cp:lastModifiedBy>
  <cp:revision>39</cp:revision>
  <cp:lastPrinted>2019-02-26T09:22:00Z</cp:lastPrinted>
  <dcterms:created xsi:type="dcterms:W3CDTF">2019-04-01T13:10:00Z</dcterms:created>
  <dcterms:modified xsi:type="dcterms:W3CDTF">2022-06-19T08:50:00Z</dcterms:modified>
</cp:coreProperties>
</file>