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6B8A" w14:textId="77777777" w:rsidR="00677BFF" w:rsidRPr="007B4079" w:rsidRDefault="00677BFF" w:rsidP="00677BFF">
      <w:pPr>
        <w:pStyle w:val="Titolo2"/>
        <w:jc w:val="both"/>
        <w:rPr>
          <w:b w:val="0"/>
          <w:caps/>
          <w:sz w:val="24"/>
          <w:szCs w:val="24"/>
        </w:rPr>
      </w:pPr>
      <w:bookmarkStart w:id="0" w:name="Xa26a9ad4681b137f71d12f636b5d9dd33bc9c11"/>
      <w:bookmarkStart w:id="1" w:name="content"/>
      <w:bookmarkStart w:id="2" w:name="X7f8d95b9bda3a37af8cffa21edf26f0c47aafb1"/>
      <w:r w:rsidRPr="007B4079">
        <w:rPr>
          <w:caps/>
          <w:sz w:val="24"/>
          <w:szCs w:val="24"/>
        </w:rPr>
        <w:t>Allegato B– Elenco sintetico degli interventi e costi stimati a scomputo del canone</w:t>
      </w:r>
    </w:p>
    <w:p w14:paraId="1A315990" w14:textId="77777777" w:rsidR="00677BFF" w:rsidRPr="007B4079" w:rsidRDefault="00677BFF" w:rsidP="00677BFF">
      <w:pPr>
        <w:pStyle w:val="FirstParagraph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 xml:space="preserve">Si riporta di seguito un elenco indicativo dei principali </w:t>
      </w:r>
      <w:r w:rsidRPr="007B4079">
        <w:rPr>
          <w:rFonts w:ascii="Times New Roman" w:hAnsi="Times New Roman" w:cs="Times New Roman"/>
          <w:bCs/>
        </w:rPr>
        <w:t>oneri di gestione e manutenzione ordinaria</w:t>
      </w:r>
      <w:r w:rsidRPr="007B4079">
        <w:rPr>
          <w:rFonts w:ascii="Times New Roman" w:hAnsi="Times New Roman" w:cs="Times New Roman"/>
        </w:rPr>
        <w:t xml:space="preserve"> che saranno a carico del concessionario nell’ambito della concessione del chiosco bar e aree verdi di via Mazzini. I relativi </w:t>
      </w:r>
      <w:r w:rsidRPr="007B4079">
        <w:rPr>
          <w:rFonts w:ascii="Times New Roman" w:hAnsi="Times New Roman" w:cs="Times New Roman"/>
          <w:bCs/>
        </w:rPr>
        <w:t>costi annui stimati</w:t>
      </w:r>
      <w:r w:rsidRPr="007B4079">
        <w:rPr>
          <w:rFonts w:ascii="Times New Roman" w:hAnsi="Times New Roman" w:cs="Times New Roman"/>
        </w:rPr>
        <w:t xml:space="preserve"> (desunti dal documento tecnico “REV 01 – Voci affido chiosco: computo attività e analisi”) potranno essere considerati </w:t>
      </w:r>
      <w:r w:rsidRPr="007B4079">
        <w:rPr>
          <w:rFonts w:ascii="Times New Roman" w:hAnsi="Times New Roman" w:cs="Times New Roman"/>
          <w:bCs/>
        </w:rPr>
        <w:t>a scomputo</w:t>
      </w:r>
      <w:r w:rsidRPr="007B4079">
        <w:rPr>
          <w:rFonts w:ascii="Times New Roman" w:hAnsi="Times New Roman" w:cs="Times New Roman"/>
        </w:rPr>
        <w:t xml:space="preserve"> parziale del canone concessorio, secondo le modalità che saranno dettagliate nella documentazione di gara della Fase 2. Questo significa che il valore economico di tali interventi, se effettivamente realizzati a cura del concessionario, verrà detratto in tutto o in parte dal canone annuo da corrispondere al Comune, come forma di compensazione.</w:t>
      </w:r>
    </w:p>
    <w:p w14:paraId="7245A747" w14:textId="77777777" w:rsidR="00677BFF" w:rsidRPr="007B4079" w:rsidRDefault="00677BFF" w:rsidP="00677BFF">
      <w:pPr>
        <w:pStyle w:val="Corpotesto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Elenco degli interventi manutentivi a carico del concessionario:</w:t>
      </w:r>
    </w:p>
    <w:p w14:paraId="752F30F2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Manutenzione ordinaria del verde:</w:t>
      </w:r>
      <w:r w:rsidRPr="007B4079">
        <w:rPr>
          <w:rFonts w:ascii="Times New Roman" w:hAnsi="Times New Roman" w:cs="Times New Roman"/>
        </w:rPr>
        <w:t xml:space="preserve"> sfalcio dell’erba nelle aree prato e aiuole con cadenza regolare (indicativamente ogni 10-15 giorni nel periodo vegetativo) e potature/manutenzione delle siepi e alberature secondo necessità. </w:t>
      </w:r>
      <w:r w:rsidRPr="007B4079">
        <w:rPr>
          <w:rFonts w:ascii="Times New Roman" w:hAnsi="Times New Roman" w:cs="Times New Roman"/>
          <w:i/>
          <w:iCs/>
        </w:rPr>
        <w:t xml:space="preserve">Costo annuo stimato: </w:t>
      </w:r>
      <w:r w:rsidRPr="006B1B6C">
        <w:rPr>
          <w:rFonts w:ascii="Times New Roman" w:hAnsi="Times New Roman" w:cs="Times New Roman"/>
        </w:rPr>
        <w:t>€ 1.872,00.</w:t>
      </w:r>
    </w:p>
    <w:p w14:paraId="2E75B252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Irrigazione e cura delle aree verdi:</w:t>
      </w:r>
      <w:r w:rsidRPr="007B40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supervisione </w:t>
      </w:r>
      <w:r w:rsidRPr="007B4079">
        <w:rPr>
          <w:rFonts w:ascii="Times New Roman" w:hAnsi="Times New Roman" w:cs="Times New Roman"/>
        </w:rPr>
        <w:t>gestione dell’impianto di irrigazione</w:t>
      </w:r>
      <w:r>
        <w:rPr>
          <w:rFonts w:ascii="Times New Roman" w:hAnsi="Times New Roman" w:cs="Times New Roman"/>
        </w:rPr>
        <w:t xml:space="preserve"> e tempestiva segnalazione formale della presenza di malfunzionamenti. Onere a carico del concessionario.</w:t>
      </w:r>
    </w:p>
    <w:p w14:paraId="7446B7BF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Pulizia e sorveglianza del parco:</w:t>
      </w:r>
      <w:r w:rsidRPr="007B4079">
        <w:rPr>
          <w:rFonts w:ascii="Times New Roman" w:hAnsi="Times New Roman" w:cs="Times New Roman"/>
        </w:rPr>
        <w:t xml:space="preserve"> raccolta quotidiana dei rifiuti cestinati e pulizia generale dell’area (vialetti, zone pavimentate, area giochi</w:t>
      </w:r>
      <w:r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</w:rPr>
        <w:t>per bambini</w:t>
      </w:r>
      <w:r>
        <w:rPr>
          <w:rFonts w:ascii="Times New Roman" w:hAnsi="Times New Roman" w:cs="Times New Roman"/>
        </w:rPr>
        <w:t xml:space="preserve"> – in corso di realizzazione</w:t>
      </w:r>
      <w:r w:rsidRPr="007B4079">
        <w:rPr>
          <w:rFonts w:ascii="Times New Roman" w:hAnsi="Times New Roman" w:cs="Times New Roman"/>
        </w:rPr>
        <w:t xml:space="preserve">), con verifica periodica dello stato di decoro; sorveglianza informale sull’area per prevenire atti vandalici o usi impropri. </w:t>
      </w:r>
      <w:r w:rsidRPr="007B4079">
        <w:rPr>
          <w:rFonts w:ascii="Times New Roman" w:hAnsi="Times New Roman" w:cs="Times New Roman"/>
          <w:i/>
          <w:iCs/>
        </w:rPr>
        <w:t xml:space="preserve">Costo annuo stimato: </w:t>
      </w:r>
      <w:r w:rsidRPr="006B1B6C">
        <w:rPr>
          <w:rFonts w:ascii="Times New Roman" w:hAnsi="Times New Roman" w:cs="Times New Roman"/>
        </w:rPr>
        <w:t>€ 1.872,00.</w:t>
      </w:r>
    </w:p>
    <w:p w14:paraId="580410EC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Pulizia e manutenzione dei servizi igienici del chiosco:</w:t>
      </w:r>
      <w:r w:rsidRPr="007B4079">
        <w:rPr>
          <w:rFonts w:ascii="Times New Roman" w:hAnsi="Times New Roman" w:cs="Times New Roman"/>
        </w:rPr>
        <w:t xml:space="preserve"> pulizia giornaliera dei bagni durante i periodi di apertura al pubblico, fornitura di materiali di consumo (sapone, carta igienica, etc.), piccola manutenzione ordinaria degli stessi (sostituzione rubinetteria usurata, lampadine, etc.); garantire accessibilità dei servizi igienici anche ai fruitori del parco negli orari di apertura, indipendentemente dall’utilizzo del bar. </w:t>
      </w:r>
      <w:r w:rsidRPr="007B4079">
        <w:rPr>
          <w:rFonts w:ascii="Times New Roman" w:hAnsi="Times New Roman" w:cs="Times New Roman"/>
          <w:i/>
          <w:iCs/>
        </w:rPr>
        <w:t xml:space="preserve">Costo annuo stimato: </w:t>
      </w:r>
      <w:r w:rsidRPr="006B1B6C">
        <w:rPr>
          <w:rFonts w:ascii="Times New Roman" w:hAnsi="Times New Roman" w:cs="Times New Roman"/>
        </w:rPr>
        <w:t xml:space="preserve">€ 1209,00 e parte </w:t>
      </w:r>
      <w:r>
        <w:rPr>
          <w:rFonts w:ascii="Times New Roman" w:hAnsi="Times New Roman" w:cs="Times New Roman"/>
        </w:rPr>
        <w:t>Onere a carico del concessionario.</w:t>
      </w:r>
    </w:p>
    <w:p w14:paraId="2F0A155D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Manutenzione ordinaria del chiosco e strutture annesse:</w:t>
      </w:r>
      <w:r w:rsidRPr="007B4079">
        <w:rPr>
          <w:rFonts w:ascii="Times New Roman" w:hAnsi="Times New Roman" w:cs="Times New Roman"/>
        </w:rPr>
        <w:t xml:space="preserve"> mantenimento in buono stato d’uso e di pulizia della struttura del chiosco, della pergola e degli arredi fissi esterni (panchine, cestini…); esecuzione di piccole riparazioni non strutturali (es. riparazione di serrature, ritinteggiatura periodica interna/esterna se necessaria, sostituzione componenti deteriorati di modesto valore). </w:t>
      </w:r>
      <w:r>
        <w:rPr>
          <w:rFonts w:ascii="Times New Roman" w:hAnsi="Times New Roman" w:cs="Times New Roman"/>
        </w:rPr>
        <w:t>Onere a carico del concessionario.</w:t>
      </w:r>
    </w:p>
    <w:p w14:paraId="30E24C48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Utenze e spese di gestione:</w:t>
      </w:r>
      <w:r w:rsidRPr="007B4079">
        <w:rPr>
          <w:rFonts w:ascii="Times New Roman" w:hAnsi="Times New Roman" w:cs="Times New Roman"/>
        </w:rPr>
        <w:t xml:space="preserve"> pagamento delle utenze relative a energia elettrica, acqua potabile/irrigua e altri servizi connessi al funzionamento del chiosco e dell’area verde (salvo diversi accordi); questi costi, stimati su base storica o presuntiva, saranno a carico del concessionario. </w:t>
      </w:r>
      <w:r>
        <w:rPr>
          <w:rFonts w:ascii="Times New Roman" w:hAnsi="Times New Roman" w:cs="Times New Roman"/>
        </w:rPr>
        <w:t>Onere a carico del concessionario.</w:t>
      </w:r>
    </w:p>
    <w:p w14:paraId="7495222C" w14:textId="77777777" w:rsidR="00677BFF" w:rsidRPr="007B4079" w:rsidRDefault="00677BFF" w:rsidP="00677BFF">
      <w:pPr>
        <w:pStyle w:val="FirstParagraph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i/>
          <w:iCs/>
        </w:rPr>
        <w:t>Nota:</w:t>
      </w:r>
      <w:r w:rsidRPr="007B4079">
        <w:rPr>
          <w:rFonts w:ascii="Times New Roman" w:hAnsi="Times New Roman" w:cs="Times New Roman"/>
        </w:rPr>
        <w:t xml:space="preserve"> Gli importi sopra indicati sono stime fornite a titolo orientativo, elaborate sulla base di computi e analisi tecniche preliminari. Tali valori potranno essere oggetto di revisione e dettaglio in sede di predisposizione degli atti di gara della Fase 2. In ogni caso, il concessionario definitivo sarà tenuto a farsi carico di tutti gli interventi elencati (indipendentemente dai costi stimati), garantendo lo standard di manutenzione e servizio richiesto dall’Amministrazione per l’intera durata contrattuale. Eventuali proposte migliorative o aggiuntive rispetto agli interventi minimi richiesti saranno valutate positivamente in sede di gara.</w:t>
      </w:r>
    </w:p>
    <w:p w14:paraId="184CDEC8" w14:textId="4714EF56" w:rsidR="00677BFF" w:rsidRDefault="00677BFF" w:rsidP="00677BFF">
      <w:bookmarkStart w:id="3" w:name="citations"/>
      <w:bookmarkEnd w:id="0"/>
      <w:bookmarkEnd w:id="1"/>
      <w:bookmarkEnd w:id="2"/>
      <w:bookmarkEnd w:id="3"/>
    </w:p>
    <w:sectPr w:rsidR="00677BFF">
      <w:pgSz w:w="11907" w:h="16840"/>
      <w:pgMar w:top="851" w:right="992" w:bottom="1134" w:left="1418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3F80" w14:textId="77777777" w:rsidR="00B33ED2" w:rsidRDefault="00B33ED2">
      <w:r>
        <w:separator/>
      </w:r>
    </w:p>
  </w:endnote>
  <w:endnote w:type="continuationSeparator" w:id="0">
    <w:p w14:paraId="42945645" w14:textId="77777777" w:rsidR="00B33ED2" w:rsidRDefault="00B3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5A7D" w14:textId="77777777" w:rsidR="00B33ED2" w:rsidRDefault="00B33ED2">
      <w:r>
        <w:separator/>
      </w:r>
    </w:p>
  </w:footnote>
  <w:footnote w:type="continuationSeparator" w:id="0">
    <w:p w14:paraId="3661B588" w14:textId="77777777" w:rsidR="00B33ED2" w:rsidRDefault="00B3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C2285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F65F4F"/>
    <w:multiLevelType w:val="multilevel"/>
    <w:tmpl w:val="528E7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83193"/>
    <w:multiLevelType w:val="hybridMultilevel"/>
    <w:tmpl w:val="321812A2"/>
    <w:lvl w:ilvl="0" w:tplc="3F62F3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02757">
    <w:abstractNumId w:val="0"/>
  </w:num>
  <w:num w:numId="2" w16cid:durableId="1584530454">
    <w:abstractNumId w:val="2"/>
  </w:num>
  <w:num w:numId="3" w16cid:durableId="21235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19"/>
    <w:rsid w:val="001D570D"/>
    <w:rsid w:val="0021230B"/>
    <w:rsid w:val="002A1B0C"/>
    <w:rsid w:val="0031433E"/>
    <w:rsid w:val="00335AA5"/>
    <w:rsid w:val="00455F59"/>
    <w:rsid w:val="00490CBB"/>
    <w:rsid w:val="00677BFF"/>
    <w:rsid w:val="0069428D"/>
    <w:rsid w:val="006D52AB"/>
    <w:rsid w:val="00706719"/>
    <w:rsid w:val="00946F1C"/>
    <w:rsid w:val="009A5E15"/>
    <w:rsid w:val="009D20B6"/>
    <w:rsid w:val="009D7059"/>
    <w:rsid w:val="00AF482A"/>
    <w:rsid w:val="00B33ED2"/>
    <w:rsid w:val="00D6221B"/>
    <w:rsid w:val="00D976F7"/>
    <w:rsid w:val="00EB3527"/>
    <w:rsid w:val="00F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35FD"/>
  <w15:docId w15:val="{C2C39AC6-12D9-4207-B5D6-37280531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D52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2AB"/>
  </w:style>
  <w:style w:type="paragraph" w:styleId="Pidipagina">
    <w:name w:val="footer"/>
    <w:basedOn w:val="Normale"/>
    <w:link w:val="PidipaginaCarattere"/>
    <w:uiPriority w:val="99"/>
    <w:unhideWhenUsed/>
    <w:rsid w:val="006D52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2AB"/>
  </w:style>
  <w:style w:type="paragraph" w:styleId="Corpotesto">
    <w:name w:val="Body Text"/>
    <w:basedOn w:val="Normale"/>
    <w:link w:val="CorpotestoCarattere"/>
    <w:qFormat/>
    <w:rsid w:val="00677BFF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it" w:eastAsia="en-US"/>
    </w:rPr>
  </w:style>
  <w:style w:type="character" w:customStyle="1" w:styleId="CorpotestoCarattere">
    <w:name w:val="Corpo testo Carattere"/>
    <w:basedOn w:val="Carpredefinitoparagrafo"/>
    <w:link w:val="Corpotesto"/>
    <w:rsid w:val="00677BFF"/>
    <w:rPr>
      <w:rFonts w:asciiTheme="minorHAnsi" w:eastAsiaTheme="minorHAnsi" w:hAnsiTheme="minorHAnsi" w:cstheme="minorBidi"/>
      <w:sz w:val="24"/>
      <w:szCs w:val="24"/>
      <w:lang w:val="it" w:eastAsia="en-US"/>
    </w:rPr>
  </w:style>
  <w:style w:type="paragraph" w:customStyle="1" w:styleId="FirstParagraph">
    <w:name w:val="First Paragraph"/>
    <w:basedOn w:val="Corpotesto"/>
    <w:next w:val="Corpotesto"/>
    <w:qFormat/>
    <w:rsid w:val="00677BFF"/>
  </w:style>
  <w:style w:type="paragraph" w:customStyle="1" w:styleId="Compact">
    <w:name w:val="Compact"/>
    <w:basedOn w:val="Corpotesto"/>
    <w:qFormat/>
    <w:rsid w:val="00677BFF"/>
    <w:pPr>
      <w:spacing w:before="36" w:after="36"/>
    </w:pPr>
  </w:style>
  <w:style w:type="character" w:styleId="Collegamentoipertestuale">
    <w:name w:val="Hyperlink"/>
    <w:basedOn w:val="Carpredefinitoparagrafo"/>
    <w:rsid w:val="00677BFF"/>
    <w:rPr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677B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Alessandro Murana</cp:lastModifiedBy>
  <cp:revision>9</cp:revision>
  <dcterms:created xsi:type="dcterms:W3CDTF">2026-01-21T17:15:00Z</dcterms:created>
  <dcterms:modified xsi:type="dcterms:W3CDTF">2026-01-21T17:40:00Z</dcterms:modified>
</cp:coreProperties>
</file>