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tbl>
      <w:tblPr>
        <w:tblW w:w="9851" w:type="dxa"/>
        <w:tblLayout w:type="fixed"/>
        <w:tblCellMar>
          <w:left w:w="70" w:type="dxa"/>
          <w:right w:w="70" w:type="dxa"/>
        </w:tblCellMar>
        <w:tblLook w:val="0000"/>
      </w:tblPr>
      <w:tblGrid>
        <w:gridCol w:w="9851"/>
      </w:tblGrid>
      <w:tr>
        <w:tblPrEx>
          <w:tblW w:w="9851" w:type="dxa"/>
          <w:tblLayout w:type="fixed"/>
          <w:tblCellMar>
            <w:left w:w="70" w:type="dxa"/>
            <w:right w:w="70" w:type="dxa"/>
          </w:tblCellMar>
          <w:tblLook w:val="0000"/>
        </w:tblPrEx>
        <w:trPr>
          <w:cantSplit/>
        </w:trPr>
        <w:tc>
          <w:tcPr>
            <w:tcW w:w="9851" w:type="dxa"/>
            <w:tcBorders>
              <w:top w:val="nil"/>
              <w:left w:val="nil"/>
              <w:bottom w:val="nil"/>
              <w:right w:val="nil"/>
            </w:tcBorders>
          </w:tcPr>
          <w:p w:rsidR="009175BF" w:rsidP="009175BF">
            <w:pPr>
              <w:pStyle w:val="Header"/>
            </w:pPr>
            <w:r>
              <w:rPr>
                <w:noProof/>
              </w:rPr>
              <w:drawing>
                <wp:inline distT="0" distB="0" distL="0" distR="0">
                  <wp:extent cx="2419350" cy="942975"/>
                  <wp:effectExtent l="0" t="0" r="0" b="9525"/>
                  <wp:docPr id="1795212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21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9350" cy="942975"/>
                          </a:xfrm>
                          <a:prstGeom prst="rect">
                            <a:avLst/>
                          </a:prstGeom>
                          <a:noFill/>
                          <a:ln>
                            <a:noFill/>
                          </a:ln>
                        </pic:spPr>
                      </pic:pic>
                    </a:graphicData>
                  </a:graphic>
                </wp:inline>
              </w:drawing>
            </w:r>
          </w:p>
          <w:p w:rsidR="00012745" w:rsidP="00012745">
            <w:pPr>
              <w:pStyle w:val="NormaleIntestazione"/>
              <w:rPr>
                <w:rFonts w:ascii="Tms Rmn" w:hAnsi="Tms Rmn" w:cs="Tms Rmn"/>
                <w:i/>
                <w:iCs/>
                <w:snapToGrid w:val="0"/>
              </w:rPr>
            </w:pPr>
          </w:p>
        </w:tc>
      </w:tr>
    </w:tbl>
    <w:p w:rsidR="00012745" w:rsidRPr="00DF47F5" w:rsidP="00012745">
      <w:pPr>
        <w:pStyle w:val="NormaleIntestazione"/>
        <w:rPr>
          <w:b w:val="0"/>
          <w:bCs w:val="0"/>
          <w:snapToGrid w:val="0"/>
        </w:rPr>
      </w:pPr>
    </w:p>
    <w:p w:rsidR="00012745" w:rsidRPr="00DF47F5" w:rsidP="00012745">
      <w:pPr>
        <w:pStyle w:val="NormaleIntestazione"/>
        <w:rPr>
          <w:b w:val="0"/>
          <w:bCs w:val="0"/>
          <w:snapToGrid w:val="0"/>
        </w:rPr>
      </w:pPr>
    </w:p>
    <w:tbl>
      <w:tblPr>
        <w:tblW w:w="9720" w:type="dxa"/>
        <w:tblInd w:w="70" w:type="dxa"/>
        <w:tblLayout w:type="fixed"/>
        <w:tblCellMar>
          <w:left w:w="70" w:type="dxa"/>
          <w:right w:w="70" w:type="dxa"/>
        </w:tblCellMar>
        <w:tblLook w:val="0000"/>
      </w:tblPr>
      <w:tblGrid>
        <w:gridCol w:w="3611"/>
        <w:gridCol w:w="6109"/>
      </w:tblGrid>
      <w:tr w:rsidTr="00737561">
        <w:tblPrEx>
          <w:tblW w:w="9720" w:type="dxa"/>
          <w:tblInd w:w="70" w:type="dxa"/>
          <w:tblLayout w:type="fixed"/>
          <w:tblCellMar>
            <w:left w:w="70" w:type="dxa"/>
            <w:right w:w="70" w:type="dxa"/>
          </w:tblCellMar>
          <w:tblLook w:val="0000"/>
        </w:tblPrEx>
        <w:tc>
          <w:tcPr>
            <w:tcW w:w="3611" w:type="dxa"/>
            <w:tcBorders>
              <w:top w:val="single" w:sz="4" w:space="0" w:color="auto"/>
              <w:left w:val="single" w:sz="4" w:space="0" w:color="auto"/>
              <w:bottom w:val="single" w:sz="4" w:space="0" w:color="auto"/>
              <w:right w:val="single" w:sz="4" w:space="0" w:color="auto"/>
            </w:tcBorders>
          </w:tcPr>
          <w:p w:rsidR="00737561" w:rsidRPr="00F64FA0" w:rsidP="00737561">
            <w:pPr>
              <w:pStyle w:val="NormaleIntestazione"/>
              <w:rPr>
                <w:b w:val="0"/>
                <w:bCs w:val="0"/>
                <w:snapToGrid w:val="0"/>
                <w:sz w:val="16"/>
                <w:szCs w:val="16"/>
              </w:rPr>
            </w:pPr>
          </w:p>
          <w:p w:rsidR="00737561" w:rsidP="00737561">
            <w:pPr>
              <w:pStyle w:val="NormaleIntestazione"/>
              <w:rPr>
                <w:snapToGrid w:val="0"/>
              </w:rPr>
            </w:pPr>
            <w:r w:rsidRPr="00846728">
              <w:rPr>
                <w:snapToGrid w:val="0"/>
              </w:rPr>
              <w:t xml:space="preserve">Reg. Gen n. </w:t>
            </w:r>
            <w:bookmarkStart w:id="0" w:name="numero"/>
            <w:r>
              <w:rPr>
                <w:snapToGrid w:val="0"/>
              </w:rPr>
              <w:t>64</w:t>
            </w:r>
            <w:bookmarkEnd w:id="0"/>
            <w:r>
              <w:rPr>
                <w:snapToGrid w:val="0"/>
              </w:rPr>
              <w:t xml:space="preserve"> </w:t>
            </w:r>
          </w:p>
          <w:p w:rsidR="00737561" w:rsidRPr="00F64FA0" w:rsidP="00737561">
            <w:pPr>
              <w:pStyle w:val="NormaleIntestazione"/>
              <w:rPr>
                <w:b w:val="0"/>
                <w:bCs w:val="0"/>
                <w:snapToGrid w:val="0"/>
                <w:sz w:val="16"/>
                <w:szCs w:val="16"/>
              </w:rPr>
            </w:pPr>
          </w:p>
          <w:p w:rsidR="00737561" w:rsidP="00737561">
            <w:pPr>
              <w:pStyle w:val="NormaleIntestazione"/>
              <w:rPr>
                <w:snapToGrid w:val="0"/>
              </w:rPr>
            </w:pPr>
            <w:r>
              <w:rPr>
                <w:snapToGrid w:val="0"/>
              </w:rPr>
              <w:t xml:space="preserve">del </w:t>
            </w:r>
            <w:bookmarkStart w:id="1" w:name="data"/>
            <w:r>
              <w:rPr>
                <w:snapToGrid w:val="0"/>
              </w:rPr>
              <w:t>26/01/2026</w:t>
            </w:r>
            <w:bookmarkEnd w:id="1"/>
            <w:r>
              <w:rPr>
                <w:snapToGrid w:val="0"/>
              </w:rPr>
              <w:t xml:space="preserve"> </w:t>
            </w:r>
          </w:p>
          <w:p w:rsidR="00737561" w:rsidRPr="00737561" w:rsidP="00737561">
            <w:pPr>
              <w:pStyle w:val="NormaleIntestazione"/>
              <w:rPr>
                <w:snapToGrid w:val="0"/>
                <w:sz w:val="16"/>
                <w:szCs w:val="16"/>
              </w:rPr>
            </w:pPr>
          </w:p>
        </w:tc>
        <w:tc>
          <w:tcPr>
            <w:tcW w:w="6109" w:type="dxa"/>
            <w:tcBorders>
              <w:left w:val="single" w:sz="4" w:space="0" w:color="auto"/>
            </w:tcBorders>
          </w:tcPr>
          <w:p w:rsidR="00737561" w:rsidRPr="00846728" w:rsidP="00012745">
            <w:pPr>
              <w:pStyle w:val="NormaleIntestazione"/>
              <w:rPr>
                <w:snapToGrid w:val="0"/>
                <w:sz w:val="4"/>
                <w:szCs w:val="4"/>
              </w:rPr>
            </w:pPr>
          </w:p>
        </w:tc>
      </w:tr>
    </w:tbl>
    <w:p w:rsidR="00012745" w:rsidRPr="00CB40C2" w:rsidP="00737561">
      <w:pPr>
        <w:pStyle w:val="NormaleIntestazione"/>
        <w:rPr>
          <w:b w:val="0"/>
          <w:bCs w:val="0"/>
          <w:snapToGrid w:val="0"/>
        </w:rPr>
      </w:pPr>
    </w:p>
    <w:p w:rsidR="00012745" w:rsidRPr="008A283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GESTIONE GIURIDICA DEL PERSONALE</w:t>
      </w:r>
      <w:bookmarkEnd w:id="2"/>
      <w:r>
        <w:rPr>
          <w:b w:val="0"/>
          <w:bCs w:val="0"/>
          <w:caps/>
          <w:snapToGrid w:val="0"/>
          <w:sz w:val="30"/>
          <w:szCs w:val="30"/>
        </w:rPr>
        <w:t xml:space="preserve"> </w:t>
      </w:r>
    </w:p>
    <w:p w:rsidR="00012745" w:rsidRPr="00CB40C2" w:rsidP="00737561">
      <w:pPr>
        <w:pStyle w:val="NormaleIntestazione"/>
        <w:rPr>
          <w:b w:val="0"/>
          <w:bCs w:val="0"/>
          <w:smallCaps/>
          <w:snapToGrid w:val="0"/>
        </w:rPr>
      </w:pPr>
    </w:p>
    <w:tbl>
      <w:tblPr>
        <w:tblW w:w="0" w:type="auto"/>
        <w:tblLayout w:type="fixed"/>
        <w:tblCellMar>
          <w:left w:w="70" w:type="dxa"/>
          <w:right w:w="70" w:type="dxa"/>
        </w:tblCellMar>
        <w:tblLook w:val="0000"/>
      </w:tblPr>
      <w:tblGrid>
        <w:gridCol w:w="1630"/>
        <w:gridCol w:w="7512"/>
      </w:tblGrid>
      <w:tr>
        <w:tblPrEx>
          <w:tblW w:w="0" w:type="auto"/>
          <w:tblLayout w:type="fixed"/>
          <w:tblCellMar>
            <w:left w:w="70" w:type="dxa"/>
            <w:right w:w="70" w:type="dxa"/>
          </w:tblCellMar>
          <w:tblLook w:val="0000"/>
        </w:tblPrEx>
        <w:trPr>
          <w:cantSplit/>
        </w:trPr>
        <w:tc>
          <w:tcPr>
            <w:tcW w:w="1630" w:type="dxa"/>
            <w:tcBorders>
              <w:top w:val="nil"/>
              <w:left w:val="nil"/>
              <w:bottom w:val="nil"/>
              <w:right w:val="nil"/>
            </w:tcBorders>
          </w:tcPr>
          <w:p w:rsidR="00012745" w:rsidP="00737561">
            <w:pPr>
              <w:pStyle w:val="NormaleIntestazione"/>
              <w:rPr>
                <w:i/>
                <w:iCs/>
              </w:rPr>
            </w:pPr>
            <w:r>
              <w:t>OGGETTO</w:t>
            </w:r>
            <w:r>
              <w:rPr>
                <w:b w:val="0"/>
                <w:bCs w:val="0"/>
                <w:i/>
                <w:iCs/>
              </w:rPr>
              <w:t>:</w:t>
            </w:r>
          </w:p>
        </w:tc>
        <w:tc>
          <w:tcPr>
            <w:tcW w:w="7512" w:type="dxa"/>
            <w:tcBorders>
              <w:top w:val="nil"/>
              <w:left w:val="nil"/>
              <w:bottom w:val="nil"/>
              <w:right w:val="nil"/>
            </w:tcBorders>
          </w:tcPr>
          <w:p w:rsidR="00012745" w:rsidP="00737561">
            <w:pPr>
              <w:pStyle w:val="NormaleIntestazione"/>
              <w:rPr>
                <w:b w:val="0"/>
                <w:bCs w:val="0"/>
                <w:snapToGrid w:val="0"/>
              </w:rPr>
            </w:pPr>
            <w:bookmarkStart w:id="3" w:name="oggetto"/>
            <w:r>
              <w:rPr>
                <w:b w:val="0"/>
                <w:bCs w:val="0"/>
                <w:snapToGrid w:val="0"/>
              </w:rPr>
              <w:t>DETERMINAZIONE A CONTRARRE E AFFIDAMENTO DIRETTO DEL SERVIZIO "FORMAZIONE ANNUALE OMNIA" -  CIG B9FF0C1FAB</w:t>
            </w:r>
            <w:bookmarkEnd w:id="3"/>
            <w:r>
              <w:rPr>
                <w:b w:val="0"/>
                <w:bCs w:val="0"/>
                <w:snapToGrid w:val="0"/>
              </w:rPr>
              <w:t xml:space="preserve"> </w:t>
            </w:r>
          </w:p>
        </w:tc>
      </w:tr>
    </w:tbl>
    <w:p w:rsidR="00012745" w:rsidP="00737561">
      <w:pPr>
        <w:pStyle w:val="NormaleRetro"/>
      </w:pPr>
    </w:p>
    <w:p w:rsidR="00012745" w:rsidP="00737561">
      <w:pPr>
        <w:pStyle w:val="NormaleRetro"/>
        <w:jc w:val="center"/>
        <w:rPr>
          <w:b/>
          <w:bCs/>
        </w:rPr>
      </w:pPr>
      <w:r w:rsidR="00DF58CF">
        <w:rPr>
          <w:b/>
          <w:bCs/>
        </w:rPr>
        <w:t>IL RESPONSABILE DI SETTORE</w:t>
      </w:r>
    </w:p>
    <w:p w:rsidR="00737561" w:rsidP="00737561">
      <w:pPr>
        <w:pStyle w:val="NormaleRetro"/>
        <w:jc w:val="center"/>
        <w:rPr>
          <w:b/>
          <w:bCs/>
        </w:rPr>
      </w:pPr>
    </w:p>
    <w:p w:rsidR="00B337B8" w:rsidP="00AF4BA7" w14:paraId="5D4B3F32" w14:textId="77777777">
      <w:pPr>
        <w:rPr>
          <w:rFonts w:cs="Times New Roman"/>
          <w:bCs/>
        </w:rPr>
      </w:pPr>
      <w:bookmarkStart w:id="4" w:name="testo"/>
      <w:r w:rsidRPr="001856FE">
        <w:rPr>
          <w:rFonts w:cs="Times New Roman"/>
          <w:bCs/>
        </w:rPr>
        <w:t>RICHIAMATI:</w:t>
      </w:r>
    </w:p>
    <w:p w:rsidR="000463C7" w:rsidRPr="001856FE" w:rsidP="00AF4BA7" w14:paraId="2FF2352F" w14:textId="77777777">
      <w:pPr>
        <w:rPr>
          <w:rFonts w:cs="Times New Roman"/>
          <w:bCs/>
        </w:rPr>
      </w:pPr>
    </w:p>
    <w:p w:rsidR="00B337B8" w:rsidRPr="001856FE" w:rsidP="00AF4BA7" w14:paraId="2AC4401A" w14:textId="77777777">
      <w:pPr>
        <w:widowControl/>
        <w:numPr>
          <w:ilvl w:val="0"/>
          <w:numId w:val="33"/>
        </w:numPr>
        <w:ind w:left="629"/>
        <w:textAlignment w:val="auto"/>
        <w:rPr>
          <w:rFonts w:cs="Times New Roman"/>
        </w:rPr>
      </w:pPr>
      <w:r w:rsidRPr="001856FE">
        <w:rPr>
          <w:rFonts w:cs="Times New Roman"/>
        </w:rPr>
        <w:t>la deliberazione di Consiglio comunale n. 57 del 17 dicembre 2025, con la quale è stato approvato il Documento Unico di Programmazione (DUP) 2025/2027 – Sezione strategica 2024/2029 - Sezione operativa 2026/2028;</w:t>
      </w:r>
    </w:p>
    <w:p w:rsidR="00B337B8" w:rsidRPr="001856FE" w:rsidP="00AF4BA7" w14:paraId="45DBDE3E" w14:textId="77777777">
      <w:pPr>
        <w:widowControl/>
        <w:numPr>
          <w:ilvl w:val="0"/>
          <w:numId w:val="33"/>
        </w:numPr>
        <w:textAlignment w:val="auto"/>
        <w:rPr>
          <w:rFonts w:cs="Times New Roman"/>
        </w:rPr>
      </w:pPr>
      <w:r w:rsidRPr="001856FE">
        <w:rPr>
          <w:rFonts w:cs="Times New Roman"/>
        </w:rPr>
        <w:t>la deliberazione di Consiglio comunale n. 58 del 17 dicembre 2025, con la quale è stato approvato il Bilancio di previsione 2026/2028;</w:t>
      </w:r>
    </w:p>
    <w:p w:rsidR="00B337B8" w:rsidRPr="001856FE" w:rsidP="00AF4BA7" w14:paraId="1EE9BE3A" w14:textId="77777777">
      <w:pPr>
        <w:widowControl/>
        <w:numPr>
          <w:ilvl w:val="0"/>
          <w:numId w:val="33"/>
        </w:numPr>
        <w:ind w:left="629"/>
        <w:textAlignment w:val="auto"/>
        <w:rPr>
          <w:rFonts w:cs="Times New Roman"/>
        </w:rPr>
      </w:pPr>
      <w:r w:rsidRPr="001856FE">
        <w:rPr>
          <w:rFonts w:cs="Times New Roman"/>
        </w:rPr>
        <w:t>la deliberazione di Giunta comunale n. 203 del 22 dicembre 2025, con la quale è stato approvato il Piano esecutivo di gestione 2026/2028;</w:t>
      </w:r>
    </w:p>
    <w:p w:rsidR="00B337B8" w:rsidRPr="001856FE" w:rsidP="00AF4BA7" w14:paraId="08337869" w14:textId="77777777">
      <w:pPr>
        <w:widowControl/>
        <w:numPr>
          <w:ilvl w:val="0"/>
          <w:numId w:val="33"/>
        </w:numPr>
        <w:ind w:left="629"/>
        <w:textAlignment w:val="auto"/>
        <w:rPr>
          <w:rFonts w:cs="Times New Roman"/>
        </w:rPr>
      </w:pPr>
      <w:r w:rsidRPr="001856FE">
        <w:rPr>
          <w:rFonts w:cs="Times New Roman"/>
        </w:rPr>
        <w:t>il regolamento comunale sull’ordinamento degli uffici e dei servizi, il quale stabilisce che il Segretario comunale svolge il ruolo di il Responsabile del personale;</w:t>
      </w:r>
    </w:p>
    <w:p w:rsidR="00B337B8" w:rsidRPr="001856FE" w:rsidP="00AF4BA7" w14:paraId="399F169B" w14:textId="77777777">
      <w:pPr>
        <w:widowControl/>
        <w:autoSpaceDE w:val="0"/>
        <w:textAlignment w:val="auto"/>
        <w:rPr>
          <w:rFonts w:cs="Times New Roman"/>
        </w:rPr>
      </w:pPr>
    </w:p>
    <w:p w:rsidR="00B337B8" w:rsidP="00AF4BA7" w14:paraId="3BDB0836" w14:textId="5CD6D8A1">
      <w:pPr>
        <w:widowControl/>
        <w:autoSpaceDE w:val="0"/>
        <w:textAlignment w:val="auto"/>
        <w:rPr>
          <w:rFonts w:cs="Times New Roman"/>
        </w:rPr>
      </w:pPr>
      <w:r w:rsidRPr="001856FE">
        <w:rPr>
          <w:rFonts w:cs="Times New Roman"/>
        </w:rPr>
        <w:t>RICHIAMATO l’art. 54 del CCNL 16.11.2022, il quale prevede che:</w:t>
      </w:r>
    </w:p>
    <w:p w:rsidR="000463C7" w:rsidRPr="001856FE" w:rsidP="00AF4BA7" w14:paraId="79EF27C9" w14:textId="77777777">
      <w:pPr>
        <w:widowControl/>
        <w:autoSpaceDE w:val="0"/>
        <w:textAlignment w:val="auto"/>
        <w:rPr>
          <w:rFonts w:cs="Times New Roman"/>
        </w:rPr>
      </w:pPr>
    </w:p>
    <w:p w:rsidR="00B337B8" w:rsidRPr="001856FE" w:rsidP="00AF4BA7" w14:paraId="6DF5A5D8" w14:textId="77777777">
      <w:pPr>
        <w:widowControl/>
        <w:autoSpaceDE w:val="0"/>
        <w:textAlignment w:val="auto"/>
        <w:rPr>
          <w:rFonts w:cs="Times New Roman"/>
          <w:i/>
        </w:rPr>
      </w:pPr>
      <w:r w:rsidRPr="001856FE">
        <w:rPr>
          <w:rFonts w:cs="Times New Roman"/>
        </w:rPr>
        <w:t>“</w:t>
      </w:r>
      <w:r w:rsidRPr="001856FE">
        <w:rPr>
          <w:rFonts w:cs="Times New Roman"/>
          <w:i/>
        </w:rPr>
        <w:t>1. Nel quadro dei processi di riforma e modernizzazione della pubblica amministrazione, la formazione del personale svolge un ruolo primario nelle strategie di cambiamento dirette a conseguire una maggiore qualità ed efficacia dell’attività delle amministrazioni.</w:t>
      </w:r>
    </w:p>
    <w:p w:rsidR="00B337B8" w:rsidRPr="001856FE" w:rsidP="00AF4BA7" w14:paraId="03E84243" w14:textId="77777777">
      <w:pPr>
        <w:widowControl/>
        <w:autoSpaceDE w:val="0"/>
        <w:textAlignment w:val="auto"/>
        <w:rPr>
          <w:rFonts w:cs="Times New Roman"/>
        </w:rPr>
      </w:pPr>
      <w:r w:rsidRPr="001856FE">
        <w:rPr>
          <w:rFonts w:cs="Times New Roman"/>
          <w:i/>
        </w:rPr>
        <w:t>2. Per sostenere una efficace politica di sviluppo delle risorse umane, gli enti assumono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w:t>
      </w:r>
      <w:r w:rsidRPr="001856FE">
        <w:rPr>
          <w:rFonts w:cs="Times New Roman"/>
        </w:rPr>
        <w:t xml:space="preserve"> [...]</w:t>
      </w:r>
    </w:p>
    <w:p w:rsidR="00B337B8" w:rsidRPr="001856FE" w:rsidP="00AF4BA7" w14:paraId="0042C24F" w14:textId="77777777">
      <w:pPr>
        <w:widowControl/>
        <w:autoSpaceDE w:val="0"/>
        <w:textAlignment w:val="auto"/>
        <w:rPr>
          <w:rFonts w:cs="Times New Roman"/>
          <w:i/>
        </w:rPr>
      </w:pPr>
      <w:r w:rsidRPr="001856FE">
        <w:rPr>
          <w:rFonts w:cs="Times New Roman"/>
          <w:i/>
        </w:rPr>
        <w:t xml:space="preserve">4. Le attività di formazione individuate ai sensi del comma precedente sono rivolte a: </w:t>
      </w:r>
    </w:p>
    <w:p w:rsidR="00B337B8" w:rsidRPr="001856FE" w:rsidP="00AF4BA7" w14:paraId="1C250C7F" w14:textId="77777777">
      <w:pPr>
        <w:pStyle w:val="ListParagraph"/>
        <w:numPr>
          <w:ilvl w:val="0"/>
          <w:numId w:val="34"/>
        </w:numPr>
        <w:suppressAutoHyphens/>
        <w:autoSpaceDE w:val="0"/>
        <w:rPr>
          <w:rFonts w:ascii="Times New Roman" w:hAnsi="Times New Roman" w:cs="Times New Roman"/>
          <w:i/>
        </w:rPr>
      </w:pPr>
      <w:r w:rsidRPr="001856FE">
        <w:rPr>
          <w:rFonts w:ascii="Times New Roman" w:hAnsi="Times New Roman" w:cs="Times New Roman"/>
          <w:i/>
        </w:rPr>
        <w:t>valorizzare il patrimonio professionale presente negli enti;</w:t>
      </w:r>
    </w:p>
    <w:p w:rsidR="00B337B8" w:rsidRPr="001856FE" w:rsidP="00AF4BA7" w14:paraId="545D15AA" w14:textId="77777777">
      <w:pPr>
        <w:pStyle w:val="ListParagraph"/>
        <w:numPr>
          <w:ilvl w:val="0"/>
          <w:numId w:val="34"/>
        </w:numPr>
        <w:suppressAutoHyphens/>
        <w:autoSpaceDE w:val="0"/>
        <w:rPr>
          <w:rFonts w:ascii="Times New Roman" w:hAnsi="Times New Roman" w:cs="Times New Roman"/>
          <w:i/>
        </w:rPr>
      </w:pPr>
      <w:r w:rsidRPr="001856FE">
        <w:rPr>
          <w:rFonts w:ascii="Times New Roman" w:hAnsi="Times New Roman" w:cs="Times New Roman"/>
          <w:i/>
        </w:rPr>
        <w:t>assicurare il supporto conoscitivo al fine di assicurare l’operatività dei servizi migliorandone la qualità e l’efficienza con particolare riguardo allo sviluppo delle competenze digitali;</w:t>
      </w:r>
    </w:p>
    <w:p w:rsidR="00B337B8" w:rsidRPr="001856FE" w:rsidP="00AF4BA7" w14:paraId="12150575" w14:textId="77777777">
      <w:pPr>
        <w:pStyle w:val="ListParagraph"/>
        <w:numPr>
          <w:ilvl w:val="0"/>
          <w:numId w:val="34"/>
        </w:numPr>
        <w:suppressAutoHyphens/>
        <w:autoSpaceDE w:val="0"/>
        <w:rPr>
          <w:rFonts w:ascii="Times New Roman" w:hAnsi="Times New Roman" w:cs="Times New Roman"/>
          <w:i/>
        </w:rPr>
      </w:pPr>
      <w:r w:rsidRPr="001856FE">
        <w:rPr>
          <w:rFonts w:ascii="Times New Roman" w:hAnsi="Times New Roman" w:cs="Times New Roman"/>
          <w:i/>
        </w:rPr>
        <w:t>garantire l’aggiornamento professionale in relazione all’utilizzo di nuove metodologie lavorative ovvero di nuove tecnologie, nonché il costante adeguamento delle prassi lavorative alle eventuali innovazioni intervenute, anche per effetto di nuove disposizioni legislative;</w:t>
      </w:r>
    </w:p>
    <w:p w:rsidR="00B337B8" w:rsidRPr="001856FE" w:rsidP="00AF4BA7" w14:paraId="4B7F2628" w14:textId="77777777">
      <w:pPr>
        <w:pStyle w:val="ListParagraph"/>
        <w:numPr>
          <w:ilvl w:val="0"/>
          <w:numId w:val="34"/>
        </w:numPr>
        <w:suppressAutoHyphens/>
        <w:autoSpaceDE w:val="0"/>
        <w:rPr>
          <w:rFonts w:ascii="Times New Roman" w:hAnsi="Times New Roman" w:cs="Times New Roman"/>
          <w:i/>
        </w:rPr>
      </w:pPr>
      <w:r w:rsidRPr="001856FE">
        <w:rPr>
          <w:rFonts w:ascii="Times New Roman" w:hAnsi="Times New Roman" w:cs="Times New Roman"/>
          <w:i/>
        </w:rPr>
        <w:t>favorire la crescita professionale del lavoratore e lo sviluppo delle potenzialità dei dipendenti in funzione dell’affidamento di incarichi diversi e della costituzione di figure professionali polivalenti;</w:t>
      </w:r>
    </w:p>
    <w:p w:rsidR="00B337B8" w:rsidRPr="001856FE" w:rsidP="00AF4BA7" w14:paraId="67E79F66" w14:textId="77777777">
      <w:pPr>
        <w:pStyle w:val="ListParagraph"/>
        <w:numPr>
          <w:ilvl w:val="0"/>
          <w:numId w:val="34"/>
        </w:numPr>
        <w:suppressAutoHyphens/>
        <w:autoSpaceDE w:val="0"/>
        <w:rPr>
          <w:rFonts w:ascii="Times New Roman" w:hAnsi="Times New Roman" w:cs="Times New Roman"/>
        </w:rPr>
      </w:pPr>
      <w:r w:rsidRPr="001856FE">
        <w:rPr>
          <w:rFonts w:ascii="Times New Roman" w:hAnsi="Times New Roman" w:cs="Times New Roman"/>
          <w:i/>
        </w:rPr>
        <w:t>incentivare comportamenti innovativi che consentano l’ottimizzazione dei livelli di qualità ed efficienza dei servizi pubblici, nell’ottica di sostenere i processi di cambiamento organizzativo.</w:t>
      </w:r>
      <w:r w:rsidRPr="001856FE">
        <w:rPr>
          <w:rFonts w:ascii="Times New Roman" w:hAnsi="Times New Roman" w:cs="Times New Roman"/>
        </w:rPr>
        <w:t>”;</w:t>
      </w:r>
    </w:p>
    <w:p w:rsidR="00B337B8" w:rsidRPr="001856FE" w:rsidP="00AF4BA7" w14:paraId="39419099" w14:textId="77777777">
      <w:pPr>
        <w:autoSpaceDE w:val="0"/>
        <w:ind w:left="360"/>
        <w:rPr>
          <w:rFonts w:cs="Times New Roman"/>
        </w:rPr>
      </w:pPr>
    </w:p>
    <w:p w:rsidR="00AF4BA7" w:rsidP="00AF4BA7" w14:paraId="6DAFC714" w14:textId="77777777">
      <w:pPr>
        <w:widowControl/>
        <w:shd w:val="clear" w:color="auto" w:fill="FFFFFF"/>
        <w:autoSpaceDE w:val="0"/>
        <w:textAlignment w:val="auto"/>
        <w:outlineLvl w:val="0"/>
        <w:rPr>
          <w:rFonts w:cs="Times New Roman"/>
          <w:bCs/>
        </w:rPr>
      </w:pPr>
      <w:r>
        <w:rPr>
          <w:rFonts w:cs="Times New Roman"/>
          <w:bCs/>
        </w:rPr>
        <w:t>VISTA la proposta pervenuta dalla ditta Grafiche E. Gaspari s.r.l, acquisita con protocollo n. 630/2026, relativa ad un portale dedicato alla formazione dei dipendenti denominato “Formazione annuale Omnia”, il quale:</w:t>
      </w:r>
    </w:p>
    <w:p w:rsidR="00AF4BA7" w:rsidRPr="00AF4BA7" w:rsidP="00AF4BA7" w14:paraId="1B63AB5C" w14:textId="77777777">
      <w:pPr>
        <w:pStyle w:val="ListParagraph"/>
        <w:numPr>
          <w:ilvl w:val="0"/>
          <w:numId w:val="35"/>
        </w:numPr>
        <w:tabs>
          <w:tab w:val="left" w:pos="937"/>
        </w:tabs>
        <w:suppressAutoHyphens/>
        <w:rPr>
          <w:rFonts w:ascii="Times New Roman" w:hAnsi="Times New Roman" w:cs="Times New Roman"/>
          <w:bCs/>
        </w:rPr>
      </w:pPr>
      <w:r w:rsidRPr="00AF4BA7">
        <w:rPr>
          <w:rFonts w:ascii="Times New Roman" w:hAnsi="Times New Roman" w:cs="Times New Roman"/>
          <w:bCs/>
        </w:rPr>
        <w:t>fornisce annualmente un’ampia gamma di corsi, articolati per aree tematiche e costantemente aggiornati;</w:t>
      </w:r>
    </w:p>
    <w:p w:rsidR="00AF4BA7" w:rsidRPr="00AF4BA7" w:rsidP="00AF4BA7" w14:paraId="7EBAB63E" w14:textId="77777777">
      <w:pPr>
        <w:pStyle w:val="ListParagraph"/>
        <w:numPr>
          <w:ilvl w:val="0"/>
          <w:numId w:val="35"/>
        </w:numPr>
        <w:tabs>
          <w:tab w:val="left" w:pos="937"/>
        </w:tabs>
        <w:suppressAutoHyphens/>
        <w:rPr>
          <w:rFonts w:ascii="Times New Roman" w:hAnsi="Times New Roman" w:cs="Times New Roman"/>
          <w:bCs/>
        </w:rPr>
      </w:pPr>
      <w:r w:rsidRPr="00AF4BA7">
        <w:rPr>
          <w:rFonts w:ascii="Times New Roman" w:hAnsi="Times New Roman" w:cs="Times New Roman"/>
          <w:bCs/>
        </w:rPr>
        <w:t>consente di soddisfare il fabbisogno formativo di tutti gli uffici comunali, mediante una piattaforma online, dalla quale è possibile assegnare i corsi ai dipendenti e monitorare in tempo reale lo stato di avanzamento dei percorsi formativi intrapresi;</w:t>
      </w:r>
    </w:p>
    <w:p w:rsidR="00AF4BA7" w:rsidRPr="00AF4BA7" w:rsidP="00AF4BA7" w14:paraId="3A08DAAD" w14:textId="1C3B8E75">
      <w:pPr>
        <w:pStyle w:val="ListParagraph"/>
        <w:numPr>
          <w:ilvl w:val="0"/>
          <w:numId w:val="35"/>
        </w:numPr>
        <w:tabs>
          <w:tab w:val="left" w:pos="937"/>
        </w:tabs>
        <w:suppressAutoHyphens/>
        <w:rPr>
          <w:rFonts w:ascii="Times New Roman" w:hAnsi="Times New Roman" w:cs="Times New Roman"/>
          <w:bCs/>
        </w:rPr>
      </w:pPr>
      <w:r w:rsidRPr="00AF4BA7">
        <w:rPr>
          <w:rFonts w:ascii="Times New Roman" w:hAnsi="Times New Roman" w:cs="Times New Roman"/>
          <w:bCs/>
        </w:rPr>
        <w:t>facilita l’adempimento degli obblighi di formazione previsti dalla direttiva del Ministro della Pubblica Amministrazione del 16 gennaio 2025;</w:t>
      </w:r>
    </w:p>
    <w:p w:rsidR="00B337B8" w:rsidRPr="00AF4BA7" w:rsidP="00AF4BA7" w14:paraId="45BF13E2" w14:textId="79642F7B">
      <w:pPr>
        <w:pStyle w:val="ListParagraph"/>
        <w:numPr>
          <w:ilvl w:val="0"/>
          <w:numId w:val="35"/>
        </w:numPr>
        <w:tabs>
          <w:tab w:val="left" w:pos="937"/>
        </w:tabs>
        <w:suppressAutoHyphens/>
        <w:rPr>
          <w:rFonts w:ascii="Times New Roman" w:hAnsi="Times New Roman" w:cs="Times New Roman"/>
          <w:bCs/>
        </w:rPr>
      </w:pPr>
      <w:r w:rsidRPr="00AF4BA7" w:rsidR="00134D76">
        <w:rPr>
          <w:rFonts w:ascii="Times New Roman" w:hAnsi="Times New Roman" w:cs="Times New Roman"/>
          <w:bCs/>
        </w:rPr>
        <w:t>comporta l’assunzione di una spesa pari a € 1.728,00, IVA esente;</w:t>
      </w:r>
    </w:p>
    <w:p w:rsidR="00134D76" w:rsidRPr="001856FE" w:rsidP="00AF4BA7" w14:paraId="0658E3A4" w14:textId="77777777">
      <w:pPr>
        <w:widowControl/>
        <w:shd w:val="clear" w:color="auto" w:fill="FFFFFF"/>
        <w:autoSpaceDE w:val="0"/>
        <w:textAlignment w:val="auto"/>
        <w:outlineLvl w:val="0"/>
        <w:rPr>
          <w:rFonts w:cs="Times New Roman"/>
          <w:bCs/>
        </w:rPr>
      </w:pPr>
    </w:p>
    <w:p w:rsidR="00B337B8" w:rsidRPr="001856FE" w:rsidP="00AF4BA7" w14:paraId="7259A59F" w14:textId="77777777">
      <w:pPr>
        <w:rPr>
          <w:rFonts w:cs="Times New Roman"/>
        </w:rPr>
      </w:pPr>
    </w:p>
    <w:p w:rsidR="001856FE" w:rsidP="00AF4BA7" w14:paraId="48B05B98" w14:textId="77777777">
      <w:pPr>
        <w:widowControl/>
        <w:autoSpaceDE w:val="0"/>
        <w:textAlignment w:val="auto"/>
        <w:rPr>
          <w:rFonts w:cs="Times New Roman"/>
        </w:rPr>
      </w:pPr>
      <w:r w:rsidRPr="001856FE">
        <w:rPr>
          <w:rFonts w:cs="Times New Roman"/>
        </w:rPr>
        <w:t>DATO ATTO:</w:t>
      </w:r>
    </w:p>
    <w:p w:rsidR="00B337B8" w:rsidRPr="00AF4BA7" w:rsidP="00AF4BA7" w14:paraId="018B044F" w14:textId="3D3B5E05">
      <w:pPr>
        <w:pStyle w:val="ListParagraph"/>
        <w:numPr>
          <w:ilvl w:val="0"/>
          <w:numId w:val="35"/>
        </w:numPr>
        <w:tabs>
          <w:tab w:val="left" w:pos="937"/>
        </w:tabs>
        <w:suppressAutoHyphens/>
        <w:rPr>
          <w:rFonts w:ascii="Times New Roman" w:hAnsi="Times New Roman" w:cs="Times New Roman"/>
          <w:bCs/>
        </w:rPr>
      </w:pPr>
      <w:r w:rsidRPr="00AF4BA7">
        <w:rPr>
          <w:rFonts w:ascii="Times New Roman" w:hAnsi="Times New Roman" w:cs="Times New Roman"/>
          <w:bCs/>
        </w:rPr>
        <w:t>che l’art. 50, comma 1, lett. b), del D.lgs. n. 36/2023 dispone che per appalti di valore inferiore a 140.000 euro si possa procedere mediante affidamento diretto, anche senza previa consultazione di più operatori economici;</w:t>
      </w:r>
    </w:p>
    <w:p w:rsidR="00B337B8" w:rsidRPr="00AF4BA7" w:rsidP="00AF4BA7" w14:paraId="6ADBDE4C" w14:textId="4C314D29">
      <w:pPr>
        <w:pStyle w:val="ListParagraph"/>
        <w:numPr>
          <w:ilvl w:val="0"/>
          <w:numId w:val="35"/>
        </w:numPr>
        <w:tabs>
          <w:tab w:val="left" w:pos="937"/>
        </w:tabs>
        <w:suppressAutoHyphens/>
        <w:rPr>
          <w:rFonts w:ascii="Times New Roman" w:hAnsi="Times New Roman" w:cs="Times New Roman"/>
          <w:bCs/>
        </w:rPr>
      </w:pPr>
      <w:r w:rsidRPr="00AF4BA7">
        <w:rPr>
          <w:rFonts w:ascii="Times New Roman" w:hAnsi="Times New Roman" w:cs="Times New Roman"/>
          <w:bCs/>
        </w:rPr>
        <w:t>che il vigente art. 1, comma 450, della legge 27 dicembre 2006, n. 296 stabilisce che per gli acquisti di beni e servizi di importo inferiore a 5.000,00 euro è ammesso l’affidamento al di fuori del Mercato Elettronico;</w:t>
      </w:r>
    </w:p>
    <w:p w:rsidR="00B337B8" w:rsidRPr="001856FE" w:rsidP="00AF4BA7" w14:paraId="250AB89E" w14:textId="77777777">
      <w:pPr>
        <w:rPr>
          <w:rFonts w:cs="Times New Roman"/>
        </w:rPr>
      </w:pPr>
    </w:p>
    <w:p w:rsidR="00AF4BA7" w:rsidP="00AF4BA7" w14:paraId="2FA3328C" w14:textId="77777777">
      <w:pPr>
        <w:rPr>
          <w:rFonts w:cs="Times New Roman"/>
        </w:rPr>
      </w:pPr>
      <w:r>
        <w:rPr>
          <w:rFonts w:cs="Times New Roman"/>
        </w:rPr>
        <w:t>VERIFICATE:</w:t>
      </w:r>
    </w:p>
    <w:p w:rsidR="00B337B8" w:rsidRPr="00AF4BA7" w:rsidP="00AF4BA7" w14:paraId="27595A72" w14:textId="12D109FD">
      <w:pPr>
        <w:pStyle w:val="ListParagraph"/>
        <w:numPr>
          <w:ilvl w:val="0"/>
          <w:numId w:val="33"/>
        </w:numPr>
        <w:rPr>
          <w:rFonts w:ascii="Times New Roman" w:hAnsi="Times New Roman" w:cs="Times New Roman"/>
          <w:lang w:eastAsia="en-US"/>
        </w:rPr>
      </w:pPr>
      <w:r w:rsidRPr="00AF4BA7">
        <w:rPr>
          <w:rFonts w:ascii="Times New Roman" w:hAnsi="Times New Roman" w:cs="Times New Roman"/>
        </w:rPr>
        <w:t xml:space="preserve">la regolarità e la correttezza dell’azione amministrativa del presente provvedimento, nonché </w:t>
      </w:r>
      <w:r w:rsidRPr="00AF4BA7">
        <w:rPr>
          <w:rFonts w:ascii="Times New Roman" w:hAnsi="Times New Roman" w:cs="Times New Roman"/>
          <w:lang w:eastAsia="en-US"/>
        </w:rPr>
        <w:t xml:space="preserve">l’assenza di situazioni di conflitto d’interesse della sottoscritta con la sottoscrizione del provvedimento medesimo; </w:t>
      </w:r>
    </w:p>
    <w:p w:rsidR="00AF4BA7" w:rsidRPr="00AF4BA7" w:rsidP="00AF4BA7" w14:paraId="7878E9A7" w14:textId="43A676EF">
      <w:pPr>
        <w:pStyle w:val="ListParagraph"/>
        <w:numPr>
          <w:ilvl w:val="0"/>
          <w:numId w:val="33"/>
        </w:numPr>
        <w:rPr>
          <w:rFonts w:ascii="Times New Roman" w:hAnsi="Times New Roman" w:cs="Times New Roman"/>
          <w:lang w:eastAsia="en-US"/>
        </w:rPr>
      </w:pPr>
      <w:r w:rsidRPr="00AF4BA7">
        <w:rPr>
          <w:rFonts w:ascii="Times New Roman" w:hAnsi="Times New Roman" w:cs="Times New Roman"/>
          <w:lang w:eastAsia="en-US"/>
        </w:rPr>
        <w:t>la compatibilità dei conseguenti pagamenti con i flussi di cassa e le regole di finanza pubblica;</w:t>
      </w:r>
    </w:p>
    <w:p w:rsidR="00B337B8" w:rsidP="00AF4BA7" w14:paraId="29EF811C" w14:textId="77777777">
      <w:pPr>
        <w:rPr>
          <w:rFonts w:cs="Times New Roman"/>
          <w:lang w:eastAsia="en-US"/>
        </w:rPr>
      </w:pPr>
    </w:p>
    <w:p w:rsidR="00AF4BA7" w:rsidP="00AF4BA7" w14:paraId="4B6C8313" w14:textId="18C77F3C">
      <w:pPr>
        <w:rPr>
          <w:rFonts w:cs="Times New Roman"/>
          <w:lang w:eastAsia="en-US"/>
        </w:rPr>
      </w:pPr>
      <w:r>
        <w:rPr>
          <w:rFonts w:cs="Times New Roman"/>
          <w:lang w:eastAsia="en-US"/>
        </w:rPr>
        <w:t>SPECIFICATO che trattasi di spesa ricorrente;</w:t>
      </w:r>
    </w:p>
    <w:p w:rsidR="00AF4BA7" w:rsidRPr="001856FE" w:rsidP="00AF4BA7" w14:paraId="3868CE0E" w14:textId="77777777">
      <w:pPr>
        <w:rPr>
          <w:rFonts w:cs="Times New Roman"/>
          <w:lang w:eastAsia="en-US"/>
        </w:rPr>
      </w:pPr>
    </w:p>
    <w:p w:rsidR="00B337B8" w:rsidRPr="001856FE" w:rsidP="00AF4BA7" w14:paraId="6438E3C4" w14:textId="77777777">
      <w:pPr>
        <w:widowControl/>
        <w:autoSpaceDE w:val="0"/>
        <w:textAlignment w:val="auto"/>
        <w:rPr>
          <w:rFonts w:eastAsia="Times New Roman" w:cs="Times New Roman"/>
          <w:kern w:val="0"/>
          <w:lang w:eastAsia="it-IT" w:bidi="ar-SA"/>
        </w:rPr>
      </w:pPr>
      <w:r w:rsidRPr="001856FE">
        <w:rPr>
          <w:rFonts w:eastAsia="Times New Roman" w:cs="Times New Roman"/>
          <w:kern w:val="0"/>
          <w:lang w:eastAsia="it-IT" w:bidi="ar-SA"/>
        </w:rPr>
        <w:t>Tutto ciò premesso e considerato,</w:t>
      </w:r>
    </w:p>
    <w:p w:rsidR="00B337B8" w:rsidRPr="001856FE" w:rsidP="00AF4BA7" w14:paraId="7586B2D0" w14:textId="77777777">
      <w:pPr>
        <w:widowControl/>
        <w:autoSpaceDE w:val="0"/>
        <w:textAlignment w:val="auto"/>
        <w:rPr>
          <w:rFonts w:eastAsia="Times New Roman" w:cs="Times New Roman"/>
          <w:kern w:val="0"/>
          <w:lang w:eastAsia="it-IT" w:bidi="ar-SA"/>
        </w:rPr>
      </w:pPr>
    </w:p>
    <w:p w:rsidR="00B337B8" w:rsidRPr="001856FE" w:rsidP="00AF4BA7" w14:paraId="4B86C2E2" w14:textId="77777777">
      <w:pPr>
        <w:keepNext/>
        <w:widowControl/>
        <w:autoSpaceDE w:val="0"/>
        <w:ind w:left="3530"/>
        <w:textAlignment w:val="auto"/>
        <w:outlineLvl w:val="0"/>
        <w:rPr>
          <w:rFonts w:eastAsia="Times New Roman" w:cs="Times New Roman"/>
          <w:b/>
          <w:bCs/>
          <w:kern w:val="0"/>
          <w:lang w:eastAsia="it-IT" w:bidi="ar-SA"/>
        </w:rPr>
      </w:pPr>
      <w:r w:rsidRPr="001856FE">
        <w:rPr>
          <w:rFonts w:eastAsia="Times New Roman" w:cs="Times New Roman"/>
          <w:b/>
          <w:bCs/>
          <w:kern w:val="0"/>
          <w:lang w:eastAsia="it-IT" w:bidi="ar-SA"/>
        </w:rPr>
        <w:t>D E T E R M I N A</w:t>
      </w:r>
    </w:p>
    <w:p w:rsidR="00B337B8" w:rsidRPr="001856FE" w:rsidP="00AF4BA7" w14:paraId="0BEF328B" w14:textId="77777777">
      <w:pPr>
        <w:widowControl/>
        <w:autoSpaceDE w:val="0"/>
        <w:textAlignment w:val="auto"/>
        <w:rPr>
          <w:rFonts w:eastAsia="Times New Roman" w:cs="Times New Roman"/>
          <w:kern w:val="0"/>
          <w:lang w:eastAsia="it-IT" w:bidi="ar-SA"/>
        </w:rPr>
      </w:pPr>
    </w:p>
    <w:p w:rsidR="00B337B8" w:rsidRPr="001856FE" w:rsidP="00AF4BA7" w14:paraId="7272BB2F" w14:textId="77777777">
      <w:pPr>
        <w:widowControl/>
        <w:autoSpaceDE w:val="0"/>
        <w:textAlignment w:val="auto"/>
        <w:rPr>
          <w:rFonts w:eastAsia="Times New Roman" w:cs="Times New Roman"/>
          <w:kern w:val="0"/>
          <w:lang w:eastAsia="it-IT" w:bidi="ar-SA"/>
        </w:rPr>
      </w:pPr>
      <w:r w:rsidRPr="001856FE">
        <w:rPr>
          <w:rFonts w:eastAsia="Times New Roman" w:cs="Times New Roman"/>
          <w:kern w:val="0"/>
          <w:lang w:eastAsia="it-IT" w:bidi="ar-SA"/>
        </w:rPr>
        <w:t>per le motivazioni di cui in premessa e che qui si intendono riportate e trascritte,</w:t>
      </w:r>
    </w:p>
    <w:p w:rsidR="00B337B8" w:rsidRPr="001856FE" w:rsidP="00AF4BA7" w14:paraId="3683FF39" w14:textId="77777777">
      <w:pPr>
        <w:widowControl/>
        <w:autoSpaceDE w:val="0"/>
        <w:adjustRightInd w:val="0"/>
        <w:textAlignment w:val="auto"/>
        <w:rPr>
          <w:rFonts w:eastAsia="Times New Roman" w:cs="Times New Roman"/>
          <w:b/>
          <w:bCs/>
          <w:kern w:val="0"/>
          <w:lang w:eastAsia="it-IT" w:bidi="ar-SA"/>
        </w:rPr>
      </w:pPr>
    </w:p>
    <w:p w:rsidR="00B337B8" w:rsidRPr="00AF4BA7" w:rsidP="00AF4BA7" w14:paraId="1F5DA647" w14:textId="1287A60E">
      <w:pPr>
        <w:widowControl/>
        <w:numPr>
          <w:ilvl w:val="0"/>
          <w:numId w:val="36"/>
        </w:numPr>
        <w:autoSpaceDE w:val="0"/>
        <w:adjustRightInd w:val="0"/>
        <w:ind w:left="426"/>
        <w:textAlignment w:val="auto"/>
        <w:rPr>
          <w:rFonts w:eastAsia="Times New Roman" w:cs="Times New Roman"/>
          <w:color w:val="000000"/>
          <w:kern w:val="0"/>
          <w:lang w:eastAsia="it-IT" w:bidi="ar-SA"/>
        </w:rPr>
      </w:pPr>
      <w:r w:rsidR="00116E67">
        <w:rPr>
          <w:rFonts w:eastAsia="Times New Roman" w:cs="Times New Roman"/>
          <w:bCs/>
          <w:kern w:val="0"/>
          <w:lang w:eastAsia="it-IT" w:bidi="ar-SA"/>
        </w:rPr>
        <w:t>DI ACQUISTARE un abbonamento annuale al portale “Formazione annuale Omnia” di Grafiche E. Gaspari S.r.l..</w:t>
      </w:r>
    </w:p>
    <w:p w:rsidR="00AF4BA7" w:rsidRPr="001856FE" w:rsidP="00AF4BA7" w14:paraId="45A87BF7" w14:textId="77777777">
      <w:pPr>
        <w:widowControl/>
        <w:autoSpaceDE w:val="0"/>
        <w:adjustRightInd w:val="0"/>
        <w:ind w:left="426"/>
        <w:textAlignment w:val="auto"/>
        <w:rPr>
          <w:rFonts w:eastAsia="Times New Roman" w:cs="Times New Roman"/>
          <w:color w:val="000000"/>
          <w:kern w:val="0"/>
          <w:lang w:eastAsia="it-IT" w:bidi="ar-SA"/>
        </w:rPr>
      </w:pPr>
    </w:p>
    <w:p w:rsidR="00B337B8" w:rsidRPr="001856FE" w:rsidP="00AF4BA7" w14:paraId="66C0AE42" w14:textId="3EB8E567">
      <w:pPr>
        <w:widowControl/>
        <w:numPr>
          <w:ilvl w:val="0"/>
          <w:numId w:val="36"/>
        </w:numPr>
        <w:autoSpaceDE w:val="0"/>
        <w:adjustRightInd w:val="0"/>
        <w:ind w:left="426"/>
        <w:textAlignment w:val="auto"/>
        <w:rPr>
          <w:rFonts w:eastAsia="Times New Roman" w:cs="Times New Roman"/>
          <w:color w:val="000000"/>
          <w:kern w:val="0"/>
          <w:lang w:eastAsia="it-IT" w:bidi="ar-SA"/>
        </w:rPr>
      </w:pPr>
      <w:r w:rsidR="00116E67">
        <w:rPr>
          <w:rFonts w:cs="Times New Roman"/>
        </w:rPr>
        <w:t>DI IMPEGNARE a favore di Grafiche E. Gaspari s.r.l con sede in via M. Minghetti 18, Cadriano di Granarolo Emilia (BO) Codice fiscale e P.IVA: 00089070403, la somma di € 1.728,00,</w:t>
      </w:r>
      <w:bookmarkStart w:id="5" w:name="_GoBack"/>
      <w:bookmarkEnd w:id="5"/>
      <w:r w:rsidRPr="001856FE">
        <w:rPr>
          <w:rFonts w:eastAsia="Times New Roman" w:cs="Times New Roman"/>
          <w:kern w:val="0"/>
          <w:lang w:eastAsia="it-IT" w:bidi="ar-SA"/>
        </w:rPr>
        <w:t xml:space="preserve"> Iva esente, mediante imputazione al cap. 01021.03.00440000 “Spese formazione qualificazione personale” del bilancio di previsione 2026/2028, annualità 2026. </w:t>
      </w:r>
    </w:p>
    <w:p w:rsidR="00B337B8" w:rsidRPr="001856FE" w:rsidP="00AF4BA7" w14:paraId="08EA15B9" w14:textId="77777777">
      <w:pPr>
        <w:pStyle w:val="ListParagraph"/>
        <w:suppressAutoHyphens/>
        <w:rPr>
          <w:rFonts w:ascii="Times New Roman" w:eastAsia="Times New Roman" w:hAnsi="Times New Roman" w:cs="Times New Roman"/>
        </w:rPr>
      </w:pPr>
    </w:p>
    <w:p w:rsidR="00B337B8" w:rsidRPr="001856FE" w:rsidP="00AF4BA7" w14:paraId="1750200B" w14:textId="77777777">
      <w:pPr>
        <w:widowControl/>
        <w:autoSpaceDE w:val="0"/>
        <w:adjustRightInd w:val="0"/>
        <w:ind w:left="66"/>
        <w:textAlignment w:val="auto"/>
        <w:rPr>
          <w:rFonts w:cs="Times New Roman"/>
          <w:b/>
          <w:bCs/>
        </w:rPr>
      </w:pPr>
    </w:p>
    <w:p w:rsidR="00CF306B" w:rsidRPr="001856FE" w:rsidP="00AF4BA7" w14:paraId="1A9A1D39" w14:textId="77EA048F">
      <w:pPr>
        <w:rPr>
          <w:rFonts w:cs="Times New Roman"/>
        </w:rPr>
      </w:pPr>
      <w:r w:rsidRPr="001856FE">
        <w:rPr>
          <w:rFonts w:cs="Times New Roman"/>
          <w:i/>
        </w:rPr>
        <w:t>Ai sensi dell’art. 3 della Legge n. 241/90 e ss.mm.ii., qualunque soggetto ritenga il presente atto illegittimo e si ritenga dallo stesso direttamente leso, può proporre ricorso innanzi al Tribunale Amministrativo Regionale, Sezione di Brescia, al quale è possibile presentare i propri rilievi in ordine alla legittimità del provvedimento entro e non oltre 60 giorni dall’ultimo di pubblicazione</w:t>
      </w:r>
    </w:p>
    <w:p w:rsidR="00FC5716" w:rsidP="005F577B">
      <w:bookmarkEnd w:id="4"/>
      <w:r>
        <w:t xml:space="preserve"> </w:t>
      </w:r>
    </w:p>
    <w:p w:rsidR="00737561" w:rsidP="00737561">
      <w:pPr>
        <w:pStyle w:val="NormaleRetro"/>
        <w:jc w:val="center"/>
        <w:rPr>
          <w:b/>
          <w:bCs/>
        </w:rPr>
      </w:pPr>
    </w:p>
    <w:p w:rsidR="005F577B" w:rsidRPr="005F577B" w:rsidP="005F577B">
      <w:pPr>
        <w:pStyle w:val="NormaleRetro"/>
        <w:ind w:left="4536"/>
        <w:jc w:val="center"/>
        <w:rPr>
          <w:b/>
          <w:bCs/>
        </w:rPr>
      </w:pPr>
      <w:r w:rsidR="000F2F8B">
        <w:rPr>
          <w:b/>
          <w:bCs/>
        </w:rPr>
        <w:t>IL RESPONSABILE DI SETTORE</w:t>
      </w:r>
    </w:p>
    <w:p w:rsidR="005F577B" w:rsidP="005F577B">
      <w:pPr>
        <w:pStyle w:val="NormaleRetro"/>
        <w:ind w:left="4536"/>
        <w:jc w:val="center"/>
        <w:rPr>
          <w:b/>
          <w:bCs/>
        </w:rPr>
      </w:pPr>
      <w:bookmarkStart w:id="6" w:name="firma"/>
      <w:r>
        <w:rPr>
          <w:b/>
          <w:bCs/>
        </w:rPr>
        <w:t>Adriana Salini</w:t>
      </w:r>
      <w:bookmarkEnd w:id="6"/>
      <w:r>
        <w:rPr>
          <w:b/>
          <w:bCs/>
        </w:rPr>
        <w:t xml:space="preserve">* </w:t>
      </w:r>
    </w:p>
    <w:p w:rsidR="005F577B" w:rsidP="00FD0815">
      <w:pPr>
        <w:pStyle w:val="NormaleRetro"/>
        <w:rPr>
          <w:b/>
          <w:bCs/>
        </w:rPr>
      </w:pPr>
    </w:p>
    <w:p w:rsidR="005F577B" w:rsidP="00FD0815">
      <w:pPr>
        <w:pStyle w:val="NormaleRetro"/>
        <w:rPr>
          <w:b/>
          <w:bCs/>
        </w:rPr>
      </w:pPr>
    </w:p>
    <w:p w:rsidR="005F577B" w:rsidP="00FD0815">
      <w:pPr>
        <w:pStyle w:val="NormaleRetro"/>
        <w:rPr>
          <w:b/>
          <w:bCs/>
        </w:rPr>
      </w:pPr>
    </w:p>
    <w:p w:rsidR="005F577B" w:rsidRPr="005F577B" w:rsidP="00FD0815">
      <w:pPr>
        <w:pStyle w:val="NormaleRetro"/>
        <w:rPr>
          <w:b/>
          <w:bCs/>
        </w:rPr>
      </w:pPr>
    </w:p>
    <w:p w:rsidR="00012745" w:rsidRPr="00012745" w:rsidP="00012745">
      <w:pPr>
        <w:pStyle w:val="NormaleRetro"/>
        <w:jc w:val="left"/>
      </w:pPr>
      <w:r>
        <w:rPr>
          <w:b/>
          <w:bCs/>
        </w:rPr>
        <w:t xml:space="preserve">* </w:t>
      </w:r>
      <w:r w:rsidRPr="00012745">
        <w:t>Il documento è firmato digitalmente ai sensi del D.Lgs. 82/2005 s.m.i. e norme collegate e sostituisce il documento cartaceo e la firma autografa.</w:t>
      </w:r>
    </w:p>
    <w:sectPr>
      <w:footerReference w:type="default" r:id="rI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 New Roman">
    <w:altName w:val="Calibri"/>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7F34" w:rsidRPr="005F577B" w:rsidP="005F577B">
    <w:pPr>
      <w:pStyle w:val="Footer"/>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85346"/>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nsid w:val="031A3552"/>
    <w:multiLevelType w:val="hybridMultilevel"/>
    <w:tmpl w:val="755A865A"/>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
    <w:nsid w:val="05B334C7"/>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A1053"/>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nsid w:val="0DA44496"/>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B80AE"/>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1564B81B"/>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1CDC0E"/>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
    <w:nsid w:val="1A691BE3"/>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nsid w:val="1C24198D"/>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7420E"/>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nsid w:val="2608F9B0"/>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2">
    <w:nsid w:val="26B24259"/>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1E89AD"/>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nsid w:val="29231EF6"/>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2BC310EB"/>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6">
    <w:nsid w:val="2D845D90"/>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
    <w:nsid w:val="33BE8AB9"/>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18">
    <w:nsid w:val="365DD534"/>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45BA390B"/>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47F84899"/>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nsid w:val="4C5C63E1"/>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nsid w:val="53474A96"/>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nsid w:val="58711BF2"/>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4">
    <w:nsid w:val="5BD1F5C4"/>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22AE55"/>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72DFC9"/>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27">
    <w:nsid w:val="68F71D81"/>
    <w:multiLevelType w:val="hybridMultilevel"/>
    <w:tmpl w:val="755A865A"/>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8">
    <w:nsid w:val="6A8F4B0C"/>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D10F56"/>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6F9F7977"/>
    <w:multiLevelType w:val="hybridMultilevel"/>
    <w:tmpl w:val="1764AFB6"/>
    <w:lvl w:ilvl="0">
      <w:start w:val="1"/>
      <w:numFmt w:val="bullet"/>
      <w:lvlText w:val="-"/>
      <w:lvlJc w:val="left"/>
      <w:pPr>
        <w:tabs>
          <w:tab w:val="num" w:pos="627"/>
        </w:tabs>
        <w:ind w:left="627" w:hanging="340"/>
      </w:pPr>
      <w:rPr>
        <w:rFonts w:ascii="Times New Roman" w:hAnsi="Times New Roman" w:cs="Times New Roman" w:hint="default"/>
        <w:sz w:val="24"/>
      </w:rPr>
    </w:lvl>
    <w:lvl w:ilvl="1">
      <w:start w:val="1"/>
      <w:numFmt w:val="bullet"/>
      <w:lvlText w:val="o"/>
      <w:lvlJc w:val="left"/>
      <w:pPr>
        <w:tabs>
          <w:tab w:val="num" w:pos="1500"/>
        </w:tabs>
        <w:ind w:left="1500" w:hanging="360"/>
      </w:pPr>
      <w:rPr>
        <w:rFonts w:ascii="Courier New" w:hAnsi="Courier New" w:cs="Times New Roman"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imes New Roman"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imes New Roman" w:hint="default"/>
      </w:rPr>
    </w:lvl>
    <w:lvl w:ilvl="8">
      <w:start w:val="1"/>
      <w:numFmt w:val="bullet"/>
      <w:lvlText w:val=""/>
      <w:lvlJc w:val="left"/>
      <w:pPr>
        <w:tabs>
          <w:tab w:val="num" w:pos="6540"/>
        </w:tabs>
        <w:ind w:left="6540" w:hanging="360"/>
      </w:pPr>
      <w:rPr>
        <w:rFonts w:ascii="Wingdings" w:hAnsi="Wingdings" w:hint="default"/>
      </w:rPr>
    </w:lvl>
  </w:abstractNum>
  <w:abstractNum w:abstractNumId="31">
    <w:nsid w:val="7650212E"/>
    <w:multiLevelType w:val="hybridMultilevel"/>
    <w:tmpl w:val="755A865A"/>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32">
    <w:nsid w:val="76608350"/>
    <w:multiLevelType w:val="hybridMultilevel"/>
    <w:tmpl w:val="911EA43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3">
    <w:nsid w:val="796E8420"/>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774D49"/>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573B5E"/>
    <w:multiLevelType w:val="hybridMultilevel"/>
    <w:tmpl w:val="009A6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5"/>
  </w:num>
  <w:num w:numId="4">
    <w:abstractNumId w:val="22"/>
  </w:num>
  <w:num w:numId="5">
    <w:abstractNumId w:val="2"/>
  </w:num>
  <w:num w:numId="6">
    <w:abstractNumId w:val="11"/>
  </w:num>
  <w:num w:numId="7">
    <w:abstractNumId w:val="3"/>
  </w:num>
  <w:num w:numId="8">
    <w:abstractNumId w:val="24"/>
  </w:num>
  <w:num w:numId="9">
    <w:abstractNumId w:val="0"/>
  </w:num>
  <w:num w:numId="10">
    <w:abstractNumId w:val="17"/>
  </w:num>
  <w:num w:numId="11">
    <w:abstractNumId w:val="33"/>
  </w:num>
  <w:num w:numId="12">
    <w:abstractNumId w:val="20"/>
  </w:num>
  <w:num w:numId="13">
    <w:abstractNumId w:val="10"/>
  </w:num>
  <w:num w:numId="14">
    <w:abstractNumId w:val="34"/>
  </w:num>
  <w:num w:numId="15">
    <w:abstractNumId w:val="16"/>
  </w:num>
  <w:num w:numId="16">
    <w:abstractNumId w:val="5"/>
  </w:num>
  <w:num w:numId="17">
    <w:abstractNumId w:val="9"/>
  </w:num>
  <w:num w:numId="18">
    <w:abstractNumId w:val="19"/>
  </w:num>
  <w:num w:numId="19">
    <w:abstractNumId w:val="14"/>
  </w:num>
  <w:num w:numId="20">
    <w:abstractNumId w:val="6"/>
  </w:num>
  <w:num w:numId="21">
    <w:abstractNumId w:val="7"/>
  </w:num>
  <w:num w:numId="22">
    <w:abstractNumId w:val="21"/>
  </w:num>
  <w:num w:numId="23">
    <w:abstractNumId w:val="4"/>
  </w:num>
  <w:num w:numId="24">
    <w:abstractNumId w:val="18"/>
  </w:num>
  <w:num w:numId="25">
    <w:abstractNumId w:val="8"/>
  </w:num>
  <w:num w:numId="26">
    <w:abstractNumId w:val="35"/>
  </w:num>
  <w:num w:numId="27">
    <w:abstractNumId w:val="1"/>
  </w:num>
  <w:num w:numId="28">
    <w:abstractNumId w:val="23"/>
  </w:num>
  <w:num w:numId="29">
    <w:abstractNumId w:val="26"/>
  </w:num>
  <w:num w:numId="30">
    <w:abstractNumId w:val="28"/>
  </w:num>
  <w:num w:numId="31">
    <w:abstractNumId w:val="27"/>
  </w:num>
  <w:num w:numId="32">
    <w:abstractNumId w:val="32"/>
  </w:num>
  <w:num w:numId="33">
    <w:abstractNumId w:val="13"/>
  </w:num>
  <w:num w:numId="34">
    <w:abstractNumId w:val="25"/>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5"/>
    <w:rsid w:val="00012745"/>
    <w:rsid w:val="00017AC0"/>
    <w:rsid w:val="000463C7"/>
    <w:rsid w:val="000625D5"/>
    <w:rsid w:val="000E2FB6"/>
    <w:rsid w:val="000F2F8B"/>
    <w:rsid w:val="00106D66"/>
    <w:rsid w:val="00116E67"/>
    <w:rsid w:val="00134D76"/>
    <w:rsid w:val="001856FE"/>
    <w:rsid w:val="001D7BCA"/>
    <w:rsid w:val="00231671"/>
    <w:rsid w:val="00301C6C"/>
    <w:rsid w:val="00310D31"/>
    <w:rsid w:val="00333B65"/>
    <w:rsid w:val="003543A5"/>
    <w:rsid w:val="00393BBB"/>
    <w:rsid w:val="004327D7"/>
    <w:rsid w:val="004A4F68"/>
    <w:rsid w:val="0059680E"/>
    <w:rsid w:val="005F577B"/>
    <w:rsid w:val="00614545"/>
    <w:rsid w:val="00680762"/>
    <w:rsid w:val="00692C8F"/>
    <w:rsid w:val="00737561"/>
    <w:rsid w:val="00792630"/>
    <w:rsid w:val="007E1D1B"/>
    <w:rsid w:val="00821B4B"/>
    <w:rsid w:val="00834625"/>
    <w:rsid w:val="00846728"/>
    <w:rsid w:val="00877F34"/>
    <w:rsid w:val="008A2830"/>
    <w:rsid w:val="009175BF"/>
    <w:rsid w:val="0097341B"/>
    <w:rsid w:val="009C0C15"/>
    <w:rsid w:val="009F00E3"/>
    <w:rsid w:val="00A10D4A"/>
    <w:rsid w:val="00A74C04"/>
    <w:rsid w:val="00AC0C92"/>
    <w:rsid w:val="00AD5B3D"/>
    <w:rsid w:val="00AF4BA7"/>
    <w:rsid w:val="00B337B8"/>
    <w:rsid w:val="00B7244F"/>
    <w:rsid w:val="00B73A84"/>
    <w:rsid w:val="00B917AE"/>
    <w:rsid w:val="00BE6FB0"/>
    <w:rsid w:val="00CA6027"/>
    <w:rsid w:val="00CB40C2"/>
    <w:rsid w:val="00CE1417"/>
    <w:rsid w:val="00CF306B"/>
    <w:rsid w:val="00CF6480"/>
    <w:rsid w:val="00D932A9"/>
    <w:rsid w:val="00DB0157"/>
    <w:rsid w:val="00DF47F5"/>
    <w:rsid w:val="00DF58CF"/>
    <w:rsid w:val="00DF7BCC"/>
    <w:rsid w:val="00ED4BCF"/>
    <w:rsid w:val="00F523FB"/>
    <w:rsid w:val="00F5594D"/>
    <w:rsid w:val="00F64FA0"/>
    <w:rsid w:val="00FC524B"/>
    <w:rsid w:val="00FC5716"/>
    <w:rsid w:val="00FD081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FBFABD"/>
  <w15:docId w15:val="{6D214609-E335-43EA-BB99-1BB8F33D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77B"/>
    <w:pPr>
      <w:autoSpaceDE w:val="0"/>
      <w:autoSpaceDN w:val="0"/>
      <w:spacing w:after="0" w:line="240"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Retro">
    <w:name w:val="NormaleRetro"/>
    <w:basedOn w:val="Normal"/>
    <w:uiPriority w:val="99"/>
    <w:rsid w:val="00012745"/>
    <w:pPr>
      <w:widowControl w:val="0"/>
    </w:pPr>
  </w:style>
  <w:style w:type="paragraph" w:customStyle="1" w:styleId="NormaleIntestazione">
    <w:name w:val="NormaleIntestazione"/>
    <w:basedOn w:val="Normal"/>
    <w:uiPriority w:val="99"/>
    <w:rsid w:val="00012745"/>
    <w:pPr>
      <w:widowControl w:val="0"/>
    </w:pPr>
    <w:rPr>
      <w:b/>
      <w:bCs/>
    </w:rPr>
  </w:style>
  <w:style w:type="paragraph" w:styleId="Header">
    <w:name w:val="header"/>
    <w:basedOn w:val="Normal"/>
    <w:link w:val="IntestazioneCarattere"/>
    <w:unhideWhenUsed/>
    <w:rsid w:val="00877F34"/>
    <w:pPr>
      <w:tabs>
        <w:tab w:val="center" w:pos="4819"/>
        <w:tab w:val="right" w:pos="9638"/>
      </w:tabs>
    </w:pPr>
  </w:style>
  <w:style w:type="character" w:customStyle="1" w:styleId="IntestazioneCarattere">
    <w:name w:val="Intestazione Carattere"/>
    <w:basedOn w:val="DefaultParagraphFont"/>
    <w:link w:val="Header"/>
    <w:rsid w:val="00877F34"/>
    <w:rPr>
      <w:sz w:val="24"/>
      <w:szCs w:val="24"/>
    </w:rPr>
  </w:style>
  <w:style w:type="paragraph" w:styleId="Footer">
    <w:name w:val="footer"/>
    <w:basedOn w:val="Normal"/>
    <w:link w:val="PidipaginaCarattere"/>
    <w:uiPriority w:val="99"/>
    <w:unhideWhenUsed/>
    <w:rsid w:val="00877F34"/>
    <w:pPr>
      <w:tabs>
        <w:tab w:val="center" w:pos="4819"/>
        <w:tab w:val="right" w:pos="9638"/>
      </w:tabs>
    </w:pPr>
  </w:style>
  <w:style w:type="character" w:customStyle="1" w:styleId="PidipaginaCarattere">
    <w:name w:val="Piè di pagina Carattere"/>
    <w:basedOn w:val="DefaultParagraphFont"/>
    <w:link w:val="Footer"/>
    <w:uiPriority w:val="99"/>
    <w:rsid w:val="00877F34"/>
    <w:rPr>
      <w:sz w:val="24"/>
      <w:szCs w:val="24"/>
    </w:rPr>
  </w:style>
  <w:style w:type="paragraph" w:styleId="ListParagraph">
    <w:name w:val="List Paragraph"/>
    <w:basedOn w:val="Normal"/>
    <w:uiPriority w:val="34"/>
    <w:qFormat/>
    <w:rsid w:val="00492571"/>
    <w:pPr>
      <w:autoSpaceDE/>
      <w:autoSpaceDN/>
      <w:ind w:left="720"/>
      <w:contextualSpacing/>
    </w:pPr>
    <w:rPr>
      <w:rFonts w:ascii="time New Roman" w:eastAsia="Calibri" w:hAnsi="time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Words>
  <Characters>240</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Giuseppe Alaimo</cp:lastModifiedBy>
  <cp:revision>17</cp:revision>
  <dcterms:created xsi:type="dcterms:W3CDTF">2023-04-20T09:39:00Z</dcterms:created>
  <dcterms:modified xsi:type="dcterms:W3CDTF">2023-05-23T12:51:00Z</dcterms:modified>
</cp:coreProperties>
</file>