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74731" w14:textId="07304C01" w:rsidR="007D709E" w:rsidRPr="00A4050A" w:rsidRDefault="006F775B">
      <w:pPr>
        <w:pStyle w:val="LO-normal1"/>
        <w:jc w:val="center"/>
        <w:rPr>
          <w:b/>
          <w:bCs/>
          <w:sz w:val="26"/>
          <w:szCs w:val="26"/>
        </w:rPr>
      </w:pPr>
      <w:r w:rsidRPr="00A4050A">
        <w:rPr>
          <w:b/>
          <w:bCs/>
          <w:sz w:val="26"/>
          <w:szCs w:val="26"/>
        </w:rPr>
        <w:t xml:space="preserve">Comunicato stampa, </w:t>
      </w:r>
      <w:r w:rsidR="00A4050A" w:rsidRPr="00A4050A">
        <w:rPr>
          <w:b/>
          <w:bCs/>
          <w:sz w:val="26"/>
          <w:szCs w:val="26"/>
        </w:rPr>
        <w:t xml:space="preserve">12 </w:t>
      </w:r>
      <w:r w:rsidRPr="00A4050A">
        <w:rPr>
          <w:b/>
          <w:bCs/>
          <w:sz w:val="26"/>
          <w:szCs w:val="26"/>
        </w:rPr>
        <w:t>febbraio 2026</w:t>
      </w:r>
    </w:p>
    <w:p w14:paraId="67A312BE" w14:textId="77777777" w:rsidR="007D709E" w:rsidRDefault="006F775B">
      <w:pPr>
        <w:pStyle w:val="LO-normal1"/>
        <w:jc w:val="center"/>
        <w:rPr>
          <w:b/>
          <w:bCs/>
          <w:sz w:val="46"/>
          <w:szCs w:val="46"/>
        </w:rPr>
      </w:pPr>
      <w:r>
        <w:rPr>
          <w:b/>
          <w:bCs/>
          <w:sz w:val="46"/>
          <w:szCs w:val="46"/>
        </w:rPr>
        <w:t>SBARCA ONLINE LA CAMPAGNA DEGLI STUDENTI DEL POLO ROMANI CONTRO L’AZZARDOPATIA</w:t>
      </w:r>
    </w:p>
    <w:p w14:paraId="7612EB3F" w14:textId="77777777" w:rsidR="007D709E" w:rsidRDefault="006F775B">
      <w:pPr>
        <w:pStyle w:val="LO-normal1"/>
        <w:jc w:val="center"/>
        <w:rPr>
          <w:rFonts w:ascii="Arial" w:eastAsia="Arial" w:hAnsi="Arial" w:cs="Arial"/>
          <w:sz w:val="28"/>
          <w:szCs w:val="28"/>
          <w:highlight w:val="white"/>
        </w:rPr>
      </w:pPr>
      <w:r>
        <w:rPr>
          <w:rFonts w:ascii="Arial" w:eastAsia="Arial" w:hAnsi="Arial" w:cs="Arial"/>
          <w:b/>
          <w:bCs/>
          <w:i/>
          <w:iCs/>
          <w:sz w:val="28"/>
          <w:szCs w:val="28"/>
        </w:rPr>
        <w:t xml:space="preserve">Realizzati </w:t>
      </w:r>
      <w:proofErr w:type="spellStart"/>
      <w:r>
        <w:rPr>
          <w:rFonts w:ascii="Arial" w:eastAsia="Arial" w:hAnsi="Arial" w:cs="Arial"/>
          <w:b/>
          <w:bCs/>
          <w:i/>
          <w:iCs/>
          <w:sz w:val="28"/>
          <w:szCs w:val="28"/>
        </w:rPr>
        <w:t>reels</w:t>
      </w:r>
      <w:proofErr w:type="spellEnd"/>
      <w:r>
        <w:rPr>
          <w:rFonts w:ascii="Arial" w:eastAsia="Arial" w:hAnsi="Arial" w:cs="Arial"/>
          <w:b/>
          <w:bCs/>
          <w:i/>
          <w:iCs/>
          <w:sz w:val="28"/>
          <w:szCs w:val="28"/>
        </w:rPr>
        <w:t xml:space="preserve"> </w:t>
      </w:r>
      <w:r>
        <w:rPr>
          <w:rFonts w:ascii="Arial" w:eastAsia="Arial" w:hAnsi="Arial" w:cs="Arial"/>
          <w:i/>
          <w:iCs/>
          <w:sz w:val="28"/>
          <w:szCs w:val="28"/>
        </w:rPr>
        <w:t xml:space="preserve">e </w:t>
      </w:r>
      <w:r>
        <w:rPr>
          <w:rFonts w:ascii="Arial" w:eastAsia="Arial" w:hAnsi="Arial" w:cs="Arial"/>
          <w:b/>
          <w:bCs/>
          <w:i/>
          <w:iCs/>
          <w:sz w:val="28"/>
          <w:szCs w:val="28"/>
        </w:rPr>
        <w:t xml:space="preserve">podcast </w:t>
      </w:r>
      <w:r>
        <w:rPr>
          <w:rFonts w:ascii="Arial" w:eastAsia="Arial" w:hAnsi="Arial" w:cs="Arial"/>
          <w:i/>
          <w:iCs/>
          <w:sz w:val="28"/>
          <w:szCs w:val="28"/>
        </w:rPr>
        <w:t xml:space="preserve">per sensibilizzare sui rischi del gioco d’azzardo patologico all’interno del </w:t>
      </w:r>
      <w:proofErr w:type="gramStart"/>
      <w:r>
        <w:rPr>
          <w:rFonts w:ascii="Arial" w:eastAsia="Arial" w:hAnsi="Arial" w:cs="Arial"/>
          <w:i/>
          <w:iCs/>
          <w:sz w:val="28"/>
          <w:szCs w:val="28"/>
        </w:rPr>
        <w:t xml:space="preserve">progetto  </w:t>
      </w:r>
      <w:r>
        <w:rPr>
          <w:rFonts w:ascii="Arial" w:eastAsia="Arial" w:hAnsi="Arial" w:cs="Arial"/>
          <w:b/>
          <w:bCs/>
          <w:i/>
          <w:iCs/>
          <w:sz w:val="28"/>
          <w:szCs w:val="28"/>
        </w:rPr>
        <w:t>“</w:t>
      </w:r>
      <w:proofErr w:type="gramEnd"/>
      <w:r>
        <w:rPr>
          <w:rFonts w:ascii="Arial" w:eastAsia="Arial" w:hAnsi="Arial" w:cs="Arial"/>
          <w:b/>
          <w:bCs/>
          <w:i/>
          <w:iCs/>
          <w:sz w:val="28"/>
          <w:szCs w:val="28"/>
        </w:rPr>
        <w:t xml:space="preserve">Scommetto che smetto” </w:t>
      </w:r>
      <w:r>
        <w:rPr>
          <w:rFonts w:ascii="Arial" w:eastAsia="Arial" w:hAnsi="Arial" w:cs="Arial"/>
          <w:i/>
          <w:iCs/>
          <w:sz w:val="28"/>
          <w:szCs w:val="28"/>
        </w:rPr>
        <w:t xml:space="preserve">promosso dell'Azienda Speciale Consortile Oglio Po in partnership col Consorzio Casalasco Servizi Sociali e finanziato dal Piano GAP - </w:t>
      </w:r>
      <w:proofErr w:type="gramStart"/>
      <w:r>
        <w:rPr>
          <w:rFonts w:ascii="Arial" w:eastAsia="Arial" w:hAnsi="Arial" w:cs="Arial"/>
          <w:i/>
          <w:iCs/>
          <w:sz w:val="28"/>
          <w:szCs w:val="28"/>
        </w:rPr>
        <w:t>ATS  Val</w:t>
      </w:r>
      <w:proofErr w:type="gramEnd"/>
      <w:r>
        <w:rPr>
          <w:rFonts w:ascii="Arial" w:eastAsia="Arial" w:hAnsi="Arial" w:cs="Arial"/>
          <w:i/>
          <w:iCs/>
          <w:sz w:val="28"/>
          <w:szCs w:val="28"/>
        </w:rPr>
        <w:t xml:space="preserve"> Padana.</w:t>
      </w:r>
    </w:p>
    <w:p w14:paraId="4ED7C320" w14:textId="77777777" w:rsidR="007D709E" w:rsidRDefault="007D709E">
      <w:pPr>
        <w:pStyle w:val="LO-normal1"/>
        <w:spacing w:before="0" w:line="276" w:lineRule="auto"/>
        <w:jc w:val="both"/>
        <w:rPr>
          <w:rFonts w:ascii="Arial" w:eastAsia="Arial" w:hAnsi="Arial" w:cs="Arial"/>
          <w:sz w:val="24"/>
          <w:szCs w:val="24"/>
          <w:highlight w:val="white"/>
        </w:rPr>
      </w:pPr>
    </w:p>
    <w:p w14:paraId="46658A8D" w14:textId="77777777" w:rsidR="007D709E" w:rsidRDefault="006F775B">
      <w:pPr>
        <w:pStyle w:val="LO-normal1"/>
        <w:spacing w:before="0"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Rivolgersi ai coetanei, e non solo, con il linguaggio diretto dei video e dei podcast per smascherare le illusioni del gioco d’azzardo sempre più diffuso anche sul territorio dell’Oglio Po: è questa la sfida raccolta dagli studenti e dalle studentesse del Polo Romani di Casalmaggiore, protagonisti della </w:t>
      </w:r>
      <w:r>
        <w:rPr>
          <w:rFonts w:ascii="Arial" w:eastAsia="Arial" w:hAnsi="Arial" w:cs="Arial"/>
          <w:b/>
          <w:bCs/>
          <w:sz w:val="24"/>
          <w:szCs w:val="24"/>
          <w:highlight w:val="white"/>
        </w:rPr>
        <w:t xml:space="preserve">campagna di comunicazione sociale “Scommetto che smetto” </w:t>
      </w:r>
      <w:r>
        <w:rPr>
          <w:rFonts w:ascii="Arial" w:eastAsia="Arial" w:hAnsi="Arial" w:cs="Arial"/>
          <w:sz w:val="24"/>
          <w:szCs w:val="24"/>
          <w:highlight w:val="white"/>
        </w:rPr>
        <w:t>promossa dall’Azienda Speciale Consortile Oglio Po, in partnership con il Consorzio Casalasco Servizi Sociali e finanziata dal Piano GAP di ATS Val Padana.</w:t>
      </w:r>
    </w:p>
    <w:p w14:paraId="40811A97" w14:textId="77777777" w:rsidR="007D709E" w:rsidRDefault="007D709E">
      <w:pPr>
        <w:pStyle w:val="LO-normal1"/>
        <w:spacing w:before="0" w:line="276" w:lineRule="auto"/>
        <w:jc w:val="both"/>
        <w:rPr>
          <w:rFonts w:ascii="Arial" w:eastAsia="Arial" w:hAnsi="Arial" w:cs="Arial"/>
          <w:sz w:val="24"/>
          <w:szCs w:val="24"/>
          <w:highlight w:val="white"/>
        </w:rPr>
      </w:pPr>
    </w:p>
    <w:p w14:paraId="33E5E4C1" w14:textId="77777777" w:rsidR="007D709E" w:rsidRDefault="006F775B">
      <w:pPr>
        <w:pStyle w:val="LO-normal1"/>
        <w:spacing w:before="0" w:line="276" w:lineRule="auto"/>
        <w:jc w:val="both"/>
        <w:rPr>
          <w:rFonts w:ascii="Arial" w:eastAsia="Arial" w:hAnsi="Arial" w:cs="Arial"/>
          <w:color w:val="080809"/>
          <w:sz w:val="24"/>
          <w:szCs w:val="24"/>
          <w:highlight w:val="white"/>
        </w:rPr>
      </w:pPr>
      <w:r>
        <w:rPr>
          <w:rFonts w:ascii="Arial" w:eastAsia="Arial" w:hAnsi="Arial" w:cs="Arial"/>
          <w:b/>
          <w:bCs/>
          <w:sz w:val="24"/>
          <w:szCs w:val="24"/>
          <w:highlight w:val="white"/>
        </w:rPr>
        <w:t xml:space="preserve">In questi giorni i materiali multimediali </w:t>
      </w:r>
      <w:r>
        <w:rPr>
          <w:rFonts w:ascii="Arial" w:eastAsia="Arial" w:hAnsi="Arial" w:cs="Arial"/>
          <w:sz w:val="24"/>
          <w:szCs w:val="24"/>
          <w:highlight w:val="white"/>
        </w:rPr>
        <w:t xml:space="preserve">prodotti dalle classi 5A e 5B dell’indirizzo professionale socio-sanitario dell'Istituto superiore G. Romani </w:t>
      </w:r>
      <w:r>
        <w:rPr>
          <w:rFonts w:ascii="Arial" w:eastAsia="Arial" w:hAnsi="Arial" w:cs="Arial"/>
          <w:b/>
          <w:bCs/>
          <w:sz w:val="24"/>
          <w:szCs w:val="24"/>
          <w:highlight w:val="white"/>
        </w:rPr>
        <w:t>sono sbarcati online:</w:t>
      </w:r>
      <w:r>
        <w:rPr>
          <w:rFonts w:ascii="Arial" w:eastAsia="Arial" w:hAnsi="Arial" w:cs="Arial"/>
          <w:sz w:val="24"/>
          <w:szCs w:val="24"/>
          <w:highlight w:val="white"/>
        </w:rPr>
        <w:t xml:space="preserve"> si tratta di </w:t>
      </w:r>
      <w:r>
        <w:rPr>
          <w:rFonts w:ascii="Arial" w:eastAsia="Arial" w:hAnsi="Arial" w:cs="Arial"/>
          <w:b/>
          <w:bCs/>
          <w:sz w:val="24"/>
          <w:szCs w:val="24"/>
          <w:highlight w:val="white"/>
        </w:rPr>
        <w:t xml:space="preserve">video in </w:t>
      </w:r>
      <w:proofErr w:type="spellStart"/>
      <w:r>
        <w:rPr>
          <w:rFonts w:ascii="Arial" w:eastAsia="Arial" w:hAnsi="Arial" w:cs="Arial"/>
          <w:b/>
          <w:bCs/>
          <w:sz w:val="24"/>
          <w:szCs w:val="24"/>
          <w:highlight w:val="white"/>
        </w:rPr>
        <w:t>reel</w:t>
      </w:r>
      <w:proofErr w:type="spellEnd"/>
      <w:r>
        <w:rPr>
          <w:rFonts w:ascii="Arial" w:eastAsia="Arial" w:hAnsi="Arial" w:cs="Arial"/>
          <w:sz w:val="24"/>
          <w:szCs w:val="24"/>
          <w:highlight w:val="white"/>
        </w:rPr>
        <w:t xml:space="preserve"> e di </w:t>
      </w:r>
      <w:r>
        <w:rPr>
          <w:rFonts w:ascii="Arial" w:eastAsia="Arial" w:hAnsi="Arial" w:cs="Arial"/>
          <w:b/>
          <w:bCs/>
          <w:sz w:val="24"/>
          <w:szCs w:val="24"/>
          <w:highlight w:val="white"/>
        </w:rPr>
        <w:t>audio-interviste in podcast</w:t>
      </w:r>
      <w:r>
        <w:rPr>
          <w:rFonts w:ascii="Arial" w:eastAsia="Arial" w:hAnsi="Arial" w:cs="Arial"/>
          <w:sz w:val="24"/>
          <w:szCs w:val="24"/>
          <w:highlight w:val="white"/>
        </w:rPr>
        <w:t xml:space="preserve"> ideati e realizzati a novembre 2025 dagli studenti durante il </w:t>
      </w:r>
      <w:r>
        <w:rPr>
          <w:rFonts w:ascii="Arial" w:eastAsia="Arial" w:hAnsi="Arial" w:cs="Arial"/>
          <w:b/>
          <w:bCs/>
          <w:sz w:val="24"/>
          <w:szCs w:val="24"/>
          <w:highlight w:val="white"/>
        </w:rPr>
        <w:t xml:space="preserve">percorso di Formazione Scuola-Lavoro </w:t>
      </w:r>
      <w:r>
        <w:rPr>
          <w:rFonts w:ascii="Arial" w:eastAsia="Arial" w:hAnsi="Arial" w:cs="Arial"/>
          <w:sz w:val="24"/>
          <w:szCs w:val="24"/>
          <w:highlight w:val="white"/>
        </w:rPr>
        <w:t xml:space="preserve">con il coordinamento di </w:t>
      </w:r>
      <w:proofErr w:type="spellStart"/>
      <w:r>
        <w:rPr>
          <w:rFonts w:ascii="Arial" w:eastAsia="Arial" w:hAnsi="Arial" w:cs="Arial"/>
          <w:b/>
          <w:bCs/>
          <w:color w:val="080809"/>
          <w:sz w:val="24"/>
          <w:szCs w:val="24"/>
          <w:highlight w:val="white"/>
        </w:rPr>
        <w:t>Ascop</w:t>
      </w:r>
      <w:proofErr w:type="spellEnd"/>
      <w:r>
        <w:rPr>
          <w:rFonts w:ascii="Arial" w:eastAsia="Arial" w:hAnsi="Arial" w:cs="Arial"/>
          <w:color w:val="080809"/>
          <w:sz w:val="24"/>
          <w:szCs w:val="24"/>
          <w:highlight w:val="white"/>
        </w:rPr>
        <w:t xml:space="preserve">, </w:t>
      </w:r>
      <w:proofErr w:type="spellStart"/>
      <w:r>
        <w:rPr>
          <w:rFonts w:ascii="Arial" w:eastAsia="Arial" w:hAnsi="Arial" w:cs="Arial"/>
          <w:b/>
          <w:bCs/>
          <w:color w:val="080809"/>
          <w:sz w:val="24"/>
          <w:szCs w:val="24"/>
          <w:highlight w:val="white"/>
        </w:rPr>
        <w:t>Concass</w:t>
      </w:r>
      <w:proofErr w:type="spellEnd"/>
      <w:r>
        <w:rPr>
          <w:rFonts w:ascii="Arial" w:eastAsia="Arial" w:hAnsi="Arial" w:cs="Arial"/>
          <w:b/>
          <w:bCs/>
          <w:color w:val="080809"/>
          <w:sz w:val="24"/>
          <w:szCs w:val="24"/>
          <w:highlight w:val="white"/>
        </w:rPr>
        <w:t xml:space="preserve"> </w:t>
      </w:r>
      <w:r>
        <w:rPr>
          <w:rFonts w:ascii="Arial" w:eastAsia="Arial" w:hAnsi="Arial" w:cs="Arial"/>
          <w:color w:val="080809"/>
          <w:sz w:val="24"/>
          <w:szCs w:val="24"/>
          <w:highlight w:val="white"/>
        </w:rPr>
        <w:t xml:space="preserve">e </w:t>
      </w:r>
      <w:r>
        <w:rPr>
          <w:rFonts w:ascii="Arial" w:eastAsia="Arial" w:hAnsi="Arial" w:cs="Arial"/>
          <w:b/>
          <w:bCs/>
          <w:color w:val="080809"/>
          <w:sz w:val="24"/>
          <w:szCs w:val="24"/>
          <w:highlight w:val="white"/>
        </w:rPr>
        <w:t>CSV Lombardia Sud ETS</w:t>
      </w:r>
      <w:r>
        <w:rPr>
          <w:rFonts w:ascii="Arial" w:eastAsia="Arial" w:hAnsi="Arial" w:cs="Arial"/>
          <w:color w:val="080809"/>
          <w:sz w:val="24"/>
          <w:szCs w:val="24"/>
          <w:highlight w:val="white"/>
        </w:rPr>
        <w:t>.</w:t>
      </w:r>
    </w:p>
    <w:p w14:paraId="1585880C" w14:textId="77777777" w:rsidR="007D709E" w:rsidRDefault="007D709E">
      <w:pPr>
        <w:pStyle w:val="LO-normal1"/>
        <w:spacing w:before="0" w:line="276" w:lineRule="auto"/>
        <w:jc w:val="both"/>
        <w:rPr>
          <w:rFonts w:ascii="Arial" w:eastAsia="Arial" w:hAnsi="Arial" w:cs="Arial"/>
          <w:color w:val="080809"/>
          <w:sz w:val="24"/>
          <w:szCs w:val="24"/>
          <w:highlight w:val="white"/>
        </w:rPr>
      </w:pPr>
    </w:p>
    <w:p w14:paraId="3EC0F639" w14:textId="0C30EB2C" w:rsidR="007D709E" w:rsidRPr="00A4050A" w:rsidRDefault="006F775B" w:rsidP="00A4050A">
      <w:pPr>
        <w:pStyle w:val="LO-normal1"/>
        <w:spacing w:line="276" w:lineRule="auto"/>
        <w:jc w:val="both"/>
        <w:rPr>
          <w:rFonts w:ascii="Arial" w:eastAsia="Arial" w:hAnsi="Arial" w:cs="Arial"/>
          <w:b/>
          <w:bCs/>
          <w:color w:val="080809"/>
          <w:sz w:val="24"/>
          <w:szCs w:val="24"/>
          <w:highlight w:val="yellow"/>
        </w:rPr>
      </w:pPr>
      <w:r>
        <w:rPr>
          <w:rFonts w:ascii="Arial" w:eastAsia="Arial" w:hAnsi="Arial" w:cs="Arial"/>
          <w:b/>
          <w:bCs/>
          <w:color w:val="080809"/>
          <w:sz w:val="24"/>
          <w:szCs w:val="24"/>
          <w:highlight w:val="white"/>
        </w:rPr>
        <w:t xml:space="preserve">Per condividere i Reels della campagna </w:t>
      </w:r>
      <w:r>
        <w:rPr>
          <w:rFonts w:ascii="Arial" w:eastAsia="Arial" w:hAnsi="Arial" w:cs="Arial"/>
          <w:b/>
          <w:bCs/>
          <w:sz w:val="24"/>
          <w:szCs w:val="24"/>
          <w:highlight w:val="white"/>
        </w:rPr>
        <w:t>“Scommetto che smetto”</w:t>
      </w:r>
      <w:r>
        <w:rPr>
          <w:rFonts w:ascii="Arial" w:eastAsia="Arial" w:hAnsi="Arial" w:cs="Arial"/>
          <w:sz w:val="24"/>
          <w:szCs w:val="24"/>
          <w:highlight w:val="white"/>
        </w:rPr>
        <w:t xml:space="preserve"> </w:t>
      </w:r>
      <w:r>
        <w:rPr>
          <w:rFonts w:ascii="Arial" w:eastAsia="Arial" w:hAnsi="Arial" w:cs="Arial"/>
          <w:color w:val="080809"/>
          <w:sz w:val="24"/>
          <w:szCs w:val="24"/>
          <w:highlight w:val="white"/>
        </w:rPr>
        <w:t xml:space="preserve">basta collegarsi ai </w:t>
      </w:r>
      <w:r>
        <w:rPr>
          <w:rFonts w:ascii="Arial" w:eastAsia="Arial" w:hAnsi="Arial" w:cs="Arial"/>
          <w:b/>
          <w:bCs/>
          <w:color w:val="080809"/>
          <w:sz w:val="24"/>
          <w:szCs w:val="24"/>
          <w:highlight w:val="white"/>
        </w:rPr>
        <w:t xml:space="preserve">canali social </w:t>
      </w:r>
      <w:r>
        <w:rPr>
          <w:rFonts w:ascii="Arial" w:eastAsia="Arial" w:hAnsi="Arial" w:cs="Arial"/>
          <w:color w:val="080809"/>
          <w:sz w:val="24"/>
          <w:szCs w:val="24"/>
          <w:highlight w:val="white"/>
        </w:rPr>
        <w:t>dell’Azienda Speciale consortile Oglio Po.</w:t>
      </w:r>
      <w:r>
        <w:rPr>
          <w:rFonts w:ascii="Arial" w:eastAsia="Arial" w:hAnsi="Arial" w:cs="Arial"/>
          <w:b/>
          <w:bCs/>
          <w:color w:val="080809"/>
          <w:sz w:val="24"/>
          <w:szCs w:val="24"/>
          <w:highlight w:val="white"/>
        </w:rPr>
        <w:t xml:space="preserve"> I podcast invece si possono ascoltare sulla webradio RR21 del Polo Romani al link </w:t>
      </w:r>
      <w:hyperlink r:id="rId7" w:tgtFrame="_blank" w:history="1">
        <w:r w:rsidR="00A4050A" w:rsidRPr="00A4050A">
          <w:rPr>
            <w:rStyle w:val="Collegamentoipertestuale"/>
            <w:rFonts w:ascii="Arial" w:eastAsia="Arial" w:hAnsi="Arial" w:cs="Arial"/>
            <w:sz w:val="24"/>
            <w:szCs w:val="24"/>
          </w:rPr>
          <w:t>https://www.spreaker.com/podcast/rr21--4807027</w:t>
        </w:r>
      </w:hyperlink>
      <w:r w:rsidR="00A4050A" w:rsidRPr="00A4050A">
        <w:rPr>
          <w:rFonts w:ascii="Arial" w:eastAsia="Arial" w:hAnsi="Arial" w:cs="Arial"/>
          <w:b/>
          <w:bCs/>
          <w:color w:val="080809"/>
          <w:sz w:val="24"/>
          <w:szCs w:val="24"/>
        </w:rPr>
        <w:t xml:space="preserve"> </w:t>
      </w:r>
      <w:r w:rsidRPr="00A4050A">
        <w:rPr>
          <w:rFonts w:ascii="Arial" w:eastAsia="Arial" w:hAnsi="Arial" w:cs="Arial"/>
          <w:color w:val="080809"/>
          <w:sz w:val="24"/>
          <w:szCs w:val="24"/>
        </w:rPr>
        <w:t xml:space="preserve">e  sull’apposito </w:t>
      </w:r>
      <w:r>
        <w:rPr>
          <w:rFonts w:ascii="Arial" w:eastAsia="Arial" w:hAnsi="Arial" w:cs="Arial"/>
          <w:b/>
          <w:bCs/>
          <w:color w:val="080809"/>
          <w:sz w:val="24"/>
          <w:szCs w:val="24"/>
          <w:highlight w:val="white"/>
        </w:rPr>
        <w:t>canale Spotify</w:t>
      </w:r>
      <w:r>
        <w:rPr>
          <w:rFonts w:ascii="Arial" w:eastAsia="Arial" w:hAnsi="Arial" w:cs="Arial"/>
          <w:color w:val="080809"/>
          <w:sz w:val="24"/>
          <w:szCs w:val="24"/>
          <w:highlight w:val="white"/>
        </w:rPr>
        <w:t xml:space="preserve"> </w:t>
      </w:r>
      <w:r>
        <w:rPr>
          <w:rFonts w:ascii="Arial" w:eastAsia="Arial" w:hAnsi="Arial" w:cs="Arial"/>
          <w:b/>
          <w:bCs/>
          <w:color w:val="080809"/>
          <w:sz w:val="24"/>
          <w:szCs w:val="24"/>
          <w:highlight w:val="white"/>
        </w:rPr>
        <w:t>“Scommetto che Smetto”</w:t>
      </w:r>
      <w:r>
        <w:rPr>
          <w:rFonts w:ascii="Arial" w:eastAsia="Arial" w:hAnsi="Arial" w:cs="Arial"/>
          <w:color w:val="080809"/>
          <w:sz w:val="24"/>
          <w:szCs w:val="24"/>
          <w:highlight w:val="white"/>
        </w:rPr>
        <w:t xml:space="preserve"> collegato alla webradio d’ambito al link </w:t>
      </w:r>
      <w:hyperlink r:id="rId8">
        <w:r>
          <w:rPr>
            <w:rFonts w:ascii="Arial" w:eastAsia="Arial" w:hAnsi="Arial" w:cs="Arial"/>
            <w:color w:val="1155CC"/>
            <w:sz w:val="24"/>
            <w:szCs w:val="24"/>
            <w:highlight w:val="white"/>
            <w:u w:val="single"/>
          </w:rPr>
          <w:t>https://open.spotify.com/show/1BAcmsc7PQF1r6rtn6j8Hr</w:t>
        </w:r>
      </w:hyperlink>
      <w:r>
        <w:rPr>
          <w:rFonts w:ascii="Arial" w:eastAsia="Arial" w:hAnsi="Arial" w:cs="Arial"/>
          <w:color w:val="080809"/>
          <w:sz w:val="24"/>
          <w:szCs w:val="24"/>
          <w:highlight w:val="white"/>
        </w:rPr>
        <w:t xml:space="preserve"> </w:t>
      </w:r>
    </w:p>
    <w:p w14:paraId="0BB2B596" w14:textId="77777777" w:rsidR="007D709E" w:rsidRDefault="006F775B">
      <w:pPr>
        <w:pStyle w:val="LO-normal1"/>
        <w:spacing w:before="0" w:line="276" w:lineRule="auto"/>
        <w:jc w:val="both"/>
        <w:rPr>
          <w:rFonts w:ascii="Arial" w:eastAsia="Arial" w:hAnsi="Arial" w:cs="Arial"/>
          <w:color w:val="080809"/>
          <w:sz w:val="24"/>
          <w:szCs w:val="24"/>
          <w:highlight w:val="white"/>
        </w:rPr>
      </w:pPr>
      <w:r>
        <w:rPr>
          <w:rFonts w:ascii="Arial" w:eastAsia="Arial" w:hAnsi="Arial" w:cs="Arial"/>
          <w:color w:val="080809"/>
          <w:sz w:val="24"/>
          <w:szCs w:val="24"/>
          <w:highlight w:val="white"/>
        </w:rPr>
        <w:br/>
      </w:r>
      <w:r>
        <w:rPr>
          <w:rFonts w:ascii="Arial" w:eastAsia="Arial" w:hAnsi="Arial" w:cs="Arial"/>
          <w:i/>
          <w:iCs/>
          <w:color w:val="080809"/>
          <w:sz w:val="24"/>
          <w:szCs w:val="24"/>
          <w:highlight w:val="white"/>
        </w:rPr>
        <w:t>“Il gioco d’azzardo è subdolo: ti manipola, ti ruba la volontà”, “Ti dà l’illusione di vincere molto, ma si finisce per perdere tutto”, “Più gratti, meno felicità trovi”, “Non far dipendere la tua vita da un gioco”, “E’ più probabile cadere con un aereo che vincere al Superenalotto</w:t>
      </w:r>
      <w:r>
        <w:rPr>
          <w:rFonts w:ascii="Arial" w:eastAsia="Arial" w:hAnsi="Arial" w:cs="Arial"/>
          <w:color w:val="080809"/>
          <w:sz w:val="24"/>
          <w:szCs w:val="24"/>
          <w:highlight w:val="white"/>
        </w:rPr>
        <w:t>”: sono alcune delle</w:t>
      </w:r>
      <w:r>
        <w:rPr>
          <w:rFonts w:ascii="Arial" w:eastAsia="Arial" w:hAnsi="Arial" w:cs="Arial"/>
          <w:b/>
          <w:bCs/>
          <w:color w:val="080809"/>
          <w:sz w:val="24"/>
          <w:szCs w:val="24"/>
          <w:highlight w:val="white"/>
        </w:rPr>
        <w:t xml:space="preserve"> frasi forti con cui ragazzi e ragazze hanno scelto di raccontare nei</w:t>
      </w:r>
      <w:r>
        <w:rPr>
          <w:rFonts w:ascii="Arial" w:eastAsia="Arial" w:hAnsi="Arial" w:cs="Arial"/>
          <w:color w:val="080809"/>
          <w:sz w:val="24"/>
          <w:szCs w:val="24"/>
          <w:highlight w:val="white"/>
        </w:rPr>
        <w:t xml:space="preserve"> </w:t>
      </w:r>
      <w:r>
        <w:rPr>
          <w:rFonts w:ascii="Arial" w:eastAsia="Arial" w:hAnsi="Arial" w:cs="Arial"/>
          <w:b/>
          <w:bCs/>
          <w:color w:val="080809"/>
          <w:sz w:val="24"/>
          <w:szCs w:val="24"/>
          <w:highlight w:val="white"/>
        </w:rPr>
        <w:t>video in Reel</w:t>
      </w:r>
      <w:r>
        <w:rPr>
          <w:rFonts w:ascii="Arial" w:eastAsia="Arial" w:hAnsi="Arial" w:cs="Arial"/>
          <w:color w:val="080809"/>
          <w:sz w:val="24"/>
          <w:szCs w:val="24"/>
          <w:highlight w:val="white"/>
        </w:rPr>
        <w:t xml:space="preserve"> i rischi dell’azzardopatia in modo chiaro e immediato. </w:t>
      </w:r>
    </w:p>
    <w:p w14:paraId="61ECFCE7" w14:textId="77777777" w:rsidR="007D709E" w:rsidRDefault="006F775B">
      <w:pPr>
        <w:pStyle w:val="LO-normal1"/>
        <w:spacing w:before="240" w:after="240" w:line="276" w:lineRule="auto"/>
        <w:jc w:val="both"/>
        <w:rPr>
          <w:rFonts w:ascii="Arial" w:eastAsia="Arial" w:hAnsi="Arial" w:cs="Arial"/>
          <w:color w:val="080809"/>
          <w:sz w:val="24"/>
          <w:szCs w:val="24"/>
          <w:highlight w:val="white"/>
        </w:rPr>
      </w:pPr>
      <w:r>
        <w:rPr>
          <w:rFonts w:ascii="Arial" w:eastAsia="Arial" w:hAnsi="Arial" w:cs="Arial"/>
          <w:color w:val="080809"/>
          <w:sz w:val="24"/>
          <w:szCs w:val="24"/>
          <w:highlight w:val="white"/>
        </w:rPr>
        <w:t xml:space="preserve">Nei </w:t>
      </w:r>
      <w:r>
        <w:rPr>
          <w:rFonts w:ascii="Arial" w:eastAsia="Arial" w:hAnsi="Arial" w:cs="Arial"/>
          <w:b/>
          <w:bCs/>
          <w:color w:val="080809"/>
          <w:sz w:val="24"/>
          <w:szCs w:val="24"/>
          <w:highlight w:val="white"/>
        </w:rPr>
        <w:t>podcast</w:t>
      </w:r>
      <w:r>
        <w:rPr>
          <w:rFonts w:ascii="Arial" w:eastAsia="Arial" w:hAnsi="Arial" w:cs="Arial"/>
          <w:color w:val="080809"/>
          <w:sz w:val="24"/>
          <w:szCs w:val="24"/>
          <w:highlight w:val="white"/>
        </w:rPr>
        <w:t xml:space="preserve">, invece, gli studenti dialogano con il </w:t>
      </w:r>
      <w:r>
        <w:rPr>
          <w:rFonts w:ascii="Arial" w:eastAsia="Arial" w:hAnsi="Arial" w:cs="Arial"/>
          <w:b/>
          <w:bCs/>
          <w:color w:val="080809"/>
          <w:sz w:val="24"/>
          <w:szCs w:val="24"/>
          <w:highlight w:val="white"/>
        </w:rPr>
        <w:t>dott. Simone Zaltieri</w:t>
      </w:r>
      <w:r>
        <w:rPr>
          <w:rFonts w:ascii="Arial" w:eastAsia="Arial" w:hAnsi="Arial" w:cs="Arial"/>
          <w:color w:val="080809"/>
          <w:sz w:val="24"/>
          <w:szCs w:val="24"/>
          <w:highlight w:val="white"/>
        </w:rPr>
        <w:t xml:space="preserve">, psicologo e psicoterapeuta del </w:t>
      </w:r>
      <w:r>
        <w:rPr>
          <w:rFonts w:ascii="Arial" w:eastAsia="Arial" w:hAnsi="Arial" w:cs="Arial"/>
          <w:b/>
          <w:bCs/>
          <w:color w:val="080809"/>
          <w:sz w:val="24"/>
          <w:szCs w:val="24"/>
          <w:highlight w:val="white"/>
        </w:rPr>
        <w:t>SERD di Casalmaggiore (ASST Cremona)</w:t>
      </w:r>
      <w:r>
        <w:rPr>
          <w:rFonts w:ascii="Arial" w:eastAsia="Arial" w:hAnsi="Arial" w:cs="Arial"/>
          <w:color w:val="080809"/>
          <w:sz w:val="24"/>
          <w:szCs w:val="24"/>
          <w:highlight w:val="white"/>
        </w:rPr>
        <w:t xml:space="preserve"> e con </w:t>
      </w:r>
      <w:r>
        <w:rPr>
          <w:rFonts w:ascii="Arial" w:eastAsia="Arial" w:hAnsi="Arial" w:cs="Arial"/>
          <w:b/>
          <w:bCs/>
          <w:color w:val="080809"/>
          <w:sz w:val="24"/>
          <w:szCs w:val="24"/>
          <w:highlight w:val="white"/>
        </w:rPr>
        <w:t>Lorenzo Carra</w:t>
      </w:r>
      <w:r>
        <w:rPr>
          <w:rFonts w:ascii="Arial" w:eastAsia="Arial" w:hAnsi="Arial" w:cs="Arial"/>
          <w:color w:val="080809"/>
          <w:sz w:val="24"/>
          <w:szCs w:val="24"/>
          <w:highlight w:val="white"/>
        </w:rPr>
        <w:t xml:space="preserve">, educatore dello </w:t>
      </w:r>
      <w:r>
        <w:rPr>
          <w:rFonts w:ascii="Arial" w:eastAsia="Arial" w:hAnsi="Arial" w:cs="Arial"/>
          <w:b/>
          <w:bCs/>
          <w:color w:val="080809"/>
          <w:sz w:val="24"/>
          <w:szCs w:val="24"/>
          <w:highlight w:val="white"/>
        </w:rPr>
        <w:t>S.M.I. Gli Astronauti di Fondazione Arca</w:t>
      </w:r>
      <w:r>
        <w:rPr>
          <w:rFonts w:ascii="Arial" w:eastAsia="Arial" w:hAnsi="Arial" w:cs="Arial"/>
          <w:color w:val="080809"/>
          <w:sz w:val="24"/>
          <w:szCs w:val="24"/>
          <w:highlight w:val="white"/>
        </w:rPr>
        <w:t xml:space="preserve">. Episodio dopo episodio i ragazzi accompagnano l’ascoltatore dentro le molte sfaccettature del gioco d’azzardo, partendo dalle illusioni più comuni – come la convinzione di essere “sempre in positivo” o di “giocare solo il denaro già vinto” – fino alle dinamiche più profonde della dipendenza. Gli studenti interrogano gli esperti sui campanelli d’allarme da non sottovalutare, su come aiutare chi è caduto nella trappola dell’azzardo, sul ruolo ambiguo degli influencer che </w:t>
      </w:r>
      <w:r>
        <w:rPr>
          <w:rFonts w:ascii="Arial" w:eastAsia="Arial" w:hAnsi="Arial" w:cs="Arial"/>
          <w:color w:val="080809"/>
          <w:sz w:val="24"/>
          <w:szCs w:val="24"/>
          <w:highlight w:val="white"/>
        </w:rPr>
        <w:lastRenderedPageBreak/>
        <w:t>parlano di vincite facili sui social e infine sul rapporto tra videogiochi e azzardo online.</w:t>
      </w:r>
      <w:r>
        <w:rPr>
          <w:rFonts w:ascii="Arial" w:eastAsia="Arial" w:hAnsi="Arial" w:cs="Arial"/>
          <w:color w:val="080809"/>
          <w:sz w:val="24"/>
          <w:szCs w:val="24"/>
          <w:highlight w:val="white"/>
        </w:rPr>
        <w:br/>
      </w:r>
      <w:r>
        <w:rPr>
          <w:rFonts w:ascii="Arial" w:eastAsia="Arial" w:hAnsi="Arial" w:cs="Arial"/>
          <w:color w:val="080809"/>
          <w:sz w:val="24"/>
          <w:szCs w:val="24"/>
          <w:highlight w:val="white"/>
        </w:rPr>
        <w:br/>
        <w:t xml:space="preserve">Gli studenti, grazie </w:t>
      </w:r>
      <w:r>
        <w:rPr>
          <w:rFonts w:ascii="Arial" w:eastAsia="Arial" w:hAnsi="Arial" w:cs="Arial"/>
          <w:sz w:val="24"/>
          <w:szCs w:val="24"/>
          <w:highlight w:val="white"/>
        </w:rPr>
        <w:t xml:space="preserve">ai </w:t>
      </w:r>
      <w:proofErr w:type="spellStart"/>
      <w:r>
        <w:rPr>
          <w:rFonts w:ascii="Arial" w:eastAsia="Arial" w:hAnsi="Arial" w:cs="Arial"/>
          <w:sz w:val="24"/>
          <w:szCs w:val="24"/>
          <w:highlight w:val="white"/>
        </w:rPr>
        <w:t>reel</w:t>
      </w:r>
      <w:proofErr w:type="spellEnd"/>
      <w:r>
        <w:rPr>
          <w:rFonts w:ascii="Arial" w:eastAsia="Arial" w:hAnsi="Arial" w:cs="Arial"/>
          <w:color w:val="080809"/>
          <w:sz w:val="24"/>
          <w:szCs w:val="24"/>
          <w:highlight w:val="white"/>
        </w:rPr>
        <w:t xml:space="preserve"> e ai </w:t>
      </w:r>
      <w:r>
        <w:rPr>
          <w:rFonts w:ascii="Arial" w:eastAsia="Arial" w:hAnsi="Arial" w:cs="Arial"/>
          <w:sz w:val="24"/>
          <w:szCs w:val="24"/>
          <w:highlight w:val="white"/>
        </w:rPr>
        <w:t xml:space="preserve">podcast </w:t>
      </w:r>
      <w:r>
        <w:rPr>
          <w:rFonts w:ascii="Arial" w:eastAsia="Arial" w:hAnsi="Arial" w:cs="Arial"/>
          <w:color w:val="080809"/>
          <w:sz w:val="24"/>
          <w:szCs w:val="24"/>
          <w:highlight w:val="white"/>
        </w:rPr>
        <w:t xml:space="preserve">realizzati sotto la guida dei tutor Daniele Goldoni e Alessandra Mariotti </w:t>
      </w:r>
      <w:bookmarkStart w:id="0" w:name="docs-internal-guid-406a787b-7fff-5582-10"/>
      <w:bookmarkEnd w:id="0"/>
      <w:r>
        <w:rPr>
          <w:rFonts w:ascii="Arial;sans-serif" w:eastAsia="Arial" w:hAnsi="Arial;sans-serif" w:cs="Arial"/>
          <w:color w:val="000000"/>
          <w:szCs w:val="24"/>
          <w:highlight w:val="white"/>
        </w:rPr>
        <w:t>e dalla docente Katia Bernuzzi</w:t>
      </w:r>
      <w:r>
        <w:rPr>
          <w:rFonts w:ascii="Arial" w:eastAsia="Arial" w:hAnsi="Arial" w:cs="Arial"/>
          <w:color w:val="080809"/>
          <w:sz w:val="24"/>
          <w:szCs w:val="24"/>
          <w:highlight w:val="white"/>
        </w:rPr>
        <w:t xml:space="preserve">, sono diventati veri e propri </w:t>
      </w:r>
      <w:r>
        <w:rPr>
          <w:rFonts w:ascii="Arial" w:eastAsia="Arial" w:hAnsi="Arial" w:cs="Arial"/>
          <w:b/>
          <w:bCs/>
          <w:color w:val="080809"/>
          <w:sz w:val="24"/>
          <w:szCs w:val="24"/>
          <w:highlight w:val="white"/>
        </w:rPr>
        <w:t>Ambassador contro l’azzardopatia</w:t>
      </w:r>
      <w:r>
        <w:rPr>
          <w:rFonts w:ascii="Arial" w:eastAsia="Arial" w:hAnsi="Arial" w:cs="Arial"/>
          <w:color w:val="080809"/>
          <w:sz w:val="24"/>
          <w:szCs w:val="24"/>
          <w:highlight w:val="white"/>
        </w:rPr>
        <w:t>, capaci di sensibilizzare coetanei e comunità locali sulle insidie del gioco d’azzardo patologico e sull’importanza della prevenzione. Questa campagna di comunicazione sociale invita a diventare</w:t>
      </w:r>
      <w:r>
        <w:rPr>
          <w:rFonts w:ascii="Arial" w:eastAsia="Arial" w:hAnsi="Arial" w:cs="Arial"/>
          <w:b/>
          <w:bCs/>
          <w:color w:val="080809"/>
          <w:sz w:val="24"/>
          <w:szCs w:val="24"/>
          <w:highlight w:val="white"/>
        </w:rPr>
        <w:t xml:space="preserve"> “sentinelle” attive sul territorio</w:t>
      </w:r>
      <w:r>
        <w:rPr>
          <w:rFonts w:ascii="Arial" w:eastAsia="Arial" w:hAnsi="Arial" w:cs="Arial"/>
          <w:color w:val="080809"/>
          <w:sz w:val="24"/>
          <w:szCs w:val="24"/>
          <w:highlight w:val="white"/>
        </w:rPr>
        <w:t xml:space="preserve">, in grado di riconoscere i segnali di rischio e a orientare verso i servizi di supporto, </w:t>
      </w:r>
      <w:proofErr w:type="gramStart"/>
      <w:r>
        <w:rPr>
          <w:rFonts w:ascii="Arial" w:eastAsia="Arial" w:hAnsi="Arial" w:cs="Arial"/>
          <w:color w:val="080809"/>
          <w:sz w:val="24"/>
          <w:szCs w:val="24"/>
          <w:highlight w:val="white"/>
        </w:rPr>
        <w:t>promuovendo  una</w:t>
      </w:r>
      <w:proofErr w:type="gramEnd"/>
      <w:r>
        <w:rPr>
          <w:rFonts w:ascii="Arial" w:eastAsia="Arial" w:hAnsi="Arial" w:cs="Arial"/>
          <w:color w:val="080809"/>
          <w:sz w:val="24"/>
          <w:szCs w:val="24"/>
          <w:highlight w:val="white"/>
        </w:rPr>
        <w:t xml:space="preserve"> cultura della prevenzione contro l’azzardopatia perché, come dicono gli studenti nel loro slogan: “Anche tu puoi fare la differenza!”</w:t>
      </w:r>
    </w:p>
    <w:p w14:paraId="5BAF19B6" w14:textId="77777777" w:rsidR="007D709E" w:rsidRDefault="007D709E">
      <w:pPr>
        <w:spacing w:before="240" w:after="240" w:line="276" w:lineRule="auto"/>
        <w:jc w:val="both"/>
        <w:rPr>
          <w:rFonts w:ascii="Arial" w:eastAsia="Arial" w:hAnsi="Arial" w:cs="Arial"/>
          <w:color w:val="080809"/>
          <w:sz w:val="24"/>
          <w:szCs w:val="24"/>
          <w:highlight w:val="white"/>
        </w:rPr>
      </w:pPr>
    </w:p>
    <w:p w14:paraId="677A3541" w14:textId="77777777" w:rsidR="007D709E" w:rsidRDefault="007D709E">
      <w:pPr>
        <w:spacing w:before="240" w:after="240" w:line="276" w:lineRule="auto"/>
        <w:jc w:val="both"/>
        <w:rPr>
          <w:rFonts w:ascii="Arial" w:eastAsia="Arial" w:hAnsi="Arial" w:cs="Arial"/>
          <w:i/>
          <w:iCs/>
          <w:color w:val="000000"/>
          <w:sz w:val="24"/>
          <w:szCs w:val="24"/>
        </w:rPr>
      </w:pPr>
    </w:p>
    <w:sectPr w:rsidR="007D709E" w:rsidSect="007D709E">
      <w:headerReference w:type="even" r:id="rId9"/>
      <w:headerReference w:type="default" r:id="rId10"/>
      <w:footerReference w:type="even" r:id="rId11"/>
      <w:footerReference w:type="default" r:id="rId12"/>
      <w:headerReference w:type="first" r:id="rId13"/>
      <w:pgSz w:w="11906" w:h="16838"/>
      <w:pgMar w:top="1560" w:right="1134" w:bottom="1134" w:left="1134" w:header="709" w:footer="708" w:gutter="0"/>
      <w:pgNumType w:start="1"/>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544F1" w14:textId="77777777" w:rsidR="006F775B" w:rsidRDefault="006F775B" w:rsidP="007D709E">
      <w:pPr>
        <w:spacing w:before="0"/>
      </w:pPr>
      <w:r>
        <w:separator/>
      </w:r>
    </w:p>
  </w:endnote>
  <w:endnote w:type="continuationSeparator" w:id="0">
    <w:p w14:paraId="70C2357A" w14:textId="77777777" w:rsidR="006F775B" w:rsidRDefault="006F775B" w:rsidP="007D709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B9DBCE4-482F-4CE8-A54A-019D3B2EF56A}"/>
    <w:embedBold r:id="rId2" w:fontKey="{B534CBC0-DB34-4008-AEB9-7928290EA7AD}"/>
    <w:embedItalic r:id="rId3" w:fontKey="{B369C882-147F-4D73-879D-7212981697FA}"/>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4" w:fontKey="{C671DB64-C3B4-4CC7-AAD3-61300654B237}"/>
    <w:embedItalic r:id="rId5" w:fontKey="{3D0FBD52-B6F0-4194-A8B4-A8779199C422}"/>
  </w:font>
  <w:font w:name="Georgia">
    <w:panose1 w:val="02040502050405020303"/>
    <w:charset w:val="00"/>
    <w:family w:val="roman"/>
    <w:pitch w:val="variable"/>
    <w:sig w:usb0="00000287" w:usb1="00000000" w:usb2="00000000" w:usb3="00000000" w:csb0="0000009F" w:csb1="00000000"/>
    <w:embedItalic r:id="rId6" w:fontKey="{A1F6F5E5-9EAE-4015-B16F-803EA9D0F77C}"/>
  </w:font>
  <w:font w:name="Cambria">
    <w:panose1 w:val="02040503050406030204"/>
    <w:charset w:val="00"/>
    <w:family w:val="roman"/>
    <w:pitch w:val="variable"/>
    <w:sig w:usb0="E00006FF" w:usb1="420024FF" w:usb2="02000000" w:usb3="00000000" w:csb0="0000019F" w:csb1="00000000"/>
    <w:embedRegular r:id="rId7" w:fontKey="{6E1FA9ED-49B2-48BE-BD91-93C69BF81947}"/>
  </w:font>
  <w:font w:name="Arial">
    <w:panose1 w:val="020B0604020202020204"/>
    <w:charset w:val="00"/>
    <w:family w:val="swiss"/>
    <w:pitch w:val="variable"/>
    <w:sig w:usb0="E0002EFF" w:usb1="C000785B" w:usb2="00000009" w:usb3="00000000" w:csb0="000001FF" w:csb1="00000000"/>
  </w:font>
  <w:font w:name="Arial;sans-serif">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Italic r:id="rId8" w:fontKey="{C0A06618-D123-4ABA-B41A-9B5ECE1558F7}"/>
  </w:font>
  <w:font w:name="Calibri Light">
    <w:panose1 w:val="020F0302020204030204"/>
    <w:charset w:val="00"/>
    <w:family w:val="swiss"/>
    <w:pitch w:val="variable"/>
    <w:sig w:usb0="E4002EFF" w:usb1="C200247B" w:usb2="00000009" w:usb3="00000000" w:csb0="000001FF" w:csb1="00000000"/>
    <w:embedRegular r:id="rId9" w:fontKey="{B6FF7064-B349-424A-B39D-657C903583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8C5F5" w14:textId="77777777" w:rsidR="007D709E" w:rsidRDefault="006F775B">
    <w:pPr>
      <w:pStyle w:val="LO-normal1"/>
      <w:tabs>
        <w:tab w:val="center" w:pos="4819"/>
        <w:tab w:val="right" w:pos="9638"/>
      </w:tabs>
      <w:spacing w:before="0"/>
      <w:jc w:val="right"/>
      <w:rPr>
        <w:color w:val="000000"/>
      </w:rPr>
    </w:pPr>
    <w:r>
      <w:rPr>
        <w:color w:val="4472C4"/>
        <w:sz w:val="20"/>
        <w:szCs w:val="20"/>
      </w:rPr>
      <w:t xml:space="preserve">pag. </w:t>
    </w:r>
    <w:r w:rsidR="007D709E">
      <w:fldChar w:fldCharType="begin"/>
    </w:r>
    <w:r>
      <w:instrText xml:space="preserve"> PAGE </w:instrText>
    </w:r>
    <w:r w:rsidR="007D709E">
      <w:fldChar w:fldCharType="separate"/>
    </w:r>
    <w:r>
      <w:t>0</w:t>
    </w:r>
    <w:r w:rsidR="007D709E">
      <w:fldChar w:fldCharType="end"/>
    </w:r>
  </w:p>
  <w:p w14:paraId="770EFAA7" w14:textId="77777777" w:rsidR="007D709E" w:rsidRDefault="006F775B">
    <w:pPr>
      <w:pStyle w:val="LO-normal1"/>
      <w:tabs>
        <w:tab w:val="center" w:pos="4819"/>
        <w:tab w:val="right" w:pos="9638"/>
      </w:tabs>
      <w:spacing w:before="0"/>
      <w:jc w:val="right"/>
      <w:rPr>
        <w:color w:val="000000"/>
      </w:rPr>
    </w:pPr>
    <w:r>
      <w:rPr>
        <w:color w:val="4472C4"/>
        <w:sz w:val="20"/>
        <w:szCs w:val="20"/>
      </w:rPr>
      <w:t xml:space="preserve">pag. </w:t>
    </w:r>
    <w:r w:rsidR="007D709E">
      <w:fldChar w:fldCharType="begin"/>
    </w:r>
    <w:r>
      <w:instrText xml:space="preserve"> PAGE </w:instrText>
    </w:r>
    <w:r w:rsidR="007D709E">
      <w:fldChar w:fldCharType="separate"/>
    </w:r>
    <w:r>
      <w:t>0</w:t>
    </w:r>
    <w:r w:rsidR="007D709E">
      <w:fldChar w:fldCharType="end"/>
    </w:r>
  </w:p>
  <w:p w14:paraId="14B2D0C8" w14:textId="77777777" w:rsidR="007D709E" w:rsidRDefault="007D709E">
    <w:pPr>
      <w:pStyle w:val="LO-normal1"/>
      <w:tabs>
        <w:tab w:val="center" w:pos="4819"/>
        <w:tab w:val="right" w:pos="9638"/>
      </w:tabs>
      <w:spacing w:befor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CAAA5" w14:textId="77777777" w:rsidR="007D709E" w:rsidRDefault="006F775B">
    <w:pPr>
      <w:pStyle w:val="LO-normal1"/>
      <w:tabs>
        <w:tab w:val="center" w:pos="4819"/>
        <w:tab w:val="right" w:pos="9638"/>
      </w:tabs>
      <w:spacing w:before="0"/>
      <w:jc w:val="right"/>
      <w:rPr>
        <w:color w:val="000000"/>
      </w:rPr>
    </w:pPr>
    <w:r>
      <w:rPr>
        <w:color w:val="4472C4"/>
        <w:sz w:val="20"/>
        <w:szCs w:val="20"/>
      </w:rPr>
      <w:t xml:space="preserve">pag. </w:t>
    </w:r>
    <w:r w:rsidR="007D709E">
      <w:fldChar w:fldCharType="begin"/>
    </w:r>
    <w:r>
      <w:instrText xml:space="preserve"> PAGE </w:instrText>
    </w:r>
    <w:r w:rsidR="007D709E">
      <w:fldChar w:fldCharType="separate"/>
    </w:r>
    <w:r w:rsidR="00E93CC9">
      <w:rPr>
        <w:noProof/>
      </w:rPr>
      <w:t>2</w:t>
    </w:r>
    <w:r w:rsidR="007D709E">
      <w:fldChar w:fldCharType="end"/>
    </w:r>
  </w:p>
  <w:p w14:paraId="34FB43F3" w14:textId="77777777" w:rsidR="007D709E" w:rsidRDefault="007D709E">
    <w:pPr>
      <w:pStyle w:val="LO-normal1"/>
      <w:tabs>
        <w:tab w:val="center" w:pos="4819"/>
        <w:tab w:val="right" w:pos="9638"/>
      </w:tabs>
      <w:spacing w:befor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5A9CD" w14:textId="77777777" w:rsidR="006F775B" w:rsidRDefault="006F775B" w:rsidP="007D709E">
      <w:pPr>
        <w:spacing w:before="0"/>
      </w:pPr>
      <w:r>
        <w:separator/>
      </w:r>
    </w:p>
  </w:footnote>
  <w:footnote w:type="continuationSeparator" w:id="0">
    <w:p w14:paraId="720B7B31" w14:textId="77777777" w:rsidR="006F775B" w:rsidRDefault="006F775B" w:rsidP="007D709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8509" w14:textId="77777777" w:rsidR="007D709E" w:rsidRDefault="006F775B">
    <w:pPr>
      <w:pStyle w:val="LO-normal1"/>
      <w:tabs>
        <w:tab w:val="center" w:pos="4819"/>
        <w:tab w:val="right" w:pos="9638"/>
      </w:tabs>
      <w:spacing w:before="0"/>
      <w:rPr>
        <w:color w:val="000000"/>
      </w:rPr>
    </w:pPr>
    <w:r>
      <w:rPr>
        <w:noProof/>
        <w:color w:val="000000"/>
        <w:lang w:eastAsia="it-IT" w:bidi="ar-SA"/>
      </w:rPr>
      <w:drawing>
        <wp:anchor distT="0" distB="0" distL="0" distR="0" simplePos="0" relativeHeight="251658240" behindDoc="1" locked="0" layoutInCell="1" allowOverlap="1" wp14:anchorId="43E70B6E" wp14:editId="11AE4405">
          <wp:simplePos x="0" y="0"/>
          <wp:positionH relativeFrom="column">
            <wp:posOffset>-34290</wp:posOffset>
          </wp:positionH>
          <wp:positionV relativeFrom="paragraph">
            <wp:posOffset>-78740</wp:posOffset>
          </wp:positionV>
          <wp:extent cx="2609850" cy="504190"/>
          <wp:effectExtent l="0" t="0" r="0" b="0"/>
          <wp:wrapNone/>
          <wp:docPr id="1"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6"/>
                  <pic:cNvPicPr>
                    <a:picLocks noChangeAspect="1" noChangeArrowheads="1"/>
                  </pic:cNvPicPr>
                </pic:nvPicPr>
                <pic:blipFill>
                  <a:blip r:embed="rId1"/>
                  <a:stretch>
                    <a:fillRect/>
                  </a:stretch>
                </pic:blipFill>
                <pic:spPr bwMode="auto">
                  <a:xfrm>
                    <a:off x="0" y="0"/>
                    <a:ext cx="2609850" cy="504190"/>
                  </a:xfrm>
                  <a:prstGeom prst="rect">
                    <a:avLst/>
                  </a:prstGeom>
                </pic:spPr>
              </pic:pic>
            </a:graphicData>
          </a:graphic>
        </wp:anchor>
      </w:drawing>
    </w:r>
    <w:r>
      <w:rPr>
        <w:noProof/>
        <w:color w:val="000000"/>
        <w:lang w:eastAsia="it-IT" w:bidi="ar-SA"/>
      </w:rPr>
      <w:drawing>
        <wp:anchor distT="0" distB="0" distL="0" distR="0" simplePos="0" relativeHeight="251659264" behindDoc="1" locked="0" layoutInCell="1" allowOverlap="1" wp14:anchorId="65742B1D" wp14:editId="34A6D353">
          <wp:simplePos x="0" y="0"/>
          <wp:positionH relativeFrom="column">
            <wp:posOffset>4594860</wp:posOffset>
          </wp:positionH>
          <wp:positionV relativeFrom="paragraph">
            <wp:posOffset>-153670</wp:posOffset>
          </wp:positionV>
          <wp:extent cx="1472565" cy="579755"/>
          <wp:effectExtent l="0" t="0" r="0" b="0"/>
          <wp:wrapNone/>
          <wp:docPr id="2"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7"/>
                  <pic:cNvPicPr>
                    <a:picLocks noChangeAspect="1" noChangeArrowheads="1"/>
                  </pic:cNvPicPr>
                </pic:nvPicPr>
                <pic:blipFill>
                  <a:blip r:embed="rId2"/>
                  <a:stretch>
                    <a:fillRect/>
                  </a:stretch>
                </pic:blipFill>
                <pic:spPr bwMode="auto">
                  <a:xfrm>
                    <a:off x="0" y="0"/>
                    <a:ext cx="1472565" cy="579755"/>
                  </a:xfrm>
                  <a:prstGeom prst="rect">
                    <a:avLst/>
                  </a:prstGeom>
                </pic:spPr>
              </pic:pic>
            </a:graphicData>
          </a:graphic>
        </wp:anchor>
      </w:drawing>
    </w:r>
    <w:r>
      <w:rPr>
        <w:noProof/>
        <w:color w:val="000000"/>
        <w:lang w:eastAsia="it-IT" w:bidi="ar-SA"/>
      </w:rPr>
      <w:drawing>
        <wp:anchor distT="0" distB="0" distL="0" distR="0" simplePos="0" relativeHeight="251660288" behindDoc="1" locked="0" layoutInCell="1" allowOverlap="1" wp14:anchorId="7F05DE2E" wp14:editId="1F299269">
          <wp:simplePos x="0" y="0"/>
          <wp:positionH relativeFrom="column">
            <wp:posOffset>4594860</wp:posOffset>
          </wp:positionH>
          <wp:positionV relativeFrom="paragraph">
            <wp:posOffset>-153670</wp:posOffset>
          </wp:positionV>
          <wp:extent cx="1472565" cy="579755"/>
          <wp:effectExtent l="0" t="0" r="0" b="0"/>
          <wp:wrapNone/>
          <wp:docPr id="3"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4"/>
                  <pic:cNvPicPr>
                    <a:picLocks noChangeAspect="1" noChangeArrowheads="1"/>
                  </pic:cNvPicPr>
                </pic:nvPicPr>
                <pic:blipFill>
                  <a:blip r:embed="rId2"/>
                  <a:stretch>
                    <a:fillRect/>
                  </a:stretch>
                </pic:blipFill>
                <pic:spPr bwMode="auto">
                  <a:xfrm>
                    <a:off x="0" y="0"/>
                    <a:ext cx="1472565" cy="579755"/>
                  </a:xfrm>
                  <a:prstGeom prst="rect">
                    <a:avLst/>
                  </a:prstGeom>
                </pic:spPr>
              </pic:pic>
            </a:graphicData>
          </a:graphic>
        </wp:anchor>
      </w:drawing>
    </w:r>
    <w:r>
      <w:rPr>
        <w:noProof/>
        <w:color w:val="000000"/>
        <w:lang w:eastAsia="it-IT" w:bidi="ar-SA"/>
      </w:rPr>
      <w:drawing>
        <wp:anchor distT="0" distB="0" distL="0" distR="0" simplePos="0" relativeHeight="251661312" behindDoc="1" locked="0" layoutInCell="1" allowOverlap="1" wp14:anchorId="18E277D3" wp14:editId="431B9D8A">
          <wp:simplePos x="0" y="0"/>
          <wp:positionH relativeFrom="column">
            <wp:posOffset>-34290</wp:posOffset>
          </wp:positionH>
          <wp:positionV relativeFrom="paragraph">
            <wp:posOffset>-78740</wp:posOffset>
          </wp:positionV>
          <wp:extent cx="2609850" cy="504190"/>
          <wp:effectExtent l="0" t="0" r="0" b="0"/>
          <wp:wrapNone/>
          <wp:docPr id="4"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5"/>
                  <pic:cNvPicPr>
                    <a:picLocks noChangeAspect="1" noChangeArrowheads="1"/>
                  </pic:cNvPicPr>
                </pic:nvPicPr>
                <pic:blipFill>
                  <a:blip r:embed="rId1"/>
                  <a:stretch>
                    <a:fillRect/>
                  </a:stretch>
                </pic:blipFill>
                <pic:spPr bwMode="auto">
                  <a:xfrm>
                    <a:off x="0" y="0"/>
                    <a:ext cx="2609850" cy="5041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FCF7" w14:textId="77777777" w:rsidR="007D709E" w:rsidRDefault="006F775B">
    <w:pPr>
      <w:pStyle w:val="LO-normal1"/>
      <w:tabs>
        <w:tab w:val="center" w:pos="4819"/>
        <w:tab w:val="right" w:pos="9638"/>
      </w:tabs>
      <w:jc w:val="center"/>
      <w:rPr>
        <w:rFonts w:ascii="Century Gothic" w:eastAsia="Century Gothic" w:hAnsi="Century Gothic" w:cs="Century Gothic"/>
        <w:i/>
        <w:iCs/>
        <w:color w:val="1F4E79"/>
        <w:sz w:val="44"/>
        <w:szCs w:val="44"/>
      </w:rPr>
    </w:pPr>
    <w:r>
      <w:rPr>
        <w:rFonts w:ascii="Century Gothic" w:eastAsia="Century Gothic" w:hAnsi="Century Gothic" w:cs="Century Gothic"/>
        <w:i/>
        <w:iCs/>
        <w:noProof/>
        <w:color w:val="1F4E79"/>
        <w:sz w:val="44"/>
        <w:szCs w:val="44"/>
        <w:lang w:eastAsia="it-IT" w:bidi="ar-SA"/>
      </w:rPr>
      <w:drawing>
        <wp:anchor distT="0" distB="0" distL="0" distR="0" simplePos="0" relativeHeight="4" behindDoc="1" locked="0" layoutInCell="0" allowOverlap="1" wp14:anchorId="15778057" wp14:editId="24834ED7">
          <wp:simplePos x="0" y="0"/>
          <wp:positionH relativeFrom="column">
            <wp:posOffset>-34290</wp:posOffset>
          </wp:positionH>
          <wp:positionV relativeFrom="paragraph">
            <wp:posOffset>-78740</wp:posOffset>
          </wp:positionV>
          <wp:extent cx="2609850" cy="50419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noChangeArrowheads="1"/>
                  </pic:cNvPicPr>
                </pic:nvPicPr>
                <pic:blipFill>
                  <a:blip r:embed="rId1"/>
                  <a:stretch>
                    <a:fillRect/>
                  </a:stretch>
                </pic:blipFill>
                <pic:spPr bwMode="auto">
                  <a:xfrm>
                    <a:off x="0" y="0"/>
                    <a:ext cx="2609850" cy="504190"/>
                  </a:xfrm>
                  <a:prstGeom prst="rect">
                    <a:avLst/>
                  </a:prstGeom>
                </pic:spPr>
              </pic:pic>
            </a:graphicData>
          </a:graphic>
        </wp:anchor>
      </w:drawing>
    </w:r>
    <w:r>
      <w:rPr>
        <w:rFonts w:ascii="Century Gothic" w:eastAsia="Century Gothic" w:hAnsi="Century Gothic" w:cs="Century Gothic"/>
        <w:i/>
        <w:iCs/>
        <w:noProof/>
        <w:color w:val="1F4E79"/>
        <w:sz w:val="44"/>
        <w:szCs w:val="44"/>
        <w:lang w:eastAsia="it-IT" w:bidi="ar-SA"/>
      </w:rPr>
      <w:drawing>
        <wp:anchor distT="0" distB="0" distL="0" distR="0" simplePos="0" relativeHeight="5" behindDoc="1" locked="0" layoutInCell="0" allowOverlap="1" wp14:anchorId="5C7461A6" wp14:editId="77D30B72">
          <wp:simplePos x="0" y="0"/>
          <wp:positionH relativeFrom="column">
            <wp:posOffset>4594860</wp:posOffset>
          </wp:positionH>
          <wp:positionV relativeFrom="paragraph">
            <wp:posOffset>-153670</wp:posOffset>
          </wp:positionV>
          <wp:extent cx="1472565" cy="579755"/>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a:picLocks noChangeAspect="1" noChangeArrowheads="1"/>
                  </pic:cNvPicPr>
                </pic:nvPicPr>
                <pic:blipFill>
                  <a:blip r:embed="rId2"/>
                  <a:stretch>
                    <a:fillRect/>
                  </a:stretch>
                </pic:blipFill>
                <pic:spPr bwMode="auto">
                  <a:xfrm>
                    <a:off x="0" y="0"/>
                    <a:ext cx="1472565" cy="57975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11CED" w14:textId="77777777" w:rsidR="007D709E" w:rsidRDefault="006F775B">
    <w:pPr>
      <w:pStyle w:val="LO-normal1"/>
      <w:tabs>
        <w:tab w:val="center" w:pos="4819"/>
        <w:tab w:val="right" w:pos="9638"/>
      </w:tabs>
      <w:jc w:val="center"/>
      <w:rPr>
        <w:rFonts w:ascii="Century Gothic" w:eastAsia="Century Gothic" w:hAnsi="Century Gothic" w:cs="Century Gothic"/>
        <w:i/>
        <w:iCs/>
        <w:color w:val="1F4E79"/>
        <w:sz w:val="44"/>
        <w:szCs w:val="44"/>
      </w:rPr>
    </w:pPr>
    <w:r>
      <w:rPr>
        <w:rFonts w:ascii="Century Gothic" w:eastAsia="Century Gothic" w:hAnsi="Century Gothic" w:cs="Century Gothic"/>
        <w:i/>
        <w:iCs/>
        <w:noProof/>
        <w:color w:val="1F4E79"/>
        <w:sz w:val="44"/>
        <w:szCs w:val="44"/>
        <w:lang w:eastAsia="it-IT" w:bidi="ar-SA"/>
      </w:rPr>
      <w:drawing>
        <wp:anchor distT="0" distB="0" distL="0" distR="0" simplePos="0" relativeHeight="2" behindDoc="1" locked="0" layoutInCell="0" allowOverlap="1" wp14:anchorId="766B1510" wp14:editId="05140260">
          <wp:simplePos x="0" y="0"/>
          <wp:positionH relativeFrom="column">
            <wp:posOffset>-34290</wp:posOffset>
          </wp:positionH>
          <wp:positionV relativeFrom="paragraph">
            <wp:posOffset>-78740</wp:posOffset>
          </wp:positionV>
          <wp:extent cx="2609850" cy="504190"/>
          <wp:effectExtent l="0" t="0" r="0" b="0"/>
          <wp:wrapNone/>
          <wp:docPr id="7"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3"/>
                  <pic:cNvPicPr>
                    <a:picLocks noChangeAspect="1" noChangeArrowheads="1"/>
                  </pic:cNvPicPr>
                </pic:nvPicPr>
                <pic:blipFill>
                  <a:blip r:embed="rId1"/>
                  <a:stretch>
                    <a:fillRect/>
                  </a:stretch>
                </pic:blipFill>
                <pic:spPr bwMode="auto">
                  <a:xfrm>
                    <a:off x="0" y="0"/>
                    <a:ext cx="2609850" cy="504190"/>
                  </a:xfrm>
                  <a:prstGeom prst="rect">
                    <a:avLst/>
                  </a:prstGeom>
                </pic:spPr>
              </pic:pic>
            </a:graphicData>
          </a:graphic>
        </wp:anchor>
      </w:drawing>
    </w:r>
    <w:r>
      <w:rPr>
        <w:rFonts w:ascii="Century Gothic" w:eastAsia="Century Gothic" w:hAnsi="Century Gothic" w:cs="Century Gothic"/>
        <w:i/>
        <w:iCs/>
        <w:noProof/>
        <w:color w:val="1F4E79"/>
        <w:sz w:val="44"/>
        <w:szCs w:val="44"/>
        <w:lang w:eastAsia="it-IT" w:bidi="ar-SA"/>
      </w:rPr>
      <w:drawing>
        <wp:anchor distT="0" distB="0" distL="0" distR="0" simplePos="0" relativeHeight="3" behindDoc="1" locked="0" layoutInCell="0" allowOverlap="1" wp14:anchorId="6BABBE37" wp14:editId="36AD3DAA">
          <wp:simplePos x="0" y="0"/>
          <wp:positionH relativeFrom="column">
            <wp:posOffset>4594860</wp:posOffset>
          </wp:positionH>
          <wp:positionV relativeFrom="paragraph">
            <wp:posOffset>-153670</wp:posOffset>
          </wp:positionV>
          <wp:extent cx="1472565" cy="579755"/>
          <wp:effectExtent l="0" t="0" r="0" b="0"/>
          <wp:wrapNone/>
          <wp:docPr id="8"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2"/>
                  <pic:cNvPicPr>
                    <a:picLocks noChangeAspect="1" noChangeArrowheads="1"/>
                  </pic:cNvPicPr>
                </pic:nvPicPr>
                <pic:blipFill>
                  <a:blip r:embed="rId2"/>
                  <a:stretch>
                    <a:fillRect/>
                  </a:stretch>
                </pic:blipFill>
                <pic:spPr bwMode="auto">
                  <a:xfrm>
                    <a:off x="0" y="0"/>
                    <a:ext cx="1472565" cy="57975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09E"/>
    <w:rsid w:val="00062F47"/>
    <w:rsid w:val="006F775B"/>
    <w:rsid w:val="007D709E"/>
    <w:rsid w:val="00A4050A"/>
    <w:rsid w:val="00E93C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CC49"/>
  <w15:docId w15:val="{B2A3DDB4-5533-44B4-BD0A-E22885C6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709E"/>
    <w:pPr>
      <w:spacing w:before="100"/>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LO-normal1"/>
    <w:next w:val="LO-normal1"/>
    <w:qFormat/>
    <w:rsid w:val="007D709E"/>
    <w:pPr>
      <w:keepNext/>
      <w:keepLines/>
      <w:spacing w:before="480" w:after="120"/>
    </w:pPr>
    <w:rPr>
      <w:b/>
      <w:bCs/>
      <w:color w:val="000000"/>
      <w:sz w:val="48"/>
      <w:szCs w:val="48"/>
    </w:rPr>
  </w:style>
  <w:style w:type="paragraph" w:customStyle="1" w:styleId="Titolo21">
    <w:name w:val="Titolo 21"/>
    <w:basedOn w:val="LO-normal1"/>
    <w:next w:val="LO-normal1"/>
    <w:qFormat/>
    <w:rsid w:val="007D709E"/>
    <w:pPr>
      <w:keepNext/>
      <w:keepLines/>
      <w:spacing w:before="360" w:after="80"/>
    </w:pPr>
    <w:rPr>
      <w:b/>
      <w:bCs/>
      <w:color w:val="000000"/>
      <w:sz w:val="36"/>
      <w:szCs w:val="36"/>
    </w:rPr>
  </w:style>
  <w:style w:type="paragraph" w:customStyle="1" w:styleId="Titolo31">
    <w:name w:val="Titolo 31"/>
    <w:basedOn w:val="LO-normal1"/>
    <w:next w:val="LO-normal1"/>
    <w:qFormat/>
    <w:rsid w:val="007D709E"/>
    <w:pPr>
      <w:keepNext/>
      <w:keepLines/>
      <w:spacing w:before="280" w:after="80"/>
    </w:pPr>
    <w:rPr>
      <w:b/>
      <w:bCs/>
      <w:color w:val="000000"/>
      <w:sz w:val="28"/>
      <w:szCs w:val="28"/>
    </w:rPr>
  </w:style>
  <w:style w:type="paragraph" w:customStyle="1" w:styleId="Titolo41">
    <w:name w:val="Titolo 41"/>
    <w:basedOn w:val="LO-normal1"/>
    <w:next w:val="LO-normal1"/>
    <w:qFormat/>
    <w:rsid w:val="007D709E"/>
    <w:pPr>
      <w:keepNext/>
      <w:keepLines/>
      <w:spacing w:before="240" w:after="40"/>
    </w:pPr>
    <w:rPr>
      <w:b/>
      <w:bCs/>
      <w:color w:val="000000"/>
      <w:sz w:val="24"/>
      <w:szCs w:val="24"/>
    </w:rPr>
  </w:style>
  <w:style w:type="paragraph" w:customStyle="1" w:styleId="Titolo51">
    <w:name w:val="Titolo 51"/>
    <w:basedOn w:val="LO-normal1"/>
    <w:next w:val="LO-normal1"/>
    <w:qFormat/>
    <w:rsid w:val="007D709E"/>
    <w:pPr>
      <w:keepNext/>
      <w:keepLines/>
      <w:spacing w:before="220" w:after="40"/>
    </w:pPr>
    <w:rPr>
      <w:b/>
      <w:bCs/>
      <w:color w:val="000000"/>
    </w:rPr>
  </w:style>
  <w:style w:type="paragraph" w:customStyle="1" w:styleId="Titolo61">
    <w:name w:val="Titolo 61"/>
    <w:basedOn w:val="LO-normal1"/>
    <w:next w:val="LO-normal1"/>
    <w:qFormat/>
    <w:rsid w:val="007D709E"/>
    <w:pPr>
      <w:keepNext/>
      <w:keepLines/>
      <w:spacing w:before="200" w:after="40"/>
    </w:pPr>
    <w:rPr>
      <w:b/>
      <w:bCs/>
      <w:color w:val="000000"/>
      <w:sz w:val="20"/>
      <w:szCs w:val="20"/>
    </w:rPr>
  </w:style>
  <w:style w:type="character" w:styleId="Collegamentoipertestuale">
    <w:name w:val="Hyperlink"/>
    <w:basedOn w:val="Carpredefinitoparagrafo"/>
    <w:uiPriority w:val="99"/>
    <w:unhideWhenUsed/>
    <w:rsid w:val="00830A08"/>
    <w:rPr>
      <w:color w:val="0563C1" w:themeColor="hyperlink"/>
      <w:u w:val="single"/>
    </w:rPr>
  </w:style>
  <w:style w:type="character" w:customStyle="1" w:styleId="Menzionenonrisolta1">
    <w:name w:val="Menzione non risolta1"/>
    <w:basedOn w:val="Carpredefinitoparagrafo"/>
    <w:uiPriority w:val="99"/>
    <w:semiHidden/>
    <w:unhideWhenUsed/>
    <w:qFormat/>
    <w:rsid w:val="00830A08"/>
    <w:rPr>
      <w:color w:val="605E5C"/>
      <w:shd w:val="clear" w:color="auto" w:fill="E1DFDD"/>
    </w:rPr>
  </w:style>
  <w:style w:type="character" w:customStyle="1" w:styleId="IntestazioneCarattere">
    <w:name w:val="Intestazione Carattere"/>
    <w:basedOn w:val="Carpredefinitoparagrafo"/>
    <w:link w:val="Intestazione1"/>
    <w:uiPriority w:val="99"/>
    <w:qFormat/>
    <w:rsid w:val="009A0EEF"/>
    <w:rPr>
      <w:rFonts w:ascii="Calibri" w:hAnsi="Calibri"/>
      <w:kern w:val="0"/>
    </w:rPr>
  </w:style>
  <w:style w:type="character" w:customStyle="1" w:styleId="PidipaginaCarattere">
    <w:name w:val="Piè di pagina Carattere"/>
    <w:basedOn w:val="Carpredefinitoparagrafo"/>
    <w:link w:val="Pidipagina1"/>
    <w:uiPriority w:val="99"/>
    <w:qFormat/>
    <w:rsid w:val="009A0EEF"/>
    <w:rPr>
      <w:rFonts w:ascii="Calibri" w:hAnsi="Calibri"/>
      <w:kern w:val="0"/>
    </w:rPr>
  </w:style>
  <w:style w:type="paragraph" w:styleId="Titolo">
    <w:name w:val="Title"/>
    <w:basedOn w:val="LO-normal1"/>
    <w:next w:val="Corpotesto"/>
    <w:qFormat/>
    <w:rsid w:val="007D709E"/>
    <w:pPr>
      <w:keepNext/>
      <w:keepLines/>
      <w:spacing w:before="480" w:after="120"/>
    </w:pPr>
    <w:rPr>
      <w:b/>
      <w:bCs/>
      <w:color w:val="000000"/>
      <w:sz w:val="72"/>
      <w:szCs w:val="72"/>
    </w:rPr>
  </w:style>
  <w:style w:type="paragraph" w:styleId="Corpotesto">
    <w:name w:val="Body Text"/>
    <w:basedOn w:val="Normale"/>
    <w:rsid w:val="00AB0DBC"/>
    <w:pPr>
      <w:spacing w:before="0" w:after="140" w:line="276" w:lineRule="auto"/>
    </w:pPr>
  </w:style>
  <w:style w:type="paragraph" w:styleId="Elenco">
    <w:name w:val="List"/>
    <w:basedOn w:val="Corpotesto"/>
    <w:rsid w:val="00AB0DBC"/>
    <w:rPr>
      <w:rFonts w:cs="Lucida Sans"/>
    </w:rPr>
  </w:style>
  <w:style w:type="paragraph" w:customStyle="1" w:styleId="Didascalia1">
    <w:name w:val="Didascalia1"/>
    <w:basedOn w:val="Normale"/>
    <w:qFormat/>
    <w:rsid w:val="00AB0DBC"/>
    <w:pPr>
      <w:suppressLineNumbers/>
      <w:spacing w:before="120" w:after="120"/>
    </w:pPr>
    <w:rPr>
      <w:rFonts w:cs="Lucida Sans"/>
      <w:i/>
      <w:iCs/>
      <w:sz w:val="24"/>
      <w:szCs w:val="24"/>
    </w:rPr>
  </w:style>
  <w:style w:type="paragraph" w:customStyle="1" w:styleId="Indice">
    <w:name w:val="Indice"/>
    <w:basedOn w:val="Normale"/>
    <w:qFormat/>
    <w:rsid w:val="00AB0DBC"/>
    <w:pPr>
      <w:suppressLineNumbers/>
    </w:pPr>
    <w:rPr>
      <w:rFonts w:cs="Lucida Sans"/>
    </w:rPr>
  </w:style>
  <w:style w:type="paragraph" w:customStyle="1" w:styleId="LO-normal1">
    <w:name w:val="LO-normal1"/>
    <w:qFormat/>
    <w:rsid w:val="007D709E"/>
    <w:pPr>
      <w:spacing w:before="100"/>
    </w:pPr>
  </w:style>
  <w:style w:type="paragraph" w:customStyle="1" w:styleId="LO-normal">
    <w:name w:val="LO-normal"/>
    <w:qFormat/>
    <w:rsid w:val="00AB0DBC"/>
    <w:pPr>
      <w:spacing w:before="100"/>
    </w:pPr>
  </w:style>
  <w:style w:type="paragraph" w:styleId="Paragrafoelenco">
    <w:name w:val="List Paragraph"/>
    <w:uiPriority w:val="34"/>
    <w:qFormat/>
    <w:rsid w:val="00102DAB"/>
    <w:pPr>
      <w:spacing w:before="100"/>
      <w:ind w:left="720"/>
      <w:contextualSpacing/>
    </w:pPr>
  </w:style>
  <w:style w:type="paragraph" w:customStyle="1" w:styleId="xmprfxmsonormal">
    <w:name w:val="xmprfx_msonormal"/>
    <w:qFormat/>
    <w:rsid w:val="009A0EEF"/>
    <w:pPr>
      <w:spacing w:beforeAutospacing="1" w:afterAutospacing="1"/>
    </w:pPr>
    <w:rPr>
      <w:rFonts w:ascii="Times New Roman" w:eastAsia="Times New Roman" w:hAnsi="Times New Roman" w:cs="Times New Roman"/>
      <w:sz w:val="24"/>
      <w:szCs w:val="24"/>
      <w:lang w:eastAsia="it-IT"/>
    </w:rPr>
  </w:style>
  <w:style w:type="paragraph" w:customStyle="1" w:styleId="Intestazioneepidipagina">
    <w:name w:val="Intestazione e piè di pagina"/>
    <w:basedOn w:val="Normale"/>
    <w:qFormat/>
    <w:rsid w:val="00AB0DBC"/>
  </w:style>
  <w:style w:type="paragraph" w:customStyle="1" w:styleId="Intestazione1">
    <w:name w:val="Intestazione1"/>
    <w:basedOn w:val="Intestazioneepidipagina"/>
    <w:link w:val="IntestazioneCarattere"/>
    <w:uiPriority w:val="99"/>
    <w:unhideWhenUsed/>
    <w:rsid w:val="009A0EEF"/>
    <w:pPr>
      <w:tabs>
        <w:tab w:val="center" w:pos="4819"/>
        <w:tab w:val="right" w:pos="9638"/>
      </w:tabs>
      <w:spacing w:before="0"/>
    </w:pPr>
  </w:style>
  <w:style w:type="paragraph" w:customStyle="1" w:styleId="Pidipagina1">
    <w:name w:val="Piè di pagina1"/>
    <w:basedOn w:val="Intestazioneepidipagina"/>
    <w:link w:val="PidipaginaCarattere"/>
    <w:uiPriority w:val="99"/>
    <w:unhideWhenUsed/>
    <w:rsid w:val="009A0EEF"/>
    <w:pPr>
      <w:tabs>
        <w:tab w:val="center" w:pos="4819"/>
        <w:tab w:val="right" w:pos="9638"/>
      </w:tabs>
      <w:spacing w:before="0"/>
    </w:pPr>
  </w:style>
  <w:style w:type="paragraph" w:styleId="Sottotitolo">
    <w:name w:val="Subtitle"/>
    <w:basedOn w:val="LO-normal1"/>
    <w:next w:val="LO-normal1"/>
    <w:qFormat/>
    <w:rsid w:val="007D709E"/>
    <w:pPr>
      <w:keepNext/>
      <w:keepLines/>
      <w:spacing w:before="360" w:after="80"/>
    </w:pPr>
    <w:rPr>
      <w:rFonts w:ascii="Georgia" w:eastAsia="Georgia" w:hAnsi="Georgia" w:cs="Georgia"/>
      <w:i/>
      <w:iCs/>
      <w:color w:val="666666"/>
      <w:sz w:val="48"/>
      <w:szCs w:val="48"/>
    </w:rPr>
  </w:style>
  <w:style w:type="paragraph" w:customStyle="1" w:styleId="Tabellanormale1">
    <w:name w:val="Tabella normale1"/>
    <w:qFormat/>
    <w:rsid w:val="007D709E"/>
    <w:pPr>
      <w:spacing w:before="100" w:line="276" w:lineRule="auto"/>
    </w:pPr>
    <w:rPr>
      <w:rFonts w:ascii="Cambria" w:eastAsia="Times New Roman" w:hAnsi="Cambria" w:cs="Times New Roman"/>
      <w:lang w:eastAsia="it-IT" w:bidi="ar-SA"/>
    </w:rPr>
  </w:style>
  <w:style w:type="table" w:customStyle="1" w:styleId="TableNormal">
    <w:name w:val="TableNormal"/>
    <w:rsid w:val="007D709E"/>
    <w:tblPr>
      <w:tblCellMar>
        <w:top w:w="100" w:type="dxa"/>
        <w:left w:w="100" w:type="dxa"/>
        <w:bottom w:w="100" w:type="dxa"/>
        <w:right w:w="100" w:type="dxa"/>
      </w:tblCellMar>
    </w:tblPr>
  </w:style>
  <w:style w:type="table" w:customStyle="1" w:styleId="TableNormal0">
    <w:name w:val="TableNormal"/>
    <w:rsid w:val="00AB0DBC"/>
    <w:tblPr>
      <w:tblCellMar>
        <w:top w:w="100" w:type="dxa"/>
        <w:left w:w="100" w:type="dxa"/>
        <w:bottom w:w="100" w:type="dxa"/>
        <w:right w:w="100" w:type="dxa"/>
      </w:tblCellMar>
    </w:tblPr>
  </w:style>
  <w:style w:type="table" w:customStyle="1" w:styleId="TableNormal1">
    <w:name w:val="TableNormal"/>
    <w:rsid w:val="00AB0DBC"/>
    <w:tblPr>
      <w:tblCellMar>
        <w:top w:w="100" w:type="dxa"/>
        <w:left w:w="100" w:type="dxa"/>
        <w:bottom w:w="100" w:type="dxa"/>
        <w:right w:w="100" w:type="dxa"/>
      </w:tblCellMar>
    </w:tblPr>
  </w:style>
  <w:style w:type="table" w:customStyle="1" w:styleId="TableNormal2">
    <w:name w:val="Table Normal"/>
    <w:rsid w:val="00AB0DBC"/>
    <w:tblPr>
      <w:tblCellMar>
        <w:top w:w="0" w:type="dxa"/>
        <w:left w:w="0" w:type="dxa"/>
        <w:bottom w:w="0" w:type="dxa"/>
        <w:right w:w="0" w:type="dxa"/>
      </w:tblCellMar>
    </w:tblPr>
  </w:style>
  <w:style w:type="table" w:customStyle="1" w:styleId="TableNormal3">
    <w:name w:val="Table Normal"/>
    <w:rsid w:val="00AB0DBC"/>
    <w:tblPr>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A40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pen.spotify.com/show/1BAcmsc7PQF1r6rtn6j8H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spreaker.com/podcast/rr21--4807027?fbclid=IwZXh0bgNhZW0CMTAAYnJpZBEwZFV0bWRLZGczaUpZWEJXeXNydGMGYXBwX2lkEDIyMjAzOTE3ODgyMDA4OTIAAR50J3iR9lM-DqBNAjfgyvl2lOPmAf5liFK_uM2im70rTRHILSEMsSAXMQHFjw_aem_VIW7vbexQmXbKSLEjx0Fnw"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ENLnDjkS+PEcCe8mJ+B+u+xqg+w==">CgMxLjA4AHIhMUVqTmpTcFdGWWs2RWVHZFotTjJSMWVXeWFrVW9fMUI3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594</Words>
  <Characters>3387</Characters>
  <Application>Microsoft Office Word</Application>
  <DocSecurity>0</DocSecurity>
  <Lines>28</Lines>
  <Paragraphs>7</Paragraphs>
  <ScaleCrop>false</ScaleCrop>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Pagliarini</dc:creator>
  <dc:description/>
  <cp:lastModifiedBy>Sara Germani</cp:lastModifiedBy>
  <cp:revision>2</cp:revision>
  <dcterms:created xsi:type="dcterms:W3CDTF">2026-02-12T10:06:00Z</dcterms:created>
  <dcterms:modified xsi:type="dcterms:W3CDTF">2026-02-12T10:06:00Z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-1245843727</vt:lpwstr>
  </property>
  <property fmtid="{D5CDD505-2E9C-101B-9397-08002B2CF9AE}" pid="3" name="_AuthorEmail">
    <vt:lpwstr>c.cozzini@concass.it</vt:lpwstr>
  </property>
  <property fmtid="{D5CDD505-2E9C-101B-9397-08002B2CF9AE}" pid="4" name="_AuthorEmailDisplayName">
    <vt:lpwstr>Cristina Cozzini</vt:lpwstr>
  </property>
  <property fmtid="{D5CDD505-2E9C-101B-9397-08002B2CF9AE}" pid="5" name="_EmailSubject">
    <vt:lpwstr>prg gap - commissione avviso pubblico - note riunione</vt:lpwstr>
  </property>
  <property fmtid="{D5CDD505-2E9C-101B-9397-08002B2CF9AE}" pid="6" name="_NewReviewCycle">
    <vt:lpwstr>_NewReviewCycle</vt:lpwstr>
  </property>
  <property fmtid="{D5CDD505-2E9C-101B-9397-08002B2CF9AE}" pid="7" name="_ReviewingToolsShownOnce">
    <vt:lpwstr>_ReviewingToolsShownOnce</vt:lpwstr>
  </property>
</Properties>
</file>