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6.0 -->
  <w:body>
    <w:p w:rsidR="00F67126" w:rsidP="00012745">
      <w:pPr>
        <w:pStyle w:val="NormaleIntestazione"/>
        <w:rPr>
          <w:b w:val="0"/>
          <w:bCs w:val="0"/>
          <w:snapToGrid w:val="0"/>
        </w:rPr>
      </w:pPr>
      <w:r>
        <w:rPr>
          <w:noProof/>
        </w:rPr>
        <w:drawing>
          <wp:inline distT="0" distB="0" distL="0" distR="0">
            <wp:extent cx="6219825" cy="80857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408915" cy="833156"/>
                    </a:xfrm>
                    <a:prstGeom prst="rect">
                      <a:avLst/>
                    </a:prstGeom>
                  </pic:spPr>
                </pic:pic>
              </a:graphicData>
            </a:graphic>
          </wp:inline>
        </w:drawing>
      </w:r>
      <w:r w:rsidR="00F11AF6">
        <w:rPr>
          <w:noProof/>
        </w:rPr>
        <w:t xml:space="preserve">              </w:t>
      </w:r>
    </w:p>
    <w:p w:rsidR="00F67126" w:rsidP="00012745">
      <w:pPr>
        <w:pStyle w:val="NormaleIntestazione"/>
        <w:rPr>
          <w:b w:val="0"/>
          <w:bCs w:val="0"/>
          <w:snapToGrid w:val="0"/>
        </w:rPr>
      </w:pPr>
    </w:p>
    <w:p w:rsidR="00F67126" w:rsidP="00012745">
      <w:pPr>
        <w:pStyle w:val="NormaleIntestazione"/>
        <w:rPr>
          <w:b w:val="0"/>
          <w:bCs w:val="0"/>
          <w:snapToGrid w:val="0"/>
        </w:rPr>
      </w:pPr>
      <w:bookmarkStart w:id="0" w:name="_GoBack"/>
      <w:bookmarkEnd w:id="0"/>
    </w:p>
    <w:p w:rsidR="00F67126" w:rsidP="00012745">
      <w:pPr>
        <w:pStyle w:val="NormaleIntestazione"/>
        <w:rPr>
          <w:b w:val="0"/>
          <w:bCs w:val="0"/>
          <w:snapToGrid w:val="0"/>
        </w:rPr>
      </w:pPr>
    </w:p>
    <w:p w:rsidR="00F67126" w:rsidRPr="00DF47F5" w:rsidP="00012745">
      <w:pPr>
        <w:pStyle w:val="NormaleIntestazione"/>
        <w:rPr>
          <w:b w:val="0"/>
          <w:bCs w:val="0"/>
          <w:snapToGrid w:val="0"/>
        </w:rPr>
      </w:pPr>
    </w:p>
    <w:tbl>
      <w:tblPr>
        <w:tblW w:w="9720" w:type="dxa"/>
        <w:tblInd w:w="70" w:type="dxa"/>
        <w:tblLayout w:type="fixed"/>
        <w:tblCellMar>
          <w:left w:w="70" w:type="dxa"/>
          <w:right w:w="70" w:type="dxa"/>
        </w:tblCellMar>
        <w:tblLook w:val="0000"/>
      </w:tblPr>
      <w:tblGrid>
        <w:gridCol w:w="3611"/>
        <w:gridCol w:w="6109"/>
      </w:tblGrid>
      <w:tr w:rsidTr="00737561">
        <w:tblPrEx>
          <w:tblW w:w="9720" w:type="dxa"/>
          <w:tblInd w:w="70" w:type="dxa"/>
          <w:tblLayout w:type="fixed"/>
          <w:tblCellMar>
            <w:left w:w="70" w:type="dxa"/>
            <w:right w:w="70" w:type="dxa"/>
          </w:tblCellMar>
          <w:tblLook w:val="0000"/>
        </w:tblPrEx>
        <w:tc>
          <w:tcPr>
            <w:tcW w:w="3611" w:type="dxa"/>
            <w:tcBorders>
              <w:top w:val="single" w:sz="4" w:space="0" w:color="auto"/>
              <w:left w:val="single" w:sz="4" w:space="0" w:color="auto"/>
              <w:bottom w:val="single" w:sz="4" w:space="0" w:color="auto"/>
              <w:right w:val="single" w:sz="4" w:space="0" w:color="auto"/>
            </w:tcBorders>
          </w:tcPr>
          <w:p w:rsidR="00737561" w:rsidRPr="00F64FA0" w:rsidP="00737561">
            <w:pPr>
              <w:pStyle w:val="NormaleIntestazione"/>
              <w:rPr>
                <w:b w:val="0"/>
                <w:bCs w:val="0"/>
                <w:snapToGrid w:val="0"/>
                <w:sz w:val="16"/>
                <w:szCs w:val="16"/>
              </w:rPr>
            </w:pPr>
          </w:p>
          <w:p w:rsidR="00737561" w:rsidP="00737561">
            <w:pPr>
              <w:pStyle w:val="NormaleIntestazione"/>
              <w:rPr>
                <w:snapToGrid w:val="0"/>
              </w:rPr>
            </w:pPr>
            <w:r w:rsidRPr="00846728">
              <w:rPr>
                <w:snapToGrid w:val="0"/>
              </w:rPr>
              <w:t xml:space="preserve">Reg. Gen n. </w:t>
            </w:r>
            <w:bookmarkStart w:id="1" w:name="numero"/>
            <w:r>
              <w:rPr>
                <w:snapToGrid w:val="0"/>
              </w:rPr>
              <w:t>294</w:t>
            </w:r>
            <w:bookmarkEnd w:id="1"/>
            <w:r>
              <w:rPr>
                <w:snapToGrid w:val="0"/>
              </w:rPr>
              <w:t xml:space="preserve"> </w:t>
            </w:r>
          </w:p>
          <w:p w:rsidR="00737561" w:rsidRPr="00F64FA0" w:rsidP="00737561">
            <w:pPr>
              <w:pStyle w:val="NormaleIntestazione"/>
              <w:rPr>
                <w:b w:val="0"/>
                <w:bCs w:val="0"/>
                <w:snapToGrid w:val="0"/>
                <w:sz w:val="16"/>
                <w:szCs w:val="16"/>
              </w:rPr>
            </w:pPr>
          </w:p>
          <w:p w:rsidR="00737561" w:rsidP="00737561">
            <w:pPr>
              <w:pStyle w:val="NormaleIntestazione"/>
              <w:rPr>
                <w:snapToGrid w:val="0"/>
              </w:rPr>
            </w:pPr>
            <w:r>
              <w:rPr>
                <w:snapToGrid w:val="0"/>
              </w:rPr>
              <w:t xml:space="preserve">del </w:t>
            </w:r>
            <w:bookmarkStart w:id="2" w:name="data"/>
            <w:r>
              <w:rPr>
                <w:snapToGrid w:val="0"/>
              </w:rPr>
              <w:t>05/05/2026</w:t>
            </w:r>
            <w:bookmarkEnd w:id="2"/>
            <w:r>
              <w:rPr>
                <w:snapToGrid w:val="0"/>
              </w:rPr>
              <w:t xml:space="preserve"> </w:t>
            </w:r>
          </w:p>
          <w:p w:rsidR="00737561" w:rsidRPr="00737561" w:rsidP="00737561">
            <w:pPr>
              <w:pStyle w:val="NormaleIntestazione"/>
              <w:rPr>
                <w:snapToGrid w:val="0"/>
                <w:sz w:val="16"/>
                <w:szCs w:val="16"/>
              </w:rPr>
            </w:pPr>
          </w:p>
        </w:tc>
        <w:tc>
          <w:tcPr>
            <w:tcW w:w="6109" w:type="dxa"/>
            <w:tcBorders>
              <w:left w:val="single" w:sz="4" w:space="0" w:color="auto"/>
            </w:tcBorders>
          </w:tcPr>
          <w:p w:rsidR="00737561" w:rsidRPr="00846728" w:rsidP="00012745">
            <w:pPr>
              <w:pStyle w:val="NormaleIntestazione"/>
              <w:rPr>
                <w:snapToGrid w:val="0"/>
                <w:sz w:val="4"/>
                <w:szCs w:val="4"/>
              </w:rPr>
            </w:pPr>
          </w:p>
        </w:tc>
      </w:tr>
    </w:tbl>
    <w:p w:rsidR="00012745" w:rsidRPr="00CB40C2" w:rsidP="00737561">
      <w:pPr>
        <w:pStyle w:val="NormaleIntestazione"/>
        <w:rPr>
          <w:b w:val="0"/>
          <w:bCs w:val="0"/>
          <w:snapToGrid w:val="0"/>
        </w:rPr>
      </w:pPr>
    </w:p>
    <w:p w:rsidR="00012745" w:rsidRPr="008A2830" w:rsidP="00737561">
      <w:pPr>
        <w:pStyle w:val="NormaleIntestazione"/>
        <w:ind w:left="1134" w:right="1134"/>
        <w:jc w:val="center"/>
        <w:rPr>
          <w:b w:val="0"/>
          <w:bCs w:val="0"/>
          <w:caps/>
          <w:snapToGrid w:val="0"/>
          <w:sz w:val="30"/>
          <w:szCs w:val="30"/>
        </w:rPr>
      </w:pPr>
      <w:bookmarkStart w:id="3" w:name="area"/>
      <w:r>
        <w:rPr>
          <w:b w:val="0"/>
          <w:bCs w:val="0"/>
          <w:caps/>
          <w:snapToGrid w:val="0"/>
          <w:sz w:val="30"/>
          <w:szCs w:val="30"/>
        </w:rPr>
        <w:t>SETTORE AMMINISTRATIVO</w:t>
      </w:r>
      <w:bookmarkEnd w:id="3"/>
      <w:r>
        <w:rPr>
          <w:b w:val="0"/>
          <w:bCs w:val="0"/>
          <w:caps/>
          <w:snapToGrid w:val="0"/>
          <w:sz w:val="30"/>
          <w:szCs w:val="30"/>
        </w:rPr>
        <w:t xml:space="preserve"> </w:t>
      </w:r>
    </w:p>
    <w:p w:rsidR="00012745" w:rsidRPr="00CB40C2" w:rsidP="00737561">
      <w:pPr>
        <w:pStyle w:val="NormaleIntestazione"/>
        <w:rPr>
          <w:b w:val="0"/>
          <w:bCs w:val="0"/>
          <w:smallCaps/>
          <w:snapToGrid w:val="0"/>
        </w:rPr>
      </w:pPr>
    </w:p>
    <w:tbl>
      <w:tblPr>
        <w:tblW w:w="0" w:type="auto"/>
        <w:tblLayout w:type="fixed"/>
        <w:tblCellMar>
          <w:left w:w="70" w:type="dxa"/>
          <w:right w:w="70" w:type="dxa"/>
        </w:tblCellMar>
        <w:tblLook w:val="0000"/>
      </w:tblPr>
      <w:tblGrid>
        <w:gridCol w:w="1630"/>
        <w:gridCol w:w="7512"/>
      </w:tblGrid>
      <w:tr>
        <w:tblPrEx>
          <w:tblW w:w="0" w:type="auto"/>
          <w:tblLayout w:type="fixed"/>
          <w:tblCellMar>
            <w:left w:w="70" w:type="dxa"/>
            <w:right w:w="70" w:type="dxa"/>
          </w:tblCellMar>
          <w:tblLook w:val="0000"/>
        </w:tblPrEx>
        <w:trPr>
          <w:cantSplit/>
        </w:trPr>
        <w:tc>
          <w:tcPr>
            <w:tcW w:w="1630" w:type="dxa"/>
            <w:tcBorders>
              <w:top w:val="nil"/>
              <w:left w:val="nil"/>
              <w:bottom w:val="nil"/>
              <w:right w:val="nil"/>
            </w:tcBorders>
          </w:tcPr>
          <w:p w:rsidR="00012745" w:rsidP="00737561">
            <w:pPr>
              <w:pStyle w:val="NormaleIntestazione"/>
              <w:rPr>
                <w:i/>
                <w:iCs/>
              </w:rPr>
            </w:pPr>
            <w:r>
              <w:t>OGGETTO</w:t>
            </w:r>
            <w:r>
              <w:rPr>
                <w:b w:val="0"/>
                <w:bCs w:val="0"/>
                <w:i/>
                <w:iCs/>
              </w:rPr>
              <w:t>:</w:t>
            </w:r>
          </w:p>
        </w:tc>
        <w:tc>
          <w:tcPr>
            <w:tcW w:w="7512" w:type="dxa"/>
            <w:tcBorders>
              <w:top w:val="nil"/>
              <w:left w:val="nil"/>
              <w:bottom w:val="nil"/>
              <w:right w:val="nil"/>
            </w:tcBorders>
          </w:tcPr>
          <w:p w:rsidR="00012745" w:rsidP="00737561">
            <w:pPr>
              <w:pStyle w:val="NormaleIntestazione"/>
              <w:rPr>
                <w:b w:val="0"/>
                <w:bCs w:val="0"/>
                <w:snapToGrid w:val="0"/>
              </w:rPr>
            </w:pPr>
            <w:bookmarkStart w:id="4" w:name="oggetto"/>
            <w:r>
              <w:rPr>
                <w:b w:val="0"/>
                <w:bCs w:val="0"/>
                <w:snapToGrid w:val="0"/>
              </w:rPr>
              <w:t xml:space="preserve">AFFIDAMENTO DEL SERVIZIO DI EROGAZIONE DELLA FORMAZIONE PER L’ATTUAZIONE DEL PROGETTO DEL COMUNE DI SAREZZO - IN FORMA ASSOCIATA CON IL COMUNE DI CALCINATO – DAL TITOLO “PERCORSI INTEGRATI PER L’INNOVAZIONE AMMINISTRATIVA NEI COMUNI DI SAREZZO E CALCINATO: COMPETENZE DIGITALI, ORGANIZZATIVE E NORMATIVE PER UNA PA LOCALE MODERNA” CUP C53C26000930006 - CIG BB85320DC6. PROGETTO FINANZIATO DALL’UNIONE EUROPEA – NEXT GENERATION EU – PNRR MISSIONE 5 COMPONENTE 1 INVESTIMENTO 2.3 SUB INVESTIMENTO 2.3.1. </w:t>
            </w:r>
            <w:bookmarkEnd w:id="4"/>
            <w:r>
              <w:rPr>
                <w:b w:val="0"/>
                <w:bCs w:val="0"/>
                <w:snapToGrid w:val="0"/>
              </w:rPr>
              <w:t xml:space="preserve"> </w:t>
            </w:r>
          </w:p>
        </w:tc>
      </w:tr>
    </w:tbl>
    <w:p w:rsidR="00012745" w:rsidP="00737561">
      <w:pPr>
        <w:pStyle w:val="NormaleRetro"/>
      </w:pPr>
    </w:p>
    <w:p w:rsidR="00012745" w:rsidP="00737561">
      <w:pPr>
        <w:pStyle w:val="NormaleRetro"/>
        <w:jc w:val="center"/>
        <w:rPr>
          <w:b/>
          <w:bCs/>
        </w:rPr>
      </w:pPr>
      <w:r w:rsidR="00DD39B2">
        <w:rPr>
          <w:b/>
          <w:bCs/>
        </w:rPr>
        <w:t>IL RESPONSABILE DI SETTORE</w:t>
      </w:r>
    </w:p>
    <w:p w:rsidR="00737561" w:rsidP="00737561">
      <w:pPr>
        <w:pStyle w:val="NormaleRetro"/>
        <w:jc w:val="center"/>
        <w:rPr>
          <w:b/>
          <w:bCs/>
        </w:rPr>
      </w:pPr>
    </w:p>
    <w:p w:rsidR="007D74D9" w:rsidRPr="009B71CA" w:rsidP="007D74D9" w14:paraId="098F91B5" w14:textId="77777777">
      <w:bookmarkStart w:id="5" w:name="testo"/>
      <w:r w:rsidRPr="009B71CA">
        <w:rPr>
          <w:b/>
          <w:bCs/>
        </w:rPr>
        <w:t>Richiamati</w:t>
      </w:r>
      <w:r w:rsidRPr="009B71CA">
        <w:t xml:space="preserve">: </w:t>
      </w:r>
    </w:p>
    <w:p w:rsidR="007D74D9" w:rsidRPr="009B71CA" w:rsidP="007D74D9" w14:paraId="63D57BCF" w14:textId="77777777">
      <w:pPr>
        <w:widowControl/>
        <w:numPr>
          <w:ilvl w:val="0"/>
          <w:numId w:val="17"/>
        </w:numPr>
        <w:suppressAutoHyphens w:val="0"/>
        <w:autoSpaceDE w:val="0"/>
        <w:spacing w:before="120"/>
        <w:ind w:left="426" w:hanging="426"/>
        <w:textAlignment w:val="auto"/>
      </w:pPr>
      <w:r w:rsidRPr="009B71CA">
        <w:t>la deliberazione di Consiglio Comunale n. 57 del 17 dicembre 2025, con la quale è stato approvato il Documento Unico di Programmazione (DUP) – sezione strategica 2024/2029 sezione operativa 2026/2028;</w:t>
      </w:r>
    </w:p>
    <w:p w:rsidR="007D74D9" w:rsidRPr="009B71CA" w:rsidP="007D74D9" w14:paraId="0FFB90BD" w14:textId="77777777">
      <w:pPr>
        <w:widowControl/>
        <w:numPr>
          <w:ilvl w:val="0"/>
          <w:numId w:val="17"/>
        </w:numPr>
        <w:suppressAutoHyphens w:val="0"/>
        <w:autoSpaceDE w:val="0"/>
        <w:spacing w:before="120"/>
        <w:ind w:left="426" w:hanging="426"/>
        <w:textAlignment w:val="auto"/>
      </w:pPr>
      <w:r w:rsidRPr="009B71CA">
        <w:t>la deliberazione di Consiglio Comunale n. 58 del 17 dicembre 2025, con la quale è stato approvato il Bilancio di previsione 2026/2028;</w:t>
      </w:r>
    </w:p>
    <w:p w:rsidR="007D74D9" w:rsidRPr="009B71CA" w:rsidP="007D74D9" w14:paraId="40EC62A6" w14:textId="77777777">
      <w:pPr>
        <w:widowControl/>
        <w:numPr>
          <w:ilvl w:val="0"/>
          <w:numId w:val="17"/>
        </w:numPr>
        <w:suppressAutoHyphens w:val="0"/>
        <w:autoSpaceDE w:val="0"/>
        <w:spacing w:before="120"/>
        <w:ind w:left="426" w:hanging="426"/>
        <w:textAlignment w:val="auto"/>
      </w:pPr>
      <w:r w:rsidRPr="009B71CA">
        <w:t>la deliberazione di Giunta comunale n. 203 del 22 dicembre 2025, con la quale è stato approvato il Piano esecutivo di gestione 2026/2028;</w:t>
      </w:r>
    </w:p>
    <w:p w:rsidR="007D74D9" w:rsidRPr="009B71CA" w:rsidP="007D74D9" w14:paraId="479158CA" w14:textId="77777777">
      <w:pPr>
        <w:widowControl/>
        <w:numPr>
          <w:ilvl w:val="0"/>
          <w:numId w:val="17"/>
        </w:numPr>
        <w:suppressAutoHyphens w:val="0"/>
        <w:autoSpaceDE w:val="0"/>
        <w:spacing w:before="120"/>
        <w:ind w:left="426" w:hanging="426"/>
        <w:textAlignment w:val="auto"/>
      </w:pPr>
      <w:r w:rsidRPr="009B71CA">
        <w:t>il decreto del Sindaco prot. n. 0033593/2025 del 29/12/2025 di attribuzione dell’incarico di elevata qualificazione del Settore Amministrativo dal 1° gennaio 2026 al 31 gennaio 2027 alla dott.ssa Chiara Bertoglio;</w:t>
      </w:r>
    </w:p>
    <w:p w:rsidR="007D74D9" w:rsidP="007D74D9" w14:paraId="7EC49111" w14:textId="77777777">
      <w:pPr>
        <w:rPr>
          <w:b/>
          <w:bCs/>
        </w:rPr>
      </w:pPr>
    </w:p>
    <w:p w:rsidR="007D74D9" w:rsidRPr="009B71CA" w:rsidP="007D74D9" w14:paraId="2E081919" w14:textId="3565002D">
      <w:pPr>
        <w:rPr>
          <w:bCs/>
        </w:rPr>
      </w:pPr>
      <w:r w:rsidRPr="009B71CA">
        <w:rPr>
          <w:b/>
          <w:bCs/>
        </w:rPr>
        <w:t xml:space="preserve">Premesso </w:t>
      </w:r>
      <w:r w:rsidRPr="009B71CA">
        <w:rPr>
          <w:bCs/>
        </w:rPr>
        <w:t>che:</w:t>
      </w:r>
    </w:p>
    <w:p w:rsidR="007D74D9" w:rsidRPr="009B71CA" w:rsidP="007D74D9" w14:paraId="07B79426" w14:textId="77777777">
      <w:pPr>
        <w:widowControl/>
        <w:numPr>
          <w:ilvl w:val="0"/>
          <w:numId w:val="18"/>
        </w:numPr>
        <w:suppressAutoHyphens w:val="0"/>
        <w:autoSpaceDE w:val="0"/>
        <w:spacing w:before="120"/>
        <w:textAlignment w:val="auto"/>
      </w:pPr>
      <w:r w:rsidRPr="009B71CA">
        <w:t>il Dipartimento per la Funzione Pubblica della Presidenza del Consiglio dei Ministri in data 16/10/2024 ha pubblicato l’Avviso pubblico per la presentazione di domande a valere sul Piano Nazionale di Ripresa e Resilienza (PNRR) Missione 1 Componente 1, Investimento 2.3 Sub-Investimento 2.3.1 “</w:t>
      </w:r>
      <w:r w:rsidRPr="009B71CA">
        <w:rPr>
          <w:i/>
        </w:rPr>
        <w:t>Investimenti in istruzione e formazione – Servizi e soluzioni tecnologiche a supporto dello sviluppo del capitale umano delle pubbliche amministrazioni</w:t>
      </w:r>
      <w:r w:rsidRPr="009B71CA">
        <w:t>” (Progetto: Performa PA – Supportare lo sviluppo di percorsi formativi professionalizzanti da parte delle PA e la valorizzazione di buone pratiche; soggetto attuatore: Formez PA; CUP: D51J23000990001), rivolto ai Comuni, finanziato dall’Unione Europea NextGeneration EU;</w:t>
      </w:r>
    </w:p>
    <w:p w:rsidR="007D74D9" w:rsidRPr="009B71CA" w:rsidP="007D74D9" w14:paraId="28BB34E5" w14:textId="77777777">
      <w:pPr>
        <w:widowControl/>
        <w:numPr>
          <w:ilvl w:val="0"/>
          <w:numId w:val="18"/>
        </w:numPr>
        <w:suppressAutoHyphens w:val="0"/>
        <w:autoSpaceDE w:val="0"/>
        <w:spacing w:before="120"/>
        <w:textAlignment w:val="auto"/>
      </w:pPr>
      <w:r w:rsidRPr="009B71CA">
        <w:t>Il Comune di Sarezzo ha aderito all’avviso sopraccitato in forma associata con il Comune di Calcinato, come da rispettive deliberazioni di Giunta Comunale: Giunta Comunale di Sarezzo n.49 del 20.03.2026 e Giunta Comunale di Calcinato n.20 del 20.03.2026;</w:t>
      </w:r>
    </w:p>
    <w:p w:rsidR="007D74D9" w:rsidRPr="009B71CA" w:rsidP="007D74D9" w14:paraId="30E90CC9" w14:textId="77777777">
      <w:pPr>
        <w:widowControl/>
        <w:numPr>
          <w:ilvl w:val="0"/>
          <w:numId w:val="18"/>
        </w:numPr>
        <w:suppressAutoHyphens w:val="0"/>
        <w:autoSpaceDE w:val="0"/>
        <w:spacing w:before="120"/>
        <w:textAlignment w:val="auto"/>
      </w:pPr>
      <w:r w:rsidRPr="009B71CA">
        <w:t>Con nota prot. 11079 del 27.04.2026 Formez ha comunicato l’ammissione al finanziamento per il progetto denominato “Percorsi integrati per l’innovazione amministrativa nei comuni di Sarezzo e Calcinato: competenze digitali, organizzative e normative per una pa locale moderna”;</w:t>
      </w:r>
    </w:p>
    <w:p w:rsidR="007D74D9" w:rsidRPr="009B71CA" w:rsidP="007D74D9" w14:paraId="779C3B74" w14:textId="77777777">
      <w:pPr>
        <w:widowControl/>
        <w:numPr>
          <w:ilvl w:val="0"/>
          <w:numId w:val="18"/>
        </w:numPr>
        <w:suppressAutoHyphens w:val="0"/>
        <w:autoSpaceDE w:val="0"/>
        <w:spacing w:before="120"/>
        <w:textAlignment w:val="auto"/>
      </w:pPr>
      <w:r w:rsidRPr="009B71CA">
        <w:t>Risulta pertanto necessario che il Comune di Sarezzo proceda ad individuare il soggetto idoneo per l’erogazione della formazione conseguente al progetto sopraccitato;</w:t>
      </w:r>
    </w:p>
    <w:p w:rsidR="007D74D9" w:rsidRPr="009B71CA" w:rsidP="007D74D9" w14:paraId="3FA1D96F" w14:textId="77777777">
      <w:pPr>
        <w:rPr>
          <w:bCs/>
        </w:rPr>
      </w:pPr>
      <w:r w:rsidRPr="009B71CA">
        <w:rPr>
          <w:b/>
          <w:bCs/>
        </w:rPr>
        <w:t xml:space="preserve">Rilevato </w:t>
      </w:r>
      <w:r w:rsidRPr="009B71CA">
        <w:rPr>
          <w:bCs/>
        </w:rPr>
        <w:t>che il Segretario generale dott.ssa Adriana Salini ha individuato quale responsabile del progetto in oggetto la dott.ssa Chiara Bertoglio in qualità di responsabile del Settore Amministrativo:</w:t>
      </w:r>
    </w:p>
    <w:p w:rsidR="007D74D9" w:rsidRPr="009B71CA" w:rsidP="007D74D9" w14:paraId="3F1F60C0" w14:textId="77777777">
      <w:r w:rsidRPr="009B71CA">
        <w:rPr>
          <w:b/>
          <w:bCs/>
        </w:rPr>
        <w:t>Precisato</w:t>
      </w:r>
      <w:r w:rsidRPr="009B71CA">
        <w:t>, ai sensi dell'art. 192 del D.Lgs. n. 267/2000, che:</w:t>
      </w:r>
    </w:p>
    <w:p w:rsidR="007D74D9" w:rsidRPr="009B71CA" w:rsidP="007D74D9" w14:paraId="31CF6F08" w14:textId="77777777">
      <w:pPr>
        <w:widowControl/>
        <w:numPr>
          <w:ilvl w:val="0"/>
          <w:numId w:val="19"/>
        </w:numPr>
        <w:tabs>
          <w:tab w:val="num" w:pos="709"/>
        </w:tabs>
        <w:suppressAutoHyphens w:val="0"/>
        <w:autoSpaceDE w:val="0"/>
        <w:spacing w:before="120"/>
        <w:textAlignment w:val="auto"/>
      </w:pPr>
      <w:r w:rsidRPr="009B71CA">
        <w:t>il fine che si intende perseguire con il presente atto è l’affidamento del servizio di erogazione della formazione per l’attuazione del progetto dal titolo “Percorsi integrati per l’innovazione amministrativa nei comuni di Sarezzo e Calcinato: competenze digitali, organizzative e normative per una pa locale moderna</w:t>
      </w:r>
      <w:r w:rsidRPr="009B71CA">
        <w:rPr>
          <w:b/>
        </w:rPr>
        <w:t>”</w:t>
      </w:r>
      <w:r w:rsidRPr="009B71CA">
        <w:t>;</w:t>
      </w:r>
    </w:p>
    <w:p w:rsidR="007D74D9" w:rsidRPr="009B71CA" w:rsidP="007D74D9" w14:paraId="7DE3521B" w14:textId="77777777">
      <w:pPr>
        <w:widowControl/>
        <w:numPr>
          <w:ilvl w:val="0"/>
          <w:numId w:val="19"/>
        </w:numPr>
        <w:tabs>
          <w:tab w:val="num" w:pos="709"/>
        </w:tabs>
        <w:suppressAutoHyphens w:val="0"/>
        <w:autoSpaceDE w:val="0"/>
        <w:spacing w:before="120"/>
        <w:textAlignment w:val="auto"/>
      </w:pPr>
      <w:r w:rsidRPr="009B71CA">
        <w:t>il contratto ha per oggetto l’affidamento del servizio per l’attuazione del progetto “Percorsi integrati per l’innovazione amministrativa nei comuni di Sarezzo e Calcinato: competenze digitali, organizzative e normative per una pa locale moderna”, servizio che comprende la predisposizione e erogazione dei corsi di formazione fino alla trasmissione della documentazione finale necessaria per la rendicontazione ai fini del PNRR;</w:t>
      </w:r>
    </w:p>
    <w:p w:rsidR="007D74D9" w:rsidRPr="009B71CA" w:rsidP="007D74D9" w14:paraId="14D1CB99" w14:textId="77777777">
      <w:pPr>
        <w:widowControl/>
        <w:numPr>
          <w:ilvl w:val="0"/>
          <w:numId w:val="19"/>
        </w:numPr>
        <w:tabs>
          <w:tab w:val="num" w:pos="709"/>
        </w:tabs>
        <w:suppressAutoHyphens w:val="0"/>
        <w:autoSpaceDE w:val="0"/>
        <w:spacing w:before="120"/>
        <w:textAlignment w:val="auto"/>
      </w:pPr>
      <w:r w:rsidRPr="009B71CA">
        <w:t>il contratto verrà stipulato a corpo mediante corrispondenza secondo l’uso del commercio ai sensi dell’art. 18, comma 1, del D.lgs. n. 36/2023 e non viene applicato, ai sensi dell'art. 55, comma 2, del D.lgs. n. 36/2023, il termine dilatorio di trentadue giorni dall'aggiudicazione in quanto trattasi di procedura di importo inferiore alle soglie europee e con una sola offerta;</w:t>
      </w:r>
    </w:p>
    <w:p w:rsidR="007D74D9" w:rsidRPr="009B71CA" w:rsidP="007D74D9" w14:paraId="4F7C74BD" w14:textId="77777777">
      <w:pPr>
        <w:widowControl/>
        <w:numPr>
          <w:ilvl w:val="0"/>
          <w:numId w:val="19"/>
        </w:numPr>
        <w:tabs>
          <w:tab w:val="num" w:pos="709"/>
        </w:tabs>
        <w:suppressAutoHyphens w:val="0"/>
        <w:autoSpaceDE w:val="0"/>
        <w:spacing w:before="120"/>
        <w:textAlignment w:val="auto"/>
      </w:pPr>
      <w:r w:rsidRPr="009B71CA">
        <w:t>la scelta del contraente viene effettuata mediante affidamento diretto ai sensi dell’art. 50, comma 1, lettera b) del D.lgs. 36/2023 per i principi di economicità, efficacia e tempestività, ad un soggetto con comprovata esperienza professionale nella materia oggetto di affidamento, che si è reso disponibile all'esecuzione secondo le stringenti tempistiche previste dalla normativa vigente;</w:t>
      </w:r>
    </w:p>
    <w:p w:rsidR="007D74D9" w:rsidRPr="009B71CA" w:rsidP="007D74D9" w14:paraId="74974D6D" w14:textId="77777777">
      <w:pPr>
        <w:widowControl/>
        <w:numPr>
          <w:ilvl w:val="0"/>
          <w:numId w:val="19"/>
        </w:numPr>
        <w:tabs>
          <w:tab w:val="num" w:pos="709"/>
        </w:tabs>
        <w:suppressAutoHyphens w:val="0"/>
        <w:autoSpaceDE w:val="0"/>
        <w:spacing w:before="120"/>
        <w:textAlignment w:val="auto"/>
      </w:pPr>
      <w:r w:rsidRPr="009B71CA">
        <w:t>ai sensi dell’articolo 53, comma 1, del D. Lgs. n. 36/2023 non sussistono particolari ragioni per chiedere la cauzione provvisoria di cui all’articolo 106 del medesimo Codice dei contratti pubblici;</w:t>
      </w:r>
    </w:p>
    <w:p w:rsidR="007D74D9" w:rsidRPr="009B71CA" w:rsidP="007D74D9" w14:paraId="6B823579" w14:textId="77777777">
      <w:pPr>
        <w:pStyle w:val="BodyText3"/>
        <w:spacing w:after="0"/>
        <w:rPr>
          <w:b w:val="0"/>
          <w:bCs w:val="0"/>
        </w:rPr>
      </w:pPr>
      <w:r w:rsidRPr="009B71CA">
        <w:t xml:space="preserve">Considerato </w:t>
      </w:r>
      <w:r w:rsidRPr="009B71CA">
        <w:rPr>
          <w:b w:val="0"/>
          <w:bCs w:val="0"/>
        </w:rPr>
        <w:t>che con attività istruttoria preventiva, è stata accertata l'assenza di un interesse transfrontaliero certo di cui all'art. 48, comma 2 del D. Lgs. n. 36/2023, e la citata tipologia di servizio non risulta essere presente nelle convenzioni di Consip s.p.a.;</w:t>
      </w:r>
    </w:p>
    <w:p w:rsidR="007D74D9" w:rsidRPr="009B71CA" w:rsidP="007D74D9" w14:paraId="7D4A4BEE" w14:textId="77777777">
      <w:r w:rsidRPr="009B71CA">
        <w:rPr>
          <w:b/>
          <w:bCs/>
        </w:rPr>
        <w:t xml:space="preserve">Preso atto quindi </w:t>
      </w:r>
      <w:r w:rsidRPr="009B71CA">
        <w:t>che:</w:t>
      </w:r>
    </w:p>
    <w:p w:rsidR="007D74D9" w:rsidRPr="009B71CA" w:rsidP="007D74D9" w14:paraId="264FD5BC" w14:textId="77777777">
      <w:pPr>
        <w:widowControl/>
        <w:numPr>
          <w:ilvl w:val="0"/>
          <w:numId w:val="19"/>
        </w:numPr>
        <w:suppressAutoHyphens w:val="0"/>
        <w:autoSpaceDE w:val="0"/>
        <w:spacing w:before="120"/>
        <w:textAlignment w:val="auto"/>
      </w:pPr>
      <w:r w:rsidRPr="009B71CA">
        <w:t>per le motivazioni sopraesposte, con lettera d’invito prot. N. 11475 del 30.04.2026, attraverso la procedura attiva sul sistema SINTEL della Regione Lombardia, è stata inviata l’Università degli Studi di Brescia – Dipartimento di Economia e Management a presentare offerta per l’esecuzione del servizio in oggetto;</w:t>
      </w:r>
    </w:p>
    <w:p w:rsidR="007D74D9" w:rsidRPr="009B71CA" w:rsidP="007D74D9" w14:paraId="5FC752E7" w14:textId="77777777">
      <w:pPr>
        <w:widowControl/>
        <w:numPr>
          <w:ilvl w:val="0"/>
          <w:numId w:val="19"/>
        </w:numPr>
        <w:suppressAutoHyphens w:val="0"/>
        <w:autoSpaceDE w:val="0"/>
        <w:spacing w:before="120"/>
        <w:textAlignment w:val="auto"/>
      </w:pPr>
      <w:r w:rsidRPr="009B71CA">
        <w:t xml:space="preserve">l’operatore ha presentato, tramite procedura su piattaforma Sintel la propria offerta pari a </w:t>
      </w:r>
      <w:bookmarkStart w:id="6" w:name="_Hlk172633235"/>
      <w:r w:rsidRPr="009B71CA">
        <w:t xml:space="preserve">€ </w:t>
      </w:r>
      <w:bookmarkEnd w:id="6"/>
      <w:r w:rsidRPr="009B71CA">
        <w:t>23.457,51 IVA esente;</w:t>
      </w:r>
    </w:p>
    <w:p w:rsidR="007D74D9" w:rsidRPr="009B71CA" w:rsidP="007D74D9" w14:paraId="7CC45E4D" w14:textId="77777777">
      <w:pPr>
        <w:pStyle w:val="BodyText3"/>
        <w:numPr>
          <w:ilvl w:val="0"/>
          <w:numId w:val="19"/>
        </w:numPr>
        <w:spacing w:after="0"/>
        <w:ind w:left="357" w:hanging="357"/>
        <w:rPr>
          <w:b w:val="0"/>
          <w:bCs w:val="0"/>
        </w:rPr>
      </w:pPr>
      <w:r w:rsidRPr="009B71CA">
        <w:rPr>
          <w:b w:val="0"/>
          <w:bCs w:val="0"/>
        </w:rPr>
        <w:t>data la ristrettezza dei tempi di esecuzione del servizio non si ritiene necessaria la costituzione della garanzia fideiussoria definitiva ai sensi dell'art. 53, comma 4, del D.lgs. 36/2023;</w:t>
      </w:r>
    </w:p>
    <w:p w:rsidR="007D74D9" w:rsidRPr="009B71CA" w:rsidP="007D74D9" w14:paraId="1462AFE1" w14:textId="0D16F886">
      <w:r w:rsidRPr="009B71CA">
        <w:rPr>
          <w:b/>
          <w:bCs/>
        </w:rPr>
        <w:t>Sottolineato</w:t>
      </w:r>
      <w:r w:rsidRPr="009B71CA">
        <w:t xml:space="preserve"> che le varie fasi della menzionata procedura, dal suo avvio sino all’aggiudicazione del servizio, sono direttamente riportate nel verbale di gara (Report n. 1555789) rilasciato dal sistema informatico della Centrale Acquisti della Regione Lombardia, acquisito da parte del Responsabile del progetto e depositato agli atti;</w:t>
      </w:r>
    </w:p>
    <w:p w:rsidR="007D74D9" w:rsidRPr="009B71CA" w:rsidP="007D74D9" w14:paraId="2902009D" w14:textId="77777777">
      <w:pPr>
        <w:adjustRightInd w:val="0"/>
      </w:pPr>
      <w:r w:rsidRPr="009B71CA">
        <w:rPr>
          <w:b/>
          <w:bCs/>
        </w:rPr>
        <w:t xml:space="preserve">Ritenuta </w:t>
      </w:r>
      <w:r w:rsidRPr="009B71CA">
        <w:t>la suddetta offerta meritevole di approvazione, in quanto le condizioni esplicitate ed il compenso richiesto risultano congrui;</w:t>
      </w:r>
    </w:p>
    <w:p w:rsidR="007D74D9" w:rsidRPr="009B71CA" w:rsidP="007D74D9" w14:paraId="4CDE5183" w14:textId="77777777">
      <w:r w:rsidRPr="009B71CA">
        <w:rPr>
          <w:b/>
          <w:bCs/>
        </w:rPr>
        <w:t xml:space="preserve">Preso atto </w:t>
      </w:r>
      <w:r w:rsidRPr="009B71CA">
        <w:t>che:</w:t>
      </w:r>
    </w:p>
    <w:p w:rsidR="007D74D9" w:rsidRPr="009B71CA" w:rsidP="007D74D9" w14:paraId="07E9FD90" w14:textId="77777777">
      <w:pPr>
        <w:widowControl/>
        <w:numPr>
          <w:ilvl w:val="0"/>
          <w:numId w:val="20"/>
        </w:numPr>
        <w:suppressAutoHyphens w:val="0"/>
        <w:autoSpaceDE w:val="0"/>
        <w:spacing w:before="120"/>
        <w:ind w:left="284" w:hanging="284"/>
        <w:textAlignment w:val="auto"/>
      </w:pPr>
      <w:r w:rsidRPr="009B71CA">
        <w:t>ai sensi dell’art. 1, commi 65 e 67 della Legge n. 266/2005 le Stazioni Appaltanti sono tenute a versare all’Autorità Nazionale Anticorruzione una contribuzione in relazione dell’importo a base d’asta;</w:t>
      </w:r>
    </w:p>
    <w:p w:rsidR="007D74D9" w:rsidRPr="009B71CA" w:rsidP="007D74D9" w14:paraId="36B1312A" w14:textId="77777777">
      <w:pPr>
        <w:widowControl/>
        <w:numPr>
          <w:ilvl w:val="0"/>
          <w:numId w:val="20"/>
        </w:numPr>
        <w:suppressAutoHyphens w:val="0"/>
        <w:autoSpaceDE w:val="0"/>
        <w:spacing w:before="120"/>
        <w:ind w:left="284" w:hanging="284"/>
        <w:textAlignment w:val="auto"/>
      </w:pPr>
      <w:r w:rsidRPr="009B71CA">
        <w:t xml:space="preserve">la Delibera </w:t>
      </w:r>
      <w:bookmarkStart w:id="7" w:name="_Hlk156900642"/>
      <w:r w:rsidRPr="009B71CA">
        <w:t xml:space="preserve">n. 610 del 19.12.2023 </w:t>
      </w:r>
      <w:bookmarkEnd w:id="7"/>
      <w:r w:rsidRPr="009B71CA">
        <w:t>emanata dall’ANAC prevede che per appalti aventi importo compreso tra 0 e 40.000 euro il contributo da versare all’Autorità è esente sia per la Stazione appaltante che per l’operatore economico;</w:t>
      </w:r>
    </w:p>
    <w:p w:rsidR="007D74D9" w:rsidRPr="009B71CA" w:rsidP="007D74D9" w14:paraId="46B7E668" w14:textId="77777777">
      <w:pPr>
        <w:adjustRightInd w:val="0"/>
        <w:rPr>
          <w:b/>
          <w:bCs/>
        </w:rPr>
      </w:pPr>
      <w:r w:rsidRPr="009B71CA">
        <w:rPr>
          <w:b/>
          <w:bCs/>
        </w:rPr>
        <w:t xml:space="preserve">Viste </w:t>
      </w:r>
      <w:r w:rsidRPr="009B71CA">
        <w:rPr>
          <w:bCs/>
        </w:rPr>
        <w:t>le dichiarazioni sostitutive dell’atto di notorietà redatte ai sensi dell’art. 47 D.P.R. 445/2000, depositate agli atti, con le quali l’operatore economico attesta di possedere i requisiti per essere affidatario di appalti pubblici come previsto dal Decreto Legislativo 18 aprile 2023, n. 36;</w:t>
      </w:r>
    </w:p>
    <w:p w:rsidR="007D74D9" w:rsidRPr="005B62E8" w:rsidP="007D74D9" w14:paraId="180F0EEE" w14:textId="77777777">
      <w:pPr>
        <w:adjustRightInd w:val="0"/>
        <w:jc w:val="left"/>
        <w:rPr>
          <w:lang w:eastAsia="zh-CN"/>
        </w:rPr>
      </w:pPr>
      <w:r w:rsidRPr="006C104D">
        <w:rPr>
          <w:b/>
          <w:bCs/>
        </w:rPr>
        <w:t xml:space="preserve">Considerato </w:t>
      </w:r>
      <w:r w:rsidRPr="006C104D">
        <w:t xml:space="preserve">che </w:t>
      </w:r>
      <w:r w:rsidRPr="006C104D">
        <w:rPr>
          <w:lang w:eastAsia="zh-CN"/>
        </w:rPr>
        <w:t>in conformità agli accertamenti svolti,</w:t>
      </w:r>
      <w:r w:rsidRPr="006C104D">
        <w:t xml:space="preserve"> avvalendosi del sistema FVOE - Fascicolo virtuale dell'operatore economico, con la consultazione della banca dati istituita presso l’ANAC,</w:t>
      </w:r>
      <w:r w:rsidRPr="006C104D">
        <w:rPr>
          <w:lang w:eastAsia="zh-CN"/>
        </w:rPr>
        <w:t xml:space="preserve"> il suddetto operatore è in possesso dei requisiti di carattere generale</w:t>
      </w:r>
      <w:r w:rsidRPr="006C104D">
        <w:t xml:space="preserve"> </w:t>
      </w:r>
      <w:r w:rsidRPr="006C104D">
        <w:rPr>
          <w:lang w:eastAsia="zh-CN"/>
        </w:rPr>
        <w:t>di cui al D.Lgs. n. 36/2023;</w:t>
      </w:r>
    </w:p>
    <w:p w:rsidR="007D74D9" w:rsidRPr="009B71CA" w:rsidP="007D74D9" w14:paraId="14BC9090" w14:textId="77777777">
      <w:pPr>
        <w:adjustRightInd w:val="0"/>
      </w:pPr>
      <w:r w:rsidRPr="009B71CA">
        <w:rPr>
          <w:b/>
          <w:bCs/>
        </w:rPr>
        <w:t>Dato atto</w:t>
      </w:r>
      <w:r w:rsidRPr="009B71CA">
        <w:t xml:space="preserve"> che se dovessero emergere cause ostative alla stipula del contratto, si procederà alla risoluzione dello stesso ai sensi dell’art. 52, comma 2, e art. 122 del D.lgs. 36/2023;</w:t>
      </w:r>
    </w:p>
    <w:p w:rsidR="007D74D9" w:rsidRPr="009B71CA" w:rsidP="007D74D9" w14:paraId="21029E76" w14:textId="77777777">
      <w:pPr>
        <w:adjustRightInd w:val="0"/>
      </w:pPr>
      <w:r w:rsidRPr="009B71CA">
        <w:rPr>
          <w:b/>
          <w:bCs/>
        </w:rPr>
        <w:t xml:space="preserve">Atteso </w:t>
      </w:r>
      <w:r w:rsidRPr="009B71CA">
        <w:t>che, con riferimento alla procedura per l’affidamento del servizio in oggetto, il Responsabile del Progetto ha provveduto a richiedere il Codice Identificativo Gara CIG: BB85320DC6</w:t>
      </w:r>
    </w:p>
    <w:p w:rsidR="007D74D9" w:rsidRPr="009B71CA" w:rsidP="007D74D9" w14:paraId="7C85C68B" w14:textId="77777777">
      <w:pPr>
        <w:rPr>
          <w:bCs/>
        </w:rPr>
      </w:pPr>
      <w:r w:rsidRPr="009B71CA">
        <w:rPr>
          <w:b/>
        </w:rPr>
        <w:t xml:space="preserve">Dato atto </w:t>
      </w:r>
      <w:r w:rsidRPr="009B71CA">
        <w:rPr>
          <w:bCs/>
        </w:rPr>
        <w:t>che:</w:t>
      </w:r>
      <w:bookmarkStart w:id="8" w:name="_Hlk151124478"/>
    </w:p>
    <w:p w:rsidR="007D74D9" w:rsidRPr="009B71CA" w:rsidP="007D74D9" w14:paraId="331EACBF" w14:textId="77777777">
      <w:pPr>
        <w:numPr>
          <w:ilvl w:val="0"/>
          <w:numId w:val="19"/>
        </w:numPr>
        <w:suppressAutoHyphens w:val="0"/>
        <w:autoSpaceDE w:val="0"/>
        <w:spacing w:before="120"/>
        <w:ind w:left="357" w:hanging="357"/>
        <w:textAlignment w:val="auto"/>
        <w:rPr>
          <w:color w:val="000000"/>
        </w:rPr>
      </w:pPr>
      <w:r w:rsidRPr="009B71CA">
        <w:rPr>
          <w:color w:val="000000"/>
        </w:rPr>
        <w:t xml:space="preserve">il soggetto incaricato </w:t>
      </w:r>
      <w:bookmarkEnd w:id="8"/>
      <w:r w:rsidRPr="009B71CA">
        <w:rPr>
          <w:color w:val="000000"/>
        </w:rPr>
        <w:t>risulta possedere i requisiti necessari a svolgere adeguatamente le mansioni che attengono a tutte le funzioni delle quali assume la responsabilità operando quindi nel rispetto dei nuovi vincoli emersi in ambito PNRR, tra cui: </w:t>
      </w:r>
    </w:p>
    <w:p w:rsidR="007D74D9" w:rsidRPr="009B71CA" w:rsidP="007D74D9" w14:paraId="3AD5E4BE" w14:textId="77777777">
      <w:pPr>
        <w:widowControl/>
        <w:numPr>
          <w:ilvl w:val="0"/>
          <w:numId w:val="21"/>
        </w:numPr>
        <w:suppressAutoHyphens w:val="0"/>
        <w:autoSpaceDN/>
        <w:spacing w:before="120"/>
        <w:textAlignment w:val="auto"/>
        <w:rPr>
          <w:color w:val="000000"/>
        </w:rPr>
      </w:pPr>
      <w:r w:rsidRPr="009B71CA">
        <w:rPr>
          <w:color w:val="000000"/>
        </w:rPr>
        <w:t>Rispetto normativa antiriciclaggio; </w:t>
      </w:r>
    </w:p>
    <w:p w:rsidR="007D74D9" w:rsidRPr="009B71CA" w:rsidP="007D74D9" w14:paraId="3AB52032" w14:textId="77777777">
      <w:pPr>
        <w:widowControl/>
        <w:numPr>
          <w:ilvl w:val="0"/>
          <w:numId w:val="21"/>
        </w:numPr>
        <w:suppressAutoHyphens w:val="0"/>
        <w:autoSpaceDN/>
        <w:textAlignment w:val="auto"/>
        <w:rPr>
          <w:color w:val="000000"/>
        </w:rPr>
      </w:pPr>
      <w:r w:rsidRPr="009B71CA">
        <w:rPr>
          <w:color w:val="000000"/>
        </w:rPr>
        <w:t>Rispetto adempimenti connessi al contrasto del conflitto d’interessi;</w:t>
      </w:r>
    </w:p>
    <w:p w:rsidR="007D74D9" w:rsidRPr="009B71CA" w:rsidP="007D74D9" w14:paraId="51A0E977" w14:textId="77777777">
      <w:pPr>
        <w:widowControl/>
        <w:numPr>
          <w:ilvl w:val="0"/>
          <w:numId w:val="21"/>
        </w:numPr>
        <w:suppressAutoHyphens w:val="0"/>
        <w:autoSpaceDN/>
        <w:textAlignment w:val="auto"/>
        <w:rPr>
          <w:color w:val="000000"/>
        </w:rPr>
      </w:pPr>
      <w:r w:rsidRPr="009B71CA">
        <w:rPr>
          <w:color w:val="000000"/>
        </w:rPr>
        <w:t>Rispetto, quando dovuto, della normativa inerente le priorità trasversali;</w:t>
      </w:r>
    </w:p>
    <w:p w:rsidR="007D74D9" w:rsidRPr="009B71CA" w:rsidP="007D74D9" w14:paraId="25296920" w14:textId="77777777">
      <w:pPr>
        <w:widowControl/>
        <w:numPr>
          <w:ilvl w:val="0"/>
          <w:numId w:val="21"/>
        </w:numPr>
        <w:suppressAutoHyphens w:val="0"/>
        <w:autoSpaceDN/>
        <w:textAlignment w:val="auto"/>
        <w:rPr>
          <w:color w:val="000000"/>
        </w:rPr>
      </w:pPr>
      <w:r w:rsidRPr="009B71CA">
        <w:rPr>
          <w:color w:val="000000"/>
        </w:rPr>
        <w:t>Rispetto, quando dovuto, della normativa DNSH e tagging climatico. </w:t>
      </w:r>
    </w:p>
    <w:p w:rsidR="007D74D9" w:rsidRPr="009B71CA" w:rsidP="007D74D9" w14:paraId="40B2C3DF" w14:textId="77777777">
      <w:pPr>
        <w:widowControl/>
        <w:numPr>
          <w:ilvl w:val="0"/>
          <w:numId w:val="22"/>
        </w:numPr>
        <w:suppressAutoHyphens w:val="0"/>
        <w:autoSpaceDE w:val="0"/>
        <w:spacing w:before="120"/>
        <w:ind w:left="357" w:hanging="357"/>
        <w:textAlignment w:val="auto"/>
        <w:rPr>
          <w:color w:val="000000"/>
        </w:rPr>
      </w:pPr>
      <w:r w:rsidRPr="009B71CA">
        <w:rPr>
          <w:color w:val="000000"/>
        </w:rPr>
        <w:t xml:space="preserve">il soggetto incaricato si impegna a osservare gli obblighi specifici del PNRR, tra cui: </w:t>
      </w:r>
    </w:p>
    <w:p w:rsidR="007D74D9" w:rsidRPr="009B71CA" w:rsidP="007D74D9" w14:paraId="25111449" w14:textId="77777777">
      <w:pPr>
        <w:widowControl/>
        <w:numPr>
          <w:ilvl w:val="0"/>
          <w:numId w:val="23"/>
        </w:numPr>
        <w:suppressAutoHyphens w:val="0"/>
        <w:autoSpaceDN/>
        <w:spacing w:before="120"/>
        <w:textAlignment w:val="auto"/>
        <w:rPr>
          <w:color w:val="000000"/>
        </w:rPr>
      </w:pPr>
      <w:r w:rsidRPr="009B71CA">
        <w:rPr>
          <w:color w:val="000000"/>
        </w:rPr>
        <w:t xml:space="preserve">il principio di non arrecare un danno significativo agli obiettivi ambientali cd. “Do No Significant Harm” (DNSH) ai sensi dell'articolo 17 del Regolamento (UE) 2020/852 del Parlamento europeo e del Consiglio del 18 giugno 2020, nonché del principio del contributo all’obiettivo climatico; </w:t>
      </w:r>
    </w:p>
    <w:p w:rsidR="007D74D9" w:rsidRPr="009B71CA" w:rsidP="007D74D9" w14:paraId="1B43F8EE" w14:textId="77777777">
      <w:pPr>
        <w:widowControl/>
        <w:numPr>
          <w:ilvl w:val="0"/>
          <w:numId w:val="23"/>
        </w:numPr>
        <w:suppressAutoHyphens w:val="0"/>
        <w:autoSpaceDN/>
        <w:adjustRightInd w:val="0"/>
        <w:textAlignment w:val="auto"/>
        <w:rPr>
          <w:b/>
        </w:rPr>
      </w:pPr>
      <w:r w:rsidRPr="009B71CA">
        <w:rPr>
          <w:color w:val="000000"/>
        </w:rPr>
        <w:t>di dare pieno assolvimento in merito al servizio della documentazione utile all’assolvimento degli obblighi antiriciclaggio;</w:t>
      </w:r>
    </w:p>
    <w:p w:rsidR="007D74D9" w:rsidRPr="009B71CA" w:rsidP="007D74D9" w14:paraId="19B19615" w14:textId="77777777">
      <w:pPr>
        <w:rPr>
          <w:color w:val="000000"/>
        </w:rPr>
      </w:pPr>
      <w:r w:rsidRPr="009B71CA">
        <w:rPr>
          <w:b/>
          <w:bCs/>
          <w:color w:val="000000"/>
        </w:rPr>
        <w:t>Specificato</w:t>
      </w:r>
      <w:r w:rsidRPr="009B71CA">
        <w:rPr>
          <w:color w:val="000000"/>
        </w:rPr>
        <w:t xml:space="preserve"> che tutti i dati personali saranno trattati nel rispetto del D.Lgs 196/2003 e s.m.i., nonché ai sensi della disciplina del Regolamento UE 2016/679 (G.D.P.R.) e s.m.i. e secondo le disposizioni contenute nell’art. 22 del Regolamento UE 2021/241;</w:t>
      </w:r>
    </w:p>
    <w:p w:rsidR="007D74D9" w:rsidRPr="009B71CA" w:rsidP="007D74D9" w14:paraId="4CD77261" w14:textId="77777777">
      <w:pPr>
        <w:adjustRightInd w:val="0"/>
      </w:pPr>
      <w:r w:rsidRPr="009B71CA">
        <w:rPr>
          <w:b/>
          <w:bCs/>
        </w:rPr>
        <w:t xml:space="preserve">Richiamate </w:t>
      </w:r>
      <w:r w:rsidRPr="009B71CA">
        <w:t>inoltre le disposizioni previste all’art. 3 della Legge n. 136/2010, al fine di assicurare la tracciabilità dei movimenti finanziari;</w:t>
      </w:r>
    </w:p>
    <w:p w:rsidR="007D74D9" w:rsidRPr="009B71CA" w:rsidP="007D74D9" w14:paraId="004BC969" w14:textId="77777777">
      <w:pPr>
        <w:adjustRightInd w:val="0"/>
      </w:pPr>
      <w:r w:rsidRPr="009B71CA">
        <w:rPr>
          <w:b/>
          <w:bCs/>
        </w:rPr>
        <w:t>Dato atto</w:t>
      </w:r>
      <w:r w:rsidRPr="009B71CA">
        <w:t xml:space="preserve"> che:</w:t>
      </w:r>
    </w:p>
    <w:p w:rsidR="007D74D9" w:rsidRPr="009B71CA" w:rsidP="007D74D9" w14:paraId="767A7045" w14:textId="77777777">
      <w:pPr>
        <w:widowControl/>
        <w:numPr>
          <w:ilvl w:val="0"/>
          <w:numId w:val="19"/>
        </w:numPr>
        <w:tabs>
          <w:tab w:val="num" w:pos="284"/>
        </w:tabs>
        <w:suppressAutoHyphens w:val="0"/>
        <w:autoSpaceDE w:val="0"/>
        <w:adjustRightInd w:val="0"/>
        <w:spacing w:before="120"/>
        <w:ind w:left="284"/>
        <w:textAlignment w:val="auto"/>
      </w:pPr>
      <w:r w:rsidRPr="009B71CA">
        <w:t>il pagamento dell’impegno di spesa discendente dall’approvazione della presente determinazione avverrà secondo quanto indicato nel disciplinare d’incarico salvo imprevisti al momento non preventivabili;</w:t>
      </w:r>
    </w:p>
    <w:p w:rsidR="007D74D9" w:rsidRPr="009B71CA" w:rsidP="007D74D9" w14:paraId="523210EF" w14:textId="77777777">
      <w:pPr>
        <w:widowControl/>
        <w:numPr>
          <w:ilvl w:val="0"/>
          <w:numId w:val="19"/>
        </w:numPr>
        <w:tabs>
          <w:tab w:val="num" w:pos="284"/>
        </w:tabs>
        <w:suppressAutoHyphens w:val="0"/>
        <w:autoSpaceDE w:val="0"/>
        <w:adjustRightInd w:val="0"/>
        <w:spacing w:before="120"/>
        <w:ind w:left="284"/>
        <w:textAlignment w:val="auto"/>
      </w:pPr>
      <w:r w:rsidRPr="009B71CA">
        <w:t>ai sensi dell’art. 183 comma 8 del nuovo TUEL D.lgs. 267/2000 e smi, si attesta che i pagamenti conseguenti agli impegni a cui si riferisce la presente determinazione sono compatibili con lo stanziamento di cassa;</w:t>
      </w:r>
    </w:p>
    <w:p w:rsidR="007D74D9" w:rsidP="007D74D9" w14:paraId="65C09171" w14:textId="77777777">
      <w:pPr>
        <w:widowControl/>
        <w:numPr>
          <w:ilvl w:val="0"/>
          <w:numId w:val="19"/>
        </w:numPr>
        <w:tabs>
          <w:tab w:val="num" w:pos="284"/>
        </w:tabs>
        <w:suppressAutoHyphens w:val="0"/>
        <w:autoSpaceDE w:val="0"/>
        <w:adjustRightInd w:val="0"/>
        <w:spacing w:before="120"/>
        <w:ind w:left="284"/>
        <w:textAlignment w:val="auto"/>
      </w:pPr>
      <w:r w:rsidRPr="009B71CA">
        <w:t>il Responsabile Unico del Progetto è la dott.ssa Chiara Bertoglio;</w:t>
      </w:r>
    </w:p>
    <w:p w:rsidR="007D74D9" w:rsidRPr="009B71CA" w:rsidP="007D74D9" w14:paraId="2798761E" w14:textId="77777777">
      <w:pPr>
        <w:widowControl/>
        <w:numPr>
          <w:ilvl w:val="0"/>
          <w:numId w:val="19"/>
        </w:numPr>
        <w:tabs>
          <w:tab w:val="num" w:pos="284"/>
        </w:tabs>
        <w:suppressAutoHyphens w:val="0"/>
        <w:autoSpaceDE w:val="0"/>
        <w:adjustRightInd w:val="0"/>
        <w:spacing w:before="120"/>
        <w:ind w:left="284"/>
        <w:textAlignment w:val="auto"/>
      </w:pPr>
      <w:r w:rsidRPr="009B71CA">
        <w:t>ai sensi e per gli effetti della Legge 6 novembre 2012 n. 190 e del Decreto del Presidente della Repubblica 28 dicembre n. 445 il Responsabile Unico del Procedimento dichiara di non trovarsi in situazione di conflitto di interesse nei confronti dell’operatore economico e dei relativi titolari effettivi ai sensi di quanto disposto dall’art. 6 bis della Legge 241/90, dall’art. 53 del D.Lgs. 165/2001 e dall’art. 16 del D.Lgs. 36/2023, anche con riguardo agli obblighi di astensione previsti dall’art. 7 del D.P.R. 16 aprile 2013 n. 62;</w:t>
      </w:r>
    </w:p>
    <w:p w:rsidR="007D74D9" w:rsidRPr="009B71CA" w:rsidP="007D74D9" w14:paraId="1EF81D1D" w14:textId="77777777">
      <w:pPr>
        <w:pStyle w:val="BodyText"/>
        <w:spacing w:after="0"/>
      </w:pPr>
      <w:r w:rsidRPr="009B71CA">
        <w:t>Verificata</w:t>
      </w:r>
      <w:r w:rsidRPr="009B71CA">
        <w:rPr>
          <w:b w:val="0"/>
          <w:bCs w:val="0"/>
        </w:rPr>
        <w:t xml:space="preserve"> la regolarità tecnica del provvedimento;</w:t>
      </w:r>
    </w:p>
    <w:p w:rsidR="007D74D9" w:rsidRPr="009B71CA" w:rsidP="007D74D9" w14:paraId="2F81AE90" w14:textId="77777777">
      <w:pPr>
        <w:pStyle w:val="NormaleRetro"/>
        <w:widowControl/>
      </w:pPr>
      <w:r w:rsidRPr="009B71CA">
        <w:t>Tutto ciò premesso e considerato,</w:t>
      </w:r>
    </w:p>
    <w:p w:rsidR="007D74D9" w:rsidRPr="009B71CA" w:rsidP="007D74D9" w14:paraId="1D1299AA" w14:textId="77777777">
      <w:pPr>
        <w:pStyle w:val="Heading1"/>
        <w:rPr>
          <w:b/>
          <w:bCs/>
          <w:snapToGrid w:val="0"/>
        </w:rPr>
      </w:pPr>
      <w:r w:rsidRPr="009B71CA">
        <w:rPr>
          <w:b/>
          <w:bCs/>
          <w:snapToGrid w:val="0"/>
        </w:rPr>
        <w:t>D E T E R M I N A</w:t>
      </w:r>
    </w:p>
    <w:p w:rsidR="007D74D9" w:rsidRPr="009B71CA" w:rsidP="007D74D9" w14:paraId="6D9DCFF1" w14:textId="77777777">
      <w:pPr>
        <w:widowControl/>
        <w:numPr>
          <w:ilvl w:val="0"/>
          <w:numId w:val="24"/>
        </w:numPr>
        <w:tabs>
          <w:tab w:val="left" w:pos="426"/>
        </w:tabs>
        <w:suppressAutoHyphens w:val="0"/>
        <w:autoSpaceDE w:val="0"/>
        <w:spacing w:before="120"/>
        <w:textAlignment w:val="auto"/>
      </w:pPr>
      <w:r w:rsidRPr="009B71CA">
        <w:rPr>
          <w:b/>
          <w:bCs/>
        </w:rPr>
        <w:t xml:space="preserve">di richiamare </w:t>
      </w:r>
      <w:r w:rsidRPr="009B71CA">
        <w:t xml:space="preserve">le premesse quale parte integrante e sostanziale del presente dispositivo, anche ai fini del soddisfacimento dell’onere motivazionale di cui all’art. 3 della L. 241/1990; </w:t>
      </w:r>
    </w:p>
    <w:p w:rsidR="007D74D9" w:rsidRPr="009B71CA" w:rsidP="007D74D9" w14:paraId="5A3F51CD" w14:textId="77777777">
      <w:pPr>
        <w:widowControl/>
        <w:numPr>
          <w:ilvl w:val="0"/>
          <w:numId w:val="24"/>
        </w:numPr>
        <w:suppressAutoHyphens w:val="0"/>
        <w:autoSpaceDE w:val="0"/>
        <w:spacing w:before="120"/>
        <w:textAlignment w:val="auto"/>
      </w:pPr>
      <w:r w:rsidRPr="009B71CA">
        <w:rPr>
          <w:b/>
          <w:bCs/>
        </w:rPr>
        <w:t>di approvare</w:t>
      </w:r>
      <w:r w:rsidRPr="009B71CA">
        <w:t xml:space="preserve"> la procedura Sintel prot. n.11475/2026 del 30/04/2026 con la quale è stato invitato l’operatore Università degli Studi di Brescia – Dipartimento di Economia e Management con sede legale in Piazza Mercato n.15, Brescia - P. IVA 01773710171 C.F. 98007650173 per l’affidamento del servizio di erogazione della formazione per l’attuazione del progetto dal titolo “Percorsi integrati per l’innovazione amministrativa nei comuni di Sarezzo e Calcinato: competenze digitali, organizzative e normative per una pa locale moderna”;</w:t>
      </w:r>
    </w:p>
    <w:p w:rsidR="007D74D9" w:rsidRPr="009B71CA" w:rsidP="007D74D9" w14:paraId="4A320C0D" w14:textId="77777777">
      <w:pPr>
        <w:widowControl/>
        <w:numPr>
          <w:ilvl w:val="0"/>
          <w:numId w:val="24"/>
        </w:numPr>
        <w:suppressAutoHyphens w:val="0"/>
        <w:autoSpaceDE w:val="0"/>
        <w:spacing w:before="120"/>
        <w:textAlignment w:val="auto"/>
      </w:pPr>
      <w:r w:rsidRPr="009B71CA">
        <w:rPr>
          <w:b/>
          <w:bCs/>
        </w:rPr>
        <w:t xml:space="preserve">di affidare </w:t>
      </w:r>
      <w:r w:rsidRPr="009B71CA">
        <w:t>all’Università degli Studi di Brescia – Dipartimento di Economia e Management il servizio sopra descritto per il quale ha offerto un importo netto di € 23.457,51 IVA esente – CIG BB85320DC6 CUP C53C26000930006;</w:t>
      </w:r>
    </w:p>
    <w:p w:rsidR="007D74D9" w:rsidRPr="009B71CA" w:rsidP="007D74D9" w14:paraId="7D051BBF" w14:textId="77777777">
      <w:pPr>
        <w:widowControl/>
        <w:numPr>
          <w:ilvl w:val="0"/>
          <w:numId w:val="24"/>
        </w:numPr>
        <w:tabs>
          <w:tab w:val="left" w:pos="426"/>
        </w:tabs>
        <w:suppressAutoHyphens w:val="0"/>
        <w:autoSpaceDE w:val="0"/>
        <w:spacing w:before="120"/>
        <w:textAlignment w:val="auto"/>
      </w:pPr>
      <w:r w:rsidRPr="009B71CA">
        <w:rPr>
          <w:b/>
          <w:bCs/>
          <w:kern w:val="36"/>
        </w:rPr>
        <w:t xml:space="preserve">di assumere </w:t>
      </w:r>
      <w:r w:rsidRPr="009B71CA">
        <w:rPr>
          <w:kern w:val="36"/>
        </w:rPr>
        <w:t>impegno di spesa</w:t>
      </w:r>
      <w:r w:rsidRPr="009B71CA">
        <w:t xml:space="preserve"> di € 23.457,51 a favore dell’Università degli Studi di Brescia – Dipartimento di Economia e Management;</w:t>
      </w:r>
    </w:p>
    <w:p w:rsidR="007D74D9" w:rsidRPr="009B71CA" w:rsidP="007D74D9" w14:paraId="48066419" w14:textId="77777777">
      <w:pPr>
        <w:widowControl/>
        <w:numPr>
          <w:ilvl w:val="0"/>
          <w:numId w:val="24"/>
        </w:numPr>
        <w:tabs>
          <w:tab w:val="left" w:pos="426"/>
        </w:tabs>
        <w:suppressAutoHyphens w:val="0"/>
        <w:autoSpaceDE w:val="0"/>
        <w:spacing w:before="120"/>
        <w:textAlignment w:val="auto"/>
      </w:pPr>
      <w:r w:rsidRPr="009B71CA">
        <w:rPr>
          <w:b/>
          <w:bCs/>
          <w:kern w:val="36"/>
        </w:rPr>
        <w:t xml:space="preserve">di </w:t>
      </w:r>
      <w:r w:rsidRPr="009B71CA">
        <w:rPr>
          <w:b/>
          <w:bCs/>
        </w:rPr>
        <w:t>imputare</w:t>
      </w:r>
      <w:r w:rsidRPr="009B71CA">
        <w:rPr>
          <w:kern w:val="36"/>
        </w:rPr>
        <w:t xml:space="preserve"> la </w:t>
      </w:r>
      <w:r w:rsidRPr="009B71CA">
        <w:t>spesa complessiva</w:t>
      </w:r>
      <w:r w:rsidRPr="009B71CA">
        <w:rPr>
          <w:kern w:val="36"/>
        </w:rPr>
        <w:t xml:space="preserve"> di € </w:t>
      </w:r>
      <w:r w:rsidRPr="009B71CA">
        <w:t xml:space="preserve">23.457,51 IVA esente </w:t>
      </w:r>
      <w:r w:rsidRPr="009B71CA">
        <w:rPr>
          <w:kern w:val="36"/>
        </w:rPr>
        <w:t xml:space="preserve">sul </w:t>
      </w:r>
      <w:r w:rsidRPr="009B71CA">
        <w:t>capitolo 01101.03.00446000 “PROGETTO PERFORMAPA”, del bilancio corrente 2026/2028, finanziato da trasferimento con fondi PNRR M1C1I2.3SI2.3.1, che presenta la necessaria disponibilità;</w:t>
      </w:r>
    </w:p>
    <w:p w:rsidR="007D74D9" w:rsidRPr="009B71CA" w:rsidP="007D74D9" w14:paraId="383AFAB5" w14:textId="77777777">
      <w:pPr>
        <w:widowControl/>
        <w:numPr>
          <w:ilvl w:val="0"/>
          <w:numId w:val="24"/>
        </w:numPr>
        <w:tabs>
          <w:tab w:val="left" w:pos="426"/>
        </w:tabs>
        <w:suppressAutoHyphens w:val="0"/>
        <w:autoSpaceDE w:val="0"/>
        <w:spacing w:before="120"/>
        <w:textAlignment w:val="auto"/>
        <w:rPr>
          <w:b/>
          <w:bCs/>
          <w:kern w:val="36"/>
        </w:rPr>
      </w:pPr>
      <w:r w:rsidRPr="009B71CA">
        <w:rPr>
          <w:b/>
          <w:bCs/>
          <w:kern w:val="36"/>
        </w:rPr>
        <w:t xml:space="preserve">di dare atto </w:t>
      </w:r>
      <w:r w:rsidRPr="009B71CA">
        <w:rPr>
          <w:kern w:val="36"/>
        </w:rPr>
        <w:t>che la fornitura del suddetto servizio è finanziata interamente dall’Unione Europea con fondi PNRR NextGeneration EU;</w:t>
      </w:r>
    </w:p>
    <w:p w:rsidR="007D74D9" w:rsidRPr="009B71CA" w:rsidP="007D74D9" w14:paraId="49B0D39C" w14:textId="77777777">
      <w:pPr>
        <w:widowControl/>
        <w:numPr>
          <w:ilvl w:val="0"/>
          <w:numId w:val="24"/>
        </w:numPr>
        <w:tabs>
          <w:tab w:val="left" w:pos="426"/>
        </w:tabs>
        <w:suppressAutoHyphens w:val="0"/>
        <w:autoSpaceDE w:val="0"/>
        <w:spacing w:before="120"/>
        <w:textAlignment w:val="auto"/>
      </w:pPr>
      <w:r w:rsidRPr="009B71CA">
        <w:rPr>
          <w:b/>
          <w:bCs/>
        </w:rPr>
        <w:t>di precisare</w:t>
      </w:r>
      <w:r w:rsidRPr="009B71CA">
        <w:t>, ai sensi dell’art. 3 della L. 241/1990, come modificata dalla L. 15/2005 che, in ossequio alle norme di cui al D. Lgs. 104/2010 sul processo amministrativo, qualunque soggetto ritenga il presente atto illegittimo e venga dallo stesso leso può proporre ricorso innanzi al Tribunale Amministrativo Regionale della Lombardia – sezione staccata di Brescia nel termine di decadenza di 30 giorni decorrenti dall’ultimo giorno di pubblicazione all’albo pretorio on-line;</w:t>
      </w:r>
    </w:p>
    <w:p w:rsidR="00CF306B" w:rsidRPr="00BF7808" w:rsidP="00BF7808" w14:paraId="1A9A1D39" w14:textId="77777777"/>
    <w:p w:rsidR="00FC5716" w:rsidP="005F577B">
      <w:bookmarkEnd w:id="5"/>
      <w:r>
        <w:t xml:space="preserve"> </w:t>
      </w:r>
    </w:p>
    <w:p w:rsidR="00737561" w:rsidP="00737561">
      <w:pPr>
        <w:pStyle w:val="NormaleRetro"/>
        <w:jc w:val="center"/>
        <w:rPr>
          <w:b/>
          <w:bCs/>
        </w:rPr>
      </w:pPr>
    </w:p>
    <w:p w:rsidR="005F577B" w:rsidRPr="005F577B" w:rsidP="005F577B">
      <w:pPr>
        <w:pStyle w:val="NormaleRetro"/>
        <w:ind w:left="4536"/>
        <w:jc w:val="center"/>
        <w:rPr>
          <w:b/>
          <w:bCs/>
        </w:rPr>
      </w:pPr>
      <w:r w:rsidR="00DD39B2">
        <w:rPr>
          <w:b/>
          <w:bCs/>
        </w:rPr>
        <w:t>IL RESPONSABILE DI SETTORE</w:t>
      </w:r>
    </w:p>
    <w:p w:rsidR="005F577B" w:rsidP="005F577B">
      <w:pPr>
        <w:pStyle w:val="NormaleRetro"/>
        <w:ind w:left="4536"/>
        <w:jc w:val="center"/>
        <w:rPr>
          <w:b/>
          <w:bCs/>
        </w:rPr>
      </w:pPr>
      <w:bookmarkStart w:id="9" w:name="firma"/>
      <w:r>
        <w:rPr>
          <w:b/>
          <w:bCs/>
        </w:rPr>
        <w:t>Chiara Bertoglio</w:t>
      </w:r>
      <w:bookmarkEnd w:id="9"/>
      <w:r>
        <w:rPr>
          <w:b/>
          <w:bCs/>
        </w:rPr>
        <w:t xml:space="preserve">* </w:t>
      </w:r>
    </w:p>
    <w:p w:rsidR="005F577B" w:rsidP="00FD0815">
      <w:pPr>
        <w:pStyle w:val="NormaleRetro"/>
        <w:rPr>
          <w:b/>
          <w:bCs/>
        </w:rPr>
      </w:pPr>
    </w:p>
    <w:p w:rsidR="005F577B" w:rsidP="00FD0815">
      <w:pPr>
        <w:pStyle w:val="NormaleRetro"/>
        <w:rPr>
          <w:b/>
          <w:bCs/>
        </w:rPr>
      </w:pPr>
    </w:p>
    <w:p w:rsidR="005F577B" w:rsidP="00FD0815">
      <w:pPr>
        <w:pStyle w:val="NormaleRetro"/>
        <w:rPr>
          <w:b/>
          <w:bCs/>
        </w:rPr>
      </w:pPr>
    </w:p>
    <w:p w:rsidR="005F577B" w:rsidRPr="005F577B" w:rsidP="00FD0815">
      <w:pPr>
        <w:pStyle w:val="NormaleRetro"/>
        <w:rPr>
          <w:b/>
          <w:bCs/>
        </w:rPr>
      </w:pPr>
    </w:p>
    <w:p w:rsidR="00012745" w:rsidRPr="00012745" w:rsidP="00012745">
      <w:pPr>
        <w:pStyle w:val="NormaleRetro"/>
        <w:jc w:val="left"/>
      </w:pPr>
      <w:r>
        <w:rPr>
          <w:b/>
          <w:bCs/>
        </w:rPr>
        <w:t xml:space="preserve">* </w:t>
      </w:r>
      <w:r w:rsidRPr="00012745">
        <w:t>Il documento è firmato digitalmente ai sensi del D.Lgs. 82/2005 s.m.i. e norme collegate e sostituisce il documento cartaceo e la firma autografa.</w:t>
      </w:r>
    </w:p>
    <w:sectPr>
      <w:footerReference w:type="default" r:id="rI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 New Roman">
    <w:altName w:val="Calibri"/>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F34" w:rsidRPr="005F577B" w:rsidP="005F577B">
    <w:pPr>
      <w:pStyle w:val="Footer"/>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0043566D">
      <w:rPr>
        <w:noProof/>
        <w:sz w:val="18"/>
        <w:szCs w:val="18"/>
      </w:rPr>
      <w:t>1</w:t>
    </w:r>
    <w:r w:rsidRPr="005F577B">
      <w:rPr>
        <w:sz w:val="18"/>
        <w:szCs w:val="18"/>
      </w:rPr>
      <w:fldChar w:fldCharType="end"/>
    </w:r>
    <w:r w:rsidRPr="005F577B">
      <w:rPr>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3462F"/>
    <w:multiLevelType w:val="hybridMultilevel"/>
    <w:tmpl w:val="FFFFFFFF"/>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680DF"/>
    <w:multiLevelType w:val="singleLevel"/>
    <w:tmpl w:val="DEA4D154"/>
    <w:lvl w:ilvl="0">
      <w:start w:val="1"/>
      <w:numFmt w:val="lowerLetter"/>
      <w:lvlText w:val="%1)"/>
      <w:legacy w:legacy="1" w:legacySpace="0" w:legacyIndent="283"/>
      <w:lvlJc w:val="left"/>
      <w:pPr>
        <w:ind w:left="283" w:hanging="283"/>
      </w:pPr>
    </w:lvl>
  </w:abstractNum>
  <w:abstractNum w:abstractNumId="2">
    <w:nsid w:val="14E42DF6"/>
    <w:multiLevelType w:val="hybridMultilevel"/>
    <w:tmpl w:val="FFFFFFFF"/>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15B97ECC"/>
    <w:multiLevelType w:val="hybridMultilevel"/>
    <w:tmpl w:val="EF005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93A22"/>
    <w:multiLevelType w:val="hybridMultilevel"/>
    <w:tmpl w:val="EFDEB742"/>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FE562C"/>
    <w:multiLevelType w:val="hybridMultilevel"/>
    <w:tmpl w:val="6726B6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CC7E35"/>
    <w:multiLevelType w:val="hybridMultilevel"/>
    <w:tmpl w:val="EF005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E7AE95"/>
    <w:multiLevelType w:val="hybridMultilevel"/>
    <w:tmpl w:val="EFDEB742"/>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313C9D"/>
    <w:multiLevelType w:val="singleLevel"/>
    <w:tmpl w:val="3B78E382"/>
    <w:lvl w:ilvl="0">
      <w:start w:val="1"/>
      <w:numFmt w:val="bullet"/>
      <w:lvlText w:val="-"/>
      <w:lvlJc w:val="left"/>
      <w:pPr>
        <w:ind w:left="360" w:hanging="360"/>
      </w:pPr>
      <w:rPr>
        <w:rFonts w:ascii="Courier New" w:hAnsi="Courier New" w:hint="default"/>
        <w:b/>
        <w:bCs/>
      </w:rPr>
    </w:lvl>
  </w:abstractNum>
  <w:abstractNum w:abstractNumId="9">
    <w:nsid w:val="35FDCCB5"/>
    <w:multiLevelType w:val="hybridMultilevel"/>
    <w:tmpl w:val="FFFFFFFF"/>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9A08B"/>
    <w:multiLevelType w:val="hybridMultilevel"/>
    <w:tmpl w:val="6726B6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9C1C86"/>
    <w:multiLevelType w:val="hybridMultilevel"/>
    <w:tmpl w:val="FFFFFFFF"/>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4C5A2184"/>
    <w:multiLevelType w:val="hybridMultilevel"/>
    <w:tmpl w:val="EC40FA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4CBA4663"/>
    <w:multiLevelType w:val="hybridMultilevel"/>
    <w:tmpl w:val="EC40FA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507825C2"/>
    <w:multiLevelType w:val="hybridMultilevel"/>
    <w:tmpl w:val="EC40FA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53B05563"/>
    <w:multiLevelType w:val="singleLevel"/>
    <w:tmpl w:val="DEA4D154"/>
    <w:lvl w:ilvl="0">
      <w:start w:val="1"/>
      <w:numFmt w:val="lowerLetter"/>
      <w:lvlText w:val="%1)"/>
      <w:legacy w:legacy="1" w:legacySpace="0" w:legacyIndent="283"/>
      <w:lvlJc w:val="left"/>
      <w:pPr>
        <w:ind w:left="283" w:hanging="283"/>
      </w:pPr>
    </w:lvl>
  </w:abstractNum>
  <w:abstractNum w:abstractNumId="16">
    <w:nsid w:val="58D41060"/>
    <w:multiLevelType w:val="hybridMultilevel"/>
    <w:tmpl w:val="EFDEB742"/>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874B28"/>
    <w:multiLevelType w:val="hybridMultilevel"/>
    <w:tmpl w:val="6726B6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2B0D24"/>
    <w:multiLevelType w:val="singleLevel"/>
    <w:tmpl w:val="3B78E382"/>
    <w:lvl w:ilvl="0">
      <w:start w:val="1"/>
      <w:numFmt w:val="bullet"/>
      <w:lvlText w:val="-"/>
      <w:lvlJc w:val="left"/>
      <w:pPr>
        <w:ind w:left="360" w:hanging="360"/>
      </w:pPr>
      <w:rPr>
        <w:rFonts w:ascii="Courier New" w:hAnsi="Courier New" w:hint="default"/>
        <w:b/>
        <w:bCs/>
      </w:rPr>
    </w:lvl>
  </w:abstractNum>
  <w:abstractNum w:abstractNumId="19">
    <w:nsid w:val="67FA10FF"/>
    <w:multiLevelType w:val="hybridMultilevel"/>
    <w:tmpl w:val="EF005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56EC37"/>
    <w:multiLevelType w:val="hybridMultilevel"/>
    <w:tmpl w:val="FFFFFFFF"/>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1">
    <w:nsid w:val="750935EB"/>
    <w:multiLevelType w:val="hybridMultilevel"/>
    <w:tmpl w:val="FFFFFFFF"/>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A088A1"/>
    <w:multiLevelType w:val="singleLevel"/>
    <w:tmpl w:val="3B78E382"/>
    <w:lvl w:ilvl="0">
      <w:start w:val="1"/>
      <w:numFmt w:val="bullet"/>
      <w:lvlText w:val="-"/>
      <w:lvlJc w:val="left"/>
      <w:pPr>
        <w:ind w:left="360" w:hanging="360"/>
      </w:pPr>
      <w:rPr>
        <w:rFonts w:ascii="Courier New" w:hAnsi="Courier New" w:hint="default"/>
        <w:b/>
        <w:bCs/>
      </w:rPr>
    </w:lvl>
  </w:abstractNum>
  <w:abstractNum w:abstractNumId="23">
    <w:nsid w:val="7D1A6420"/>
    <w:multiLevelType w:val="singleLevel"/>
    <w:tmpl w:val="DEA4D154"/>
    <w:lvl w:ilvl="0">
      <w:start w:val="1"/>
      <w:numFmt w:val="lowerLetter"/>
      <w:lvlText w:val="%1)"/>
      <w:legacy w:legacy="1" w:legacySpace="0" w:legacyIndent="283"/>
      <w:lvlJc w:val="left"/>
      <w:pPr>
        <w:ind w:left="283" w:hanging="283"/>
      </w:pPr>
    </w:lvl>
  </w:abstractNum>
  <w:num w:numId="1" w16cid:durableId="953904487">
    <w:abstractNumId w:val="11"/>
  </w:num>
  <w:num w:numId="2" w16cid:durableId="1290012483">
    <w:abstractNumId w:val="13"/>
  </w:num>
  <w:num w:numId="3" w16cid:durableId="1106071877">
    <w:abstractNumId w:val="8"/>
  </w:num>
  <w:num w:numId="4" w16cid:durableId="2068843313">
    <w:abstractNumId w:val="21"/>
  </w:num>
  <w:num w:numId="5" w16cid:durableId="1818375116">
    <w:abstractNumId w:val="17"/>
  </w:num>
  <w:num w:numId="6" w16cid:durableId="399443274">
    <w:abstractNumId w:val="16"/>
  </w:num>
  <w:num w:numId="7" w16cid:durableId="1537818154">
    <w:abstractNumId w:val="3"/>
  </w:num>
  <w:num w:numId="8" w16cid:durableId="972947756">
    <w:abstractNumId w:val="15"/>
  </w:num>
  <w:num w:numId="9">
    <w:abstractNumId w:val="20"/>
  </w:num>
  <w:num w:numId="10">
    <w:abstractNumId w:val="14"/>
  </w:num>
  <w:num w:numId="11">
    <w:abstractNumId w:val="22"/>
  </w:num>
  <w:num w:numId="12">
    <w:abstractNumId w:val="9"/>
  </w:num>
  <w:num w:numId="13">
    <w:abstractNumId w:val="5"/>
  </w:num>
  <w:num w:numId="14">
    <w:abstractNumId w:val="7"/>
  </w:num>
  <w:num w:numId="15">
    <w:abstractNumId w:val="19"/>
  </w:num>
  <w:num w:numId="16">
    <w:abstractNumId w:val="1"/>
  </w:num>
  <w:num w:numId="17">
    <w:abstractNumId w:val="2"/>
  </w:num>
  <w:num w:numId="18">
    <w:abstractNumId w:val="12"/>
  </w:num>
  <w:num w:numId="19">
    <w:abstractNumId w:val="18"/>
  </w:num>
  <w:num w:numId="20">
    <w:abstractNumId w:val="0"/>
  </w:num>
  <w:num w:numId="21">
    <w:abstractNumId w:val="10"/>
  </w:num>
  <w:num w:numId="22">
    <w:abstractNumId w:val="4"/>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45"/>
    <w:rsid w:val="00012745"/>
    <w:rsid w:val="00017AC0"/>
    <w:rsid w:val="00057AA6"/>
    <w:rsid w:val="000625D5"/>
    <w:rsid w:val="00083171"/>
    <w:rsid w:val="000B01A4"/>
    <w:rsid w:val="000E2FB6"/>
    <w:rsid w:val="00106D66"/>
    <w:rsid w:val="001C0A8B"/>
    <w:rsid w:val="00231671"/>
    <w:rsid w:val="00291354"/>
    <w:rsid w:val="00301C6C"/>
    <w:rsid w:val="00310D31"/>
    <w:rsid w:val="00333B65"/>
    <w:rsid w:val="00393BBB"/>
    <w:rsid w:val="00394A89"/>
    <w:rsid w:val="004327D7"/>
    <w:rsid w:val="0043566D"/>
    <w:rsid w:val="00474CA7"/>
    <w:rsid w:val="004A4F68"/>
    <w:rsid w:val="005B62E8"/>
    <w:rsid w:val="005F577B"/>
    <w:rsid w:val="00614545"/>
    <w:rsid w:val="00692C8F"/>
    <w:rsid w:val="006C104D"/>
    <w:rsid w:val="00737561"/>
    <w:rsid w:val="00792630"/>
    <w:rsid w:val="007D74D9"/>
    <w:rsid w:val="007E1D1B"/>
    <w:rsid w:val="00846728"/>
    <w:rsid w:val="00877F34"/>
    <w:rsid w:val="008A2830"/>
    <w:rsid w:val="00971FC4"/>
    <w:rsid w:val="0097341B"/>
    <w:rsid w:val="009A7D68"/>
    <w:rsid w:val="009B71CA"/>
    <w:rsid w:val="009C0C15"/>
    <w:rsid w:val="009F00E3"/>
    <w:rsid w:val="00A10D4A"/>
    <w:rsid w:val="00A33055"/>
    <w:rsid w:val="00AC0C92"/>
    <w:rsid w:val="00AD5B3D"/>
    <w:rsid w:val="00B05415"/>
    <w:rsid w:val="00B7244F"/>
    <w:rsid w:val="00B917AE"/>
    <w:rsid w:val="00BC63EC"/>
    <w:rsid w:val="00BF7808"/>
    <w:rsid w:val="00CA6027"/>
    <w:rsid w:val="00CB40C2"/>
    <w:rsid w:val="00CF306B"/>
    <w:rsid w:val="00CF6480"/>
    <w:rsid w:val="00D932A9"/>
    <w:rsid w:val="00DB0157"/>
    <w:rsid w:val="00DC2D21"/>
    <w:rsid w:val="00DD39B2"/>
    <w:rsid w:val="00DF47F5"/>
    <w:rsid w:val="00DF7BCC"/>
    <w:rsid w:val="00EB28D1"/>
    <w:rsid w:val="00ED4BCF"/>
    <w:rsid w:val="00F11AF6"/>
    <w:rsid w:val="00F523FB"/>
    <w:rsid w:val="00F64FA0"/>
    <w:rsid w:val="00F67126"/>
    <w:rsid w:val="00FB741D"/>
    <w:rsid w:val="00FC524B"/>
    <w:rsid w:val="00FC5716"/>
    <w:rsid w:val="00FD081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D214609-E335-43EA-BB99-1BB8F33D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77B"/>
    <w:pPr>
      <w:autoSpaceDE w:val="0"/>
      <w:autoSpaceDN w:val="0"/>
      <w:spacing w:after="0" w:line="240" w:lineRule="auto"/>
      <w:jc w:val="both"/>
    </w:pPr>
    <w:rPr>
      <w:sz w:val="24"/>
      <w:szCs w:val="24"/>
    </w:rPr>
  </w:style>
  <w:style w:type="paragraph" w:styleId="Heading1">
    <w:name w:val="heading 1"/>
    <w:basedOn w:val="Normal"/>
    <w:next w:val="Normal"/>
    <w:link w:val="Titolo1Carattere"/>
    <w:uiPriority w:val="99"/>
    <w:qFormat/>
    <w:rsid w:val="007D74D9"/>
    <w:pPr>
      <w:keepNext/>
      <w:spacing w:before="12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Retro">
    <w:name w:val="NormaleRetro"/>
    <w:basedOn w:val="Normal"/>
    <w:uiPriority w:val="99"/>
    <w:rsid w:val="00012745"/>
    <w:pPr>
      <w:widowControl w:val="0"/>
    </w:pPr>
  </w:style>
  <w:style w:type="paragraph" w:customStyle="1" w:styleId="NormaleIntestazione">
    <w:name w:val="NormaleIntestazione"/>
    <w:basedOn w:val="Normal"/>
    <w:uiPriority w:val="99"/>
    <w:rsid w:val="00012745"/>
    <w:pPr>
      <w:widowControl w:val="0"/>
    </w:pPr>
    <w:rPr>
      <w:b/>
      <w:bCs/>
    </w:rPr>
  </w:style>
  <w:style w:type="paragraph" w:styleId="Header">
    <w:name w:val="header"/>
    <w:basedOn w:val="Normal"/>
    <w:link w:val="IntestazioneCarattere"/>
    <w:unhideWhenUsed/>
    <w:rsid w:val="00877F34"/>
    <w:pPr>
      <w:tabs>
        <w:tab w:val="center" w:pos="4819"/>
        <w:tab w:val="right" w:pos="9638"/>
      </w:tabs>
    </w:pPr>
  </w:style>
  <w:style w:type="character" w:customStyle="1" w:styleId="IntestazioneCarattere">
    <w:name w:val="Intestazione Carattere"/>
    <w:basedOn w:val="DefaultParagraphFont"/>
    <w:link w:val="Header"/>
    <w:rsid w:val="00877F34"/>
    <w:rPr>
      <w:sz w:val="24"/>
      <w:szCs w:val="24"/>
    </w:rPr>
  </w:style>
  <w:style w:type="paragraph" w:styleId="Footer">
    <w:name w:val="footer"/>
    <w:basedOn w:val="Normal"/>
    <w:link w:val="PidipaginaCarattere"/>
    <w:uiPriority w:val="99"/>
    <w:unhideWhenUsed/>
    <w:rsid w:val="00877F34"/>
    <w:pPr>
      <w:tabs>
        <w:tab w:val="center" w:pos="4819"/>
        <w:tab w:val="right" w:pos="9638"/>
      </w:tabs>
    </w:pPr>
  </w:style>
  <w:style w:type="character" w:customStyle="1" w:styleId="PidipaginaCarattere">
    <w:name w:val="Piè di pagina Carattere"/>
    <w:basedOn w:val="DefaultParagraphFont"/>
    <w:link w:val="Footer"/>
    <w:uiPriority w:val="99"/>
    <w:rsid w:val="00877F34"/>
    <w:rPr>
      <w:sz w:val="24"/>
      <w:szCs w:val="24"/>
    </w:rPr>
  </w:style>
  <w:style w:type="table" w:styleId="TableGrid">
    <w:name w:val="Table Grid"/>
    <w:basedOn w:val="TableNormal"/>
    <w:uiPriority w:val="39"/>
    <w:rsid w:val="0047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D74D9"/>
  </w:style>
  <w:style w:type="paragraph" w:styleId="BodyText3">
    <w:name w:val="Body Text 3"/>
    <w:basedOn w:val="Normal"/>
    <w:link w:val="Corpodeltesto3Carattere"/>
    <w:uiPriority w:val="99"/>
    <w:rsid w:val="007D74D9"/>
    <w:pPr>
      <w:spacing w:before="120" w:after="120"/>
    </w:pPr>
    <w:rPr>
      <w:b/>
      <w:bCs/>
    </w:rPr>
  </w:style>
  <w:style w:type="character" w:customStyle="1" w:styleId="Corpodeltesto3Carattere">
    <w:name w:val="Corpo del testo 3 Carattere"/>
    <w:basedOn w:val="DefaultParagraphFont"/>
    <w:link w:val="BodyText3"/>
    <w:uiPriority w:val="99"/>
    <w:rsid w:val="007D74D9"/>
    <w:rPr>
      <w:b/>
      <w:bCs/>
      <w:sz w:val="24"/>
      <w:szCs w:val="24"/>
    </w:rPr>
  </w:style>
  <w:style w:type="paragraph" w:styleId="BodyText">
    <w:name w:val="Body Text"/>
    <w:basedOn w:val="Normal"/>
    <w:link w:val="CorpotestoCarattere"/>
    <w:uiPriority w:val="99"/>
    <w:rsid w:val="007D74D9"/>
    <w:pPr>
      <w:spacing w:before="120" w:after="120"/>
    </w:pPr>
    <w:rPr>
      <w:b/>
      <w:bCs/>
    </w:rPr>
  </w:style>
  <w:style w:type="character" w:customStyle="1" w:styleId="CorpotestoCarattere">
    <w:name w:val="Corpo testo Carattere"/>
    <w:basedOn w:val="DefaultParagraphFont"/>
    <w:link w:val="BodyText"/>
    <w:uiPriority w:val="99"/>
    <w:rsid w:val="007D74D9"/>
    <w:rPr>
      <w:b/>
      <w:bCs/>
      <w:sz w:val="24"/>
      <w:szCs w:val="24"/>
    </w:rPr>
  </w:style>
  <w:style w:type="character" w:customStyle="1" w:styleId="Titolo1Carattere">
    <w:name w:val="Titolo 1 Carattere"/>
    <w:basedOn w:val="DefaultParagraphFont"/>
    <w:link w:val="Heading1"/>
    <w:uiPriority w:val="99"/>
    <w:rsid w:val="007D74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A59C-7CE6-460B-BB2E-9E0E5F4C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44</Words>
  <Characters>251</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 PNRR</dc:title>
  <dc:creator>Licia Laffranchi</dc:creator>
  <cp:lastModifiedBy>Silvia Sandrini</cp:lastModifiedBy>
  <cp:revision>22</cp:revision>
  <dcterms:created xsi:type="dcterms:W3CDTF">2023-04-20T09:39:00Z</dcterms:created>
  <dcterms:modified xsi:type="dcterms:W3CDTF">2026-05-04T12:38:00Z</dcterms:modified>
</cp:coreProperties>
</file>