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00" w:before="300" w:line="240" w:lineRule="auto"/>
        <w:rPr>
          <w:b w:val="1"/>
          <w:bCs w:val="1"/>
          <w:sz w:val="28"/>
          <w:szCs w:val="28"/>
        </w:rPr>
      </w:pPr>
      <w:bookmarkStart w:colFirst="0" w:colLast="0" w:name="_heading=h.7aqjyexrxs7z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Privacy </w:t>
      </w:r>
    </w:p>
    <w:p w:rsidR="00000000" w:rsidDel="00000000" w:rsidP="00000000" w:rsidRDefault="00000000" w:rsidRPr="00000000" w14:paraId="00000002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Informativa ai sensi degli art. 13-14 del GDPR (General Data Protection Regulation) 2016/679 e della normativa nazionale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  <w:rtl w:val="0"/>
        </w:rPr>
        <w:t xml:space="preserve">Chi tratta i miei dati?</w:t>
      </w:r>
    </w:p>
    <w:p w:rsidR="00000000" w:rsidDel="00000000" w:rsidP="00000000" w:rsidRDefault="00000000" w:rsidRPr="00000000" w14:paraId="00000004">
      <w:pPr>
        <w:spacing w:after="280" w:line="240" w:lineRule="auto"/>
        <w:rPr>
          <w:rFonts w:ascii="Titillium Web" w:cs="Titillium Web" w:eastAsia="Titillium Web" w:hAnsi="Titillium Web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sz w:val="24"/>
          <w:szCs w:val="24"/>
          <w:rtl w:val="0"/>
        </w:rPr>
        <w:t xml:space="preserve">Il Comune di Trinità d’Agultu e Vignola, in qualità di titolare ( con sede in Via Sassari n. 7 07038 Trinità d'Agultu e Vignola ),  Partita IVA 00289020901; Centralino: +39 079 6109990PEC: </w:t>
      </w:r>
      <w:hyperlink r:id="rId7">
        <w:r w:rsidDel="00000000" w:rsidR="00000000" w:rsidRPr="00000000">
          <w:rPr>
            <w:rFonts w:ascii="Titillium Web" w:cs="Titillium Web" w:eastAsia="Titillium Web" w:hAnsi="Titillium Web"/>
            <w:color w:val="0563c1"/>
            <w:sz w:val="24"/>
            <w:szCs w:val="24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Fonts w:ascii="Titillium Web" w:cs="Titillium Web" w:eastAsia="Titillium Web" w:hAnsi="Titillium Web"/>
          <w:sz w:val="24"/>
          <w:szCs w:val="24"/>
          <w:rtl w:val="0"/>
        </w:rPr>
        <w:t xml:space="preserve">, tratterà i dati personali conferiti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:rsidR="00000000" w:rsidDel="00000000" w:rsidP="00000000" w:rsidRDefault="00000000" w:rsidRPr="00000000" w14:paraId="00000005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  <w:rtl w:val="0"/>
        </w:rPr>
        <w:t xml:space="preserve">Ho l'obbligo di fornire i dati?</w:t>
      </w:r>
    </w:p>
    <w:p w:rsidR="00000000" w:rsidDel="00000000" w:rsidP="00000000" w:rsidRDefault="00000000" w:rsidRPr="00000000" w14:paraId="00000006">
      <w:pPr>
        <w:shd w:fill="ffffff" w:val="clear"/>
        <w:spacing w:after="28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Il conferimento dei dati presenti nei campi contrassegnati da asterisco (*) o altro elemento distintivo dei vari servizi comunali è obbligatorio e il loro mancato inserimento non consente di procedere con l'elaborazione dell'istanza e/o la fornitura del servizio. Per contro, il rilascio dei dati presenti nei campi non contrassegnati da asterisco, pur potendo risultare utile per agevolare la gestione della procedura e la fornitura del servizio, è facoltativo e la loro mancata indicazione non pregiudica il completamento della procedura stessa. Il Comune di Comune di Trinità d’Agultu e Vignola gestisce numerosi servizi, con varie modalità e per ognuno di essi variano la tipologia dei dati richiesti e le finalità di raccolta.</w:t>
      </w:r>
    </w:p>
    <w:p w:rsidR="00000000" w:rsidDel="00000000" w:rsidP="00000000" w:rsidRDefault="00000000" w:rsidRPr="00000000" w14:paraId="00000007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  <w:rtl w:val="0"/>
        </w:rPr>
        <w:t xml:space="preserve">Per quanto sono trattati i miei dati?</w:t>
      </w:r>
    </w:p>
    <w:p w:rsidR="00000000" w:rsidDel="00000000" w:rsidP="00000000" w:rsidRDefault="00000000" w:rsidRPr="00000000" w14:paraId="00000008">
      <w:pPr>
        <w:shd w:fill="ffffff" w:val="clear"/>
        <w:spacing w:after="28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amministrativa.</w:t>
      </w:r>
    </w:p>
    <w:p w:rsidR="00000000" w:rsidDel="00000000" w:rsidP="00000000" w:rsidRDefault="00000000" w:rsidRPr="00000000" w14:paraId="00000009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  <w:rtl w:val="0"/>
        </w:rPr>
        <w:t xml:space="preserve">A chi vengono inviati i miei dati?</w:t>
      </w:r>
    </w:p>
    <w:p w:rsidR="00000000" w:rsidDel="00000000" w:rsidP="00000000" w:rsidRDefault="00000000" w:rsidRPr="00000000" w14:paraId="0000000A">
      <w:pPr>
        <w:shd w:fill="ffffff" w:val="clear"/>
        <w:spacing w:after="28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I dati saranno comunicati a terzi e diffusi nei soli casi previsti dalla vigente normativa generale o di settore ed indicati nell'informativa dettagliata di ogni servizio.</w:t>
      </w:r>
    </w:p>
    <w:p w:rsidR="00000000" w:rsidDel="00000000" w:rsidP="00000000" w:rsidRDefault="00000000" w:rsidRPr="00000000" w14:paraId="0000000B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  <w:rtl w:val="0"/>
        </w:rPr>
        <w:t xml:space="preserve">Che diritti ho sui miei dati?</w:t>
      </w:r>
    </w:p>
    <w:p w:rsidR="00000000" w:rsidDel="00000000" w:rsidP="00000000" w:rsidRDefault="00000000" w:rsidRPr="00000000" w14:paraId="0000000C">
      <w:pPr>
        <w:shd w:fill="ffffff" w:val="clear"/>
        <w:spacing w:after="28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Lei potrà, in qualsiasi momento, esercitare i diritti: 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di richiedere maggiori informazioni in relazione ai contenuti della presente informativa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di accesso ai dati personali;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di ottenere la rettifica o la cancellazione degli stessi o la limitazione del trattamento che lo riguardano (nei casi previsti dalla normativa);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di opporsi al trattamento (nei casi previsti dalla normativa);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alla portabilità dei dati (nei casi previsti dalla normativa);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di revocare il consenso, ove previsto; la revoca del consenso non pregiudica la liceità del trattamento basata sul consenso conferito prima della revoca;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di proporre reclamo all'autorità di controllo (Garante Privacy);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di dare mandato a un organismo, un'organizzazione o un'associazione senza scopo di lucro per l'esercizio dei suoi diritti;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di richiedere il risarcimento dei danni conseguenti alla violazione della normativa.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itillium Web" w:cs="Titillium Web" w:eastAsia="Titillium Web" w:hAnsi="Titillium Web"/>
          <w:b w:val="1"/>
          <w:bCs w:val="1"/>
          <w:color w:val="30363d"/>
          <w:sz w:val="24"/>
          <w:szCs w:val="24"/>
        </w:rPr>
      </w:pPr>
      <w:hyperlink r:id="rId8">
        <w:r w:rsidDel="00000000" w:rsidR="00000000" w:rsidRPr="00000000">
          <w:rPr>
            <w:rFonts w:ascii="Titillium Web" w:cs="Titillium Web" w:eastAsia="Titillium Web" w:hAnsi="Titillium Web"/>
            <w:b w:val="1"/>
            <w:bCs w:val="1"/>
            <w:color w:val="1155cc"/>
            <w:sz w:val="24"/>
            <w:szCs w:val="24"/>
            <w:highlight w:val="yellow"/>
            <w:u w:val="single"/>
            <w:rtl w:val="0"/>
          </w:rPr>
          <w:t xml:space="preserve">Modulo. esercizio di diritti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  <w:rtl w:val="0"/>
        </w:rPr>
        <w:t xml:space="preserve">A chi mi posso rivolgere?</w:t>
      </w:r>
    </w:p>
    <w:p w:rsidR="00000000" w:rsidDel="00000000" w:rsidP="00000000" w:rsidRDefault="00000000" w:rsidRPr="00000000" w14:paraId="00000018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Inoltre, potrà contattare il Responsabile della protezione dei dati (Dott. Giovanni Maria Sanna) attraverso l'indirizzo e-mail </w:t>
      </w:r>
      <w:hyperlink r:id="rId9">
        <w:r w:rsidDel="00000000" w:rsidR="00000000" w:rsidRPr="00000000">
          <w:rPr>
            <w:rFonts w:ascii="Titillium Web" w:cs="Titillium Web" w:eastAsia="Titillium Web" w:hAnsi="Titillium Web"/>
            <w:color w:val="0563c1"/>
            <w:sz w:val="24"/>
            <w:szCs w:val="24"/>
            <w:u w:val="single"/>
            <w:rtl w:val="0"/>
          </w:rPr>
          <w:t xml:space="preserve">sanna.dpo@dasein.it</w:t>
        </w:r>
      </w:hyperlink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 oppure con PEC </w:t>
      </w:r>
      <w:hyperlink r:id="rId10">
        <w:r w:rsidDel="00000000" w:rsidR="00000000" w:rsidRPr="00000000">
          <w:rPr>
            <w:rFonts w:ascii="Titillium Web" w:cs="Titillium Web" w:eastAsia="Titillium Web" w:hAnsi="Titillium Web"/>
            <w:color w:val="0563c1"/>
            <w:sz w:val="24"/>
            <w:szCs w:val="24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 .</w:t>
      </w:r>
    </w:p>
    <w:p w:rsidR="00000000" w:rsidDel="00000000" w:rsidP="00000000" w:rsidRDefault="00000000" w:rsidRPr="00000000" w14:paraId="00000019">
      <w:pPr>
        <w:shd w:fill="ffffff" w:val="clear"/>
        <w:spacing w:after="28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Gli interessati, ricorrendone i presupposti, hanno, altresì, il diritto di proporre reclamo al Garante quale autorità di controllo secondo le procedure previste.</w:t>
      </w:r>
    </w:p>
    <w:p w:rsidR="00000000" w:rsidDel="00000000" w:rsidP="00000000" w:rsidRDefault="00000000" w:rsidRPr="00000000" w14:paraId="0000001A">
      <w:pPr>
        <w:shd w:fill="ffffff" w:val="clear"/>
        <w:spacing w:after="300" w:before="30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  <w:rtl w:val="0"/>
        </w:rPr>
        <w:t xml:space="preserve">Tutto qui?</w:t>
      </w:r>
    </w:p>
    <w:p w:rsidR="00000000" w:rsidDel="00000000" w:rsidP="00000000" w:rsidRDefault="00000000" w:rsidRPr="00000000" w14:paraId="0000001B">
      <w:pPr>
        <w:shd w:fill="ffffff" w:val="clear"/>
        <w:spacing w:after="28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color w:val="30373d"/>
          <w:sz w:val="24"/>
          <w:szCs w:val="24"/>
          <w:rtl w:val="0"/>
        </w:rPr>
        <w:t xml:space="preserve">Maggiori e più puntuali precisazioni sulle finalità di trattamento e sulle altre informazioni utili sono fornite nelle singole informative dei vari servizi.</w:t>
      </w:r>
    </w:p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30373d"/>
          <w:sz w:val="36"/>
          <w:szCs w:val="36"/>
          <w:rtl w:val="0"/>
        </w:rPr>
        <w:t xml:space="preserve">Link utili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hyperlink r:id="rId11">
        <w:r w:rsidDel="00000000" w:rsidR="00000000" w:rsidRPr="00000000">
          <w:rPr>
            <w:rFonts w:ascii="Titillium Web" w:cs="Titillium Web" w:eastAsia="Titillium Web" w:hAnsi="Titillium Web"/>
            <w:color w:val="0563c1"/>
            <w:sz w:val="24"/>
            <w:szCs w:val="24"/>
            <w:u w:val="single"/>
            <w:rtl w:val="0"/>
          </w:rPr>
          <w:t xml:space="preserve">GDPR: Regolamento UE 2016/679 sulla protezione dei dati personali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hyperlink r:id="rId12">
        <w:r w:rsidDel="00000000" w:rsidR="00000000" w:rsidRPr="00000000">
          <w:rPr>
            <w:rFonts w:ascii="Titillium Web" w:cs="Titillium Web" w:eastAsia="Titillium Web" w:hAnsi="Titillium Web"/>
            <w:color w:val="0563c1"/>
            <w:sz w:val="24"/>
            <w:szCs w:val="24"/>
            <w:u w:val="single"/>
            <w:rtl w:val="0"/>
          </w:rPr>
          <w:t xml:space="preserve">Decreto Legislativo n. 196 del 30/6/2003 cosiddetto Codice 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hyperlink r:id="rId13">
        <w:r w:rsidDel="00000000" w:rsidR="00000000" w:rsidRPr="00000000">
          <w:rPr>
            <w:rFonts w:ascii="Titillium Web" w:cs="Titillium Web" w:eastAsia="Titillium Web" w:hAnsi="Titillium Web"/>
            <w:color w:val="0563c1"/>
            <w:sz w:val="24"/>
            <w:szCs w:val="24"/>
            <w:u w:val="single"/>
            <w:rtl w:val="0"/>
          </w:rPr>
          <w:t xml:space="preserve">Garante europeo della protezione dei dati (GEPD)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hyperlink r:id="rId14">
        <w:r w:rsidDel="00000000" w:rsidR="00000000" w:rsidRPr="00000000">
          <w:rPr>
            <w:rFonts w:ascii="Titillium Web" w:cs="Titillium Web" w:eastAsia="Titillium Web" w:hAnsi="Titillium Web"/>
            <w:color w:val="0563c1"/>
            <w:sz w:val="24"/>
            <w:szCs w:val="24"/>
            <w:u w:val="single"/>
            <w:rtl w:val="0"/>
          </w:rPr>
          <w:t xml:space="preserve">Garante della 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Titillium Web" w:cs="Titillium Web" w:eastAsia="Titillium Web" w:hAnsi="Titillium Web"/>
          <w:color w:val="30373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eur-lex.europa.eu/legal-content/IT/TXT/?uri=uriserv%3AOJ.L_.2016.119.01.0001.01.ITA" TargetMode="External"/><Relationship Id="rId10" Type="http://schemas.openxmlformats.org/officeDocument/2006/relationships/hyperlink" Target="mailto:protocollo.trinitadagultu@legalmail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12" Type="http://schemas.openxmlformats.org/officeDocument/2006/relationships/hyperlink" Target="https://www.garanteprivacy.it/codi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nna.dpo@dasein.it" TargetMode="External"/><Relationship Id="rId15" Type="http://schemas.openxmlformats.org/officeDocument/2006/relationships/header" Target="header2.xml"/><Relationship Id="rId14" Type="http://schemas.openxmlformats.org/officeDocument/2006/relationships/hyperlink" Target="http://www.garanteprivacy.it/" TargetMode="External"/><Relationship Id="rId17" Type="http://schemas.openxmlformats.org/officeDocument/2006/relationships/header" Target="head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mailto:protocollo.trinitadagultu@legalmail.it" TargetMode="External"/><Relationship Id="rId8" Type="http://schemas.openxmlformats.org/officeDocument/2006/relationships/hyperlink" Target="https://comune.trinita.ss.it/notizie/3576243/informativa-privac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JCIah8ItRVY6ZEdtzjPstQIaA==">CgMxLjAyDmguN2FxanlleHJ4czd6OAByITFKLUxsYVpNaE84aWVyZnVFMUs3MmoxeHN5Mkd5STRDOQ==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