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F2272" w14:textId="470EF668" w:rsidR="000B6E98" w:rsidRDefault="008A7A17" w:rsidP="00737CF7">
      <w:pPr>
        <w:spacing w:after="0" w:line="360" w:lineRule="atLeast"/>
        <w:jc w:val="center"/>
        <w:rPr>
          <w:rFonts w:ascii="Tahoma" w:eastAsia="Times New Roman" w:hAnsi="Tahoma"/>
          <w:b/>
          <w:sz w:val="36"/>
          <w:szCs w:val="24"/>
        </w:rPr>
      </w:pPr>
      <w:r>
        <w:rPr>
          <w:rFonts w:ascii="Times New Roman" w:eastAsia="Times New Roman" w:hAnsi="Times New Roman"/>
          <w:vanish/>
          <w:color w:val="000000"/>
          <w:sz w:val="14"/>
          <w:szCs w:val="24"/>
        </w:rPr>
        <w:t>#{GUID_12C6CBB1-7C7C-47C9-8290-8D8CFB495455|LIVELLO_1|TESTO_Oggetto, ammontare e forma dell'appalto - Descrizione, forma, dimensioni e variazioni delle opere_END}&amp;</w:t>
      </w:r>
      <w:bookmarkStart w:id="0" w:name="4221"/>
      <w:bookmarkEnd w:id="0"/>
      <w:r>
        <w:rPr>
          <w:rFonts w:ascii="Tahoma" w:eastAsia="Times New Roman" w:hAnsi="Tahoma"/>
          <w:b/>
          <w:sz w:val="32"/>
          <w:szCs w:val="24"/>
        </w:rPr>
        <w:t>CAPITOLO 1</w:t>
      </w:r>
    </w:p>
    <w:p w14:paraId="5A5954DE" w14:textId="77777777" w:rsidR="000B6E98" w:rsidRDefault="000B6E98">
      <w:pPr>
        <w:spacing w:after="0"/>
        <w:jc w:val="center"/>
        <w:rPr>
          <w:rFonts w:ascii="Tahoma" w:eastAsia="Times New Roman" w:hAnsi="Tahoma"/>
          <w:b/>
          <w:sz w:val="24"/>
          <w:szCs w:val="24"/>
        </w:rPr>
      </w:pPr>
    </w:p>
    <w:p w14:paraId="3019A03E" w14:textId="77777777" w:rsidR="000B6E98" w:rsidRDefault="000B6E98">
      <w:pPr>
        <w:spacing w:after="0"/>
        <w:jc w:val="center"/>
        <w:rPr>
          <w:rFonts w:ascii="Tahoma" w:eastAsia="Times New Roman" w:hAnsi="Tahoma"/>
          <w:b/>
          <w:sz w:val="24"/>
          <w:szCs w:val="24"/>
        </w:rPr>
      </w:pPr>
    </w:p>
    <w:p w14:paraId="62252AF6" w14:textId="77777777" w:rsidR="000B6E98" w:rsidRDefault="008A7A17">
      <w:pPr>
        <w:spacing w:after="0" w:line="360" w:lineRule="atLeast"/>
        <w:jc w:val="center"/>
        <w:rPr>
          <w:rFonts w:ascii="Tahoma" w:eastAsia="Times New Roman" w:hAnsi="Tahoma"/>
          <w:b/>
          <w:sz w:val="24"/>
          <w:szCs w:val="24"/>
        </w:rPr>
      </w:pPr>
      <w:r>
        <w:rPr>
          <w:rFonts w:ascii="Tahoma" w:eastAsia="Times New Roman" w:hAnsi="Tahoma"/>
          <w:b/>
          <w:sz w:val="24"/>
          <w:szCs w:val="24"/>
        </w:rPr>
        <w:t>OGGETTO, FORMA E AMMONTARE DELL'APPALTO - AFFIDAMENTO E CONTRATTO - VARIAZIONI DELLE OPERE</w:t>
      </w:r>
    </w:p>
    <w:p w14:paraId="46EE014C" w14:textId="77777777" w:rsidR="000B6E98" w:rsidRDefault="000B6E98">
      <w:pPr>
        <w:spacing w:after="0"/>
        <w:jc w:val="left"/>
        <w:rPr>
          <w:rFonts w:ascii="Tahoma" w:eastAsia="Times New Roman" w:hAnsi="Tahoma"/>
          <w:sz w:val="24"/>
          <w:szCs w:val="24"/>
        </w:rPr>
      </w:pPr>
    </w:p>
    <w:p w14:paraId="33B4A9F6" w14:textId="77777777" w:rsidR="000B6E98" w:rsidRDefault="000B6E98">
      <w:pPr>
        <w:spacing w:after="0" w:line="360" w:lineRule="atLeast"/>
        <w:rPr>
          <w:rFonts w:ascii="Tahoma" w:eastAsia="Times New Roman" w:hAnsi="Tahoma"/>
          <w:sz w:val="24"/>
          <w:szCs w:val="24"/>
        </w:rPr>
      </w:pPr>
    </w:p>
    <w:p w14:paraId="34E904AE"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#{GUID_C2E6E7F8-C138-4501-905F-8E9DC1C99A6D|LIVELLO_2|TESTO_Oggetto dell'appalto_END}&amp;</w:t>
      </w:r>
      <w:bookmarkStart w:id="1" w:name="4222"/>
      <w:bookmarkEnd w:id="1"/>
      <w:r>
        <w:rPr>
          <w:rFonts w:ascii="Tahoma" w:eastAsia="Times New Roman" w:hAnsi="Tahoma"/>
          <w:b/>
          <w:sz w:val="20"/>
          <w:szCs w:val="24"/>
        </w:rPr>
        <w:t>Art 1.1</w:t>
      </w:r>
    </w:p>
    <w:p w14:paraId="6A655788" w14:textId="77777777" w:rsidR="000B6E98" w:rsidRDefault="008A7A17">
      <w:pPr>
        <w:spacing w:after="0"/>
        <w:jc w:val="center"/>
        <w:rPr>
          <w:rFonts w:ascii="Tahoma" w:eastAsia="Times New Roman" w:hAnsi="Tahoma"/>
          <w:sz w:val="20"/>
          <w:szCs w:val="24"/>
        </w:rPr>
      </w:pPr>
      <w:r>
        <w:rPr>
          <w:rFonts w:ascii="Tahoma" w:eastAsia="Times New Roman" w:hAnsi="Tahoma"/>
          <w:b/>
          <w:sz w:val="20"/>
          <w:szCs w:val="24"/>
        </w:rPr>
        <w:t>OGGETTO DELL'APPALTO</w:t>
      </w:r>
    </w:p>
    <w:p w14:paraId="4CDBF1D2" w14:textId="77777777" w:rsidR="000B6E98" w:rsidRDefault="000B6E98">
      <w:pPr>
        <w:spacing w:after="0"/>
        <w:jc w:val="left"/>
        <w:rPr>
          <w:rFonts w:ascii="Tahoma" w:eastAsia="Times New Roman" w:hAnsi="Tahoma"/>
          <w:sz w:val="20"/>
          <w:szCs w:val="24"/>
        </w:rPr>
      </w:pPr>
    </w:p>
    <w:p w14:paraId="2CD8D0F8" w14:textId="5085B267" w:rsidR="000B6E98" w:rsidRDefault="008A7A17">
      <w:pPr>
        <w:spacing w:after="0"/>
        <w:ind w:firstLine="284"/>
        <w:rPr>
          <w:rFonts w:ascii="Tahoma" w:eastAsia="Times New Roman" w:hAnsi="Tahoma"/>
          <w:i/>
          <w:sz w:val="20"/>
          <w:szCs w:val="24"/>
        </w:rPr>
      </w:pPr>
      <w:r>
        <w:rPr>
          <w:rFonts w:ascii="Tahoma" w:eastAsia="Times New Roman" w:hAnsi="Tahoma"/>
          <w:sz w:val="20"/>
          <w:szCs w:val="24"/>
        </w:rPr>
        <w:t>L'appalto ha per oggetto l'esecuzione di tutte le opere e provviste occorrenti per eseguire e dare completamente ultimati i lavori di:</w:t>
      </w:r>
      <w:r>
        <w:rPr>
          <w:rFonts w:ascii="Tahoma" w:eastAsia="Times New Roman" w:hAnsi="Tahoma"/>
          <w:b/>
          <w:sz w:val="20"/>
          <w:szCs w:val="24"/>
        </w:rPr>
        <w:t xml:space="preserve"> </w:t>
      </w:r>
      <w:r w:rsidR="00737CF7" w:rsidRPr="00D23735">
        <w:rPr>
          <w:rFonts w:ascii="Tahoma" w:hAnsi="Tahoma" w:cs="Tahoma"/>
          <w:sz w:val="20"/>
          <w:szCs w:val="20"/>
        </w:rPr>
        <w:t>realizzazione di un parcheggio pubblico in Via Della Fornace in Frazione Ripabianca</w:t>
      </w:r>
      <w:r w:rsidR="00737CF7">
        <w:rPr>
          <w:rFonts w:ascii="Tahoma" w:hAnsi="Tahoma" w:cs="Tahoma"/>
          <w:sz w:val="20"/>
          <w:szCs w:val="20"/>
        </w:rPr>
        <w:t>.</w:t>
      </w:r>
      <w:r>
        <w:rPr>
          <w:rFonts w:ascii="Tahoma" w:eastAsia="Times New Roman" w:hAnsi="Tahoma"/>
          <w:b/>
          <w:color w:val="FF0000"/>
          <w:sz w:val="20"/>
          <w:szCs w:val="24"/>
        </w:rPr>
        <w:t xml:space="preserve"> </w:t>
      </w:r>
    </w:p>
    <w:p w14:paraId="14D57F1B" w14:textId="77777777" w:rsidR="000B6E98" w:rsidRDefault="000B6E98">
      <w:pPr>
        <w:spacing w:after="0"/>
        <w:ind w:firstLine="284"/>
        <w:rPr>
          <w:rFonts w:ascii="Tahoma" w:eastAsia="Times New Roman" w:hAnsi="Tahoma"/>
          <w:color w:val="000000"/>
          <w:sz w:val="20"/>
          <w:szCs w:val="24"/>
        </w:rPr>
      </w:pPr>
    </w:p>
    <w:p w14:paraId="5D79ED72"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Sono compresi nell'appalto tutti i lavori, le prestazioni, le forniture e le provviste necessarie per dare il lavoro completamente compiuto, secondo le condizioni stabilite dal presente capitolato speciale d'appalto, con le caratteristiche tecniche, qualitative e quantitative previste dal progetto esecutivo dell'opera e relativi allegati dei quali l'Appaltatore dichiara di aver preso completa ed esatta conoscenza.</w:t>
      </w:r>
    </w:p>
    <w:p w14:paraId="2709BEE7"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L'esecuzione dei lavori è sempre e comunque effettuata secondo le regole dell'arte e l'Appaltatore deve conformarsi alla massima diligenza nell'adempimento dei propri obblighi.</w:t>
      </w:r>
    </w:p>
    <w:p w14:paraId="3BED5D3D" w14:textId="3C5B23D2"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Ai fini dell'art. 3 comma 5 della Legge 136/2010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xml:space="preserve"> il Codice identificativo della gara (CIG) relativo all’intervento è</w:t>
      </w:r>
      <w:r w:rsidRPr="00EE39C2">
        <w:rPr>
          <w:rFonts w:ascii="Tahoma" w:eastAsia="Times New Roman" w:hAnsi="Tahoma"/>
          <w:color w:val="000000"/>
          <w:sz w:val="20"/>
          <w:szCs w:val="24"/>
        </w:rPr>
        <w:t xml:space="preserve"> </w:t>
      </w:r>
      <w:r w:rsidR="00EE39C2" w:rsidRPr="00EE39C2">
        <w:rPr>
          <w:rFonts w:ascii="Tahoma" w:eastAsia="Times New Roman" w:hAnsi="Tahoma"/>
          <w:color w:val="000000"/>
          <w:sz w:val="20"/>
          <w:szCs w:val="24"/>
        </w:rPr>
        <w:t>___________</w:t>
      </w:r>
      <w:r>
        <w:rPr>
          <w:rFonts w:ascii="Tahoma" w:eastAsia="Times New Roman" w:hAnsi="Tahoma"/>
          <w:color w:val="000000"/>
          <w:sz w:val="20"/>
          <w:szCs w:val="24"/>
        </w:rPr>
        <w:t xml:space="preserve"> e il Codice Unico di Progetto (CUP) dell’intervento è </w:t>
      </w:r>
      <w:r w:rsidR="00EE39C2" w:rsidRPr="00EE39C2">
        <w:rPr>
          <w:rFonts w:ascii="Tahoma" w:eastAsia="Times New Roman" w:hAnsi="Tahoma"/>
          <w:color w:val="000000"/>
          <w:sz w:val="20"/>
          <w:szCs w:val="24"/>
        </w:rPr>
        <w:t>B51B20000510004</w:t>
      </w:r>
      <w:r>
        <w:rPr>
          <w:rFonts w:ascii="Tahoma" w:eastAsia="Times New Roman" w:hAnsi="Tahoma"/>
          <w:color w:val="000000"/>
          <w:sz w:val="20"/>
          <w:szCs w:val="24"/>
        </w:rPr>
        <w:t>.</w:t>
      </w:r>
    </w:p>
    <w:p w14:paraId="1C1EC547" w14:textId="77777777" w:rsidR="000B6E98" w:rsidRDefault="000B6E98">
      <w:pPr>
        <w:spacing w:after="0"/>
        <w:rPr>
          <w:rFonts w:ascii="Tahoma" w:eastAsia="Times New Roman" w:hAnsi="Tahoma"/>
          <w:color w:val="000000"/>
          <w:sz w:val="20"/>
          <w:szCs w:val="24"/>
        </w:rPr>
      </w:pPr>
    </w:p>
    <w:p w14:paraId="6382FFA5" w14:textId="77777777" w:rsidR="000B6E98" w:rsidRDefault="000B6E98">
      <w:pPr>
        <w:spacing w:after="0"/>
        <w:rPr>
          <w:rFonts w:ascii="Tahoma" w:eastAsia="Times New Roman" w:hAnsi="Tahoma"/>
          <w:sz w:val="20"/>
          <w:szCs w:val="24"/>
        </w:rPr>
      </w:pPr>
    </w:p>
    <w:p w14:paraId="33964864"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#{GUID_DF624230-5186-4EC0-80D1-50E266CB3BF3|LIVELLO_2|TESTO_Suddivisione in lotti_END}&amp;</w:t>
      </w:r>
      <w:bookmarkStart w:id="2" w:name="4223"/>
      <w:bookmarkEnd w:id="2"/>
      <w:r>
        <w:rPr>
          <w:rFonts w:ascii="Tahoma" w:eastAsia="Times New Roman" w:hAnsi="Tahoma"/>
          <w:b/>
          <w:sz w:val="20"/>
          <w:szCs w:val="24"/>
        </w:rPr>
        <w:t>Art 1.2</w:t>
      </w:r>
    </w:p>
    <w:p w14:paraId="3E8AEAB2"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FORMA DELL'APPALTO</w:t>
      </w:r>
    </w:p>
    <w:p w14:paraId="725A880D" w14:textId="77777777" w:rsidR="000B6E98" w:rsidRDefault="000B6E98">
      <w:pPr>
        <w:spacing w:after="0"/>
        <w:rPr>
          <w:rFonts w:ascii="Tahoma" w:eastAsia="Times New Roman" w:hAnsi="Tahoma"/>
          <w:sz w:val="20"/>
          <w:szCs w:val="24"/>
        </w:rPr>
      </w:pPr>
    </w:p>
    <w:p w14:paraId="16224F50" w14:textId="3DFF7F65" w:rsidR="000B6E98" w:rsidRPr="00EF20C0" w:rsidRDefault="008A7A17">
      <w:pPr>
        <w:spacing w:after="0"/>
        <w:ind w:firstLine="284"/>
        <w:rPr>
          <w:rFonts w:ascii="Tahoma" w:eastAsia="Times New Roman" w:hAnsi="Tahoma"/>
          <w:b/>
          <w:sz w:val="20"/>
          <w:szCs w:val="24"/>
        </w:rPr>
      </w:pPr>
      <w:r w:rsidRPr="00EF20C0">
        <w:rPr>
          <w:rFonts w:ascii="Tahoma" w:eastAsia="Times New Roman" w:hAnsi="Tahoma"/>
          <w:sz w:val="20"/>
          <w:szCs w:val="24"/>
        </w:rPr>
        <w:t xml:space="preserve">Il presente appalto è dato a: </w:t>
      </w:r>
      <w:r w:rsidR="00EF20C0">
        <w:rPr>
          <w:rFonts w:ascii="Tahoma" w:eastAsia="Times New Roman" w:hAnsi="Tahoma"/>
          <w:b/>
          <w:sz w:val="20"/>
          <w:szCs w:val="24"/>
        </w:rPr>
        <w:t>MISURA</w:t>
      </w:r>
      <w:r w:rsidRPr="00EF20C0">
        <w:rPr>
          <w:rFonts w:ascii="Tahoma" w:eastAsia="Times New Roman" w:hAnsi="Tahoma"/>
          <w:b/>
          <w:sz w:val="20"/>
          <w:szCs w:val="24"/>
        </w:rPr>
        <w:t xml:space="preserve"> </w:t>
      </w:r>
      <w:r w:rsidRPr="00EF20C0">
        <w:rPr>
          <w:rFonts w:ascii="Tahoma" w:eastAsia="Times New Roman" w:hAnsi="Tahoma"/>
          <w:sz w:val="20"/>
          <w:szCs w:val="24"/>
        </w:rPr>
        <w:t>con offerta a</w:t>
      </w:r>
      <w:r w:rsidRPr="00EF20C0">
        <w:rPr>
          <w:rFonts w:ascii="Tahoma" w:eastAsia="Times New Roman" w:hAnsi="Tahoma"/>
          <w:b/>
          <w:sz w:val="20"/>
          <w:szCs w:val="24"/>
        </w:rPr>
        <w:t xml:space="preserve"> </w:t>
      </w:r>
      <w:r w:rsidR="00EF20C0">
        <w:rPr>
          <w:rFonts w:ascii="Tahoma" w:eastAsia="Times New Roman" w:hAnsi="Tahoma"/>
          <w:b/>
          <w:sz w:val="20"/>
          <w:szCs w:val="24"/>
        </w:rPr>
        <w:t>UNICO RIBASSO</w:t>
      </w:r>
      <w:r w:rsidR="00EF20C0" w:rsidRPr="00EF20C0">
        <w:rPr>
          <w:rFonts w:ascii="Tahoma" w:eastAsia="Times New Roman" w:hAnsi="Tahoma"/>
          <w:bCs/>
          <w:sz w:val="20"/>
          <w:szCs w:val="24"/>
        </w:rPr>
        <w:t>.</w:t>
      </w:r>
    </w:p>
    <w:p w14:paraId="471FCCE7" w14:textId="15249EDB"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Nell’appalto a misura, </w:t>
      </w:r>
      <w:r w:rsidR="002007C5">
        <w:rPr>
          <w:rFonts w:ascii="Tahoma" w:eastAsia="Times New Roman" w:hAnsi="Tahoma"/>
          <w:color w:val="000000"/>
          <w:sz w:val="20"/>
          <w:szCs w:val="24"/>
        </w:rPr>
        <w:t>i</w:t>
      </w:r>
      <w:r>
        <w:rPr>
          <w:rFonts w:ascii="Tahoma" w:eastAsia="Times New Roman" w:hAnsi="Tahoma"/>
          <w:color w:val="000000"/>
          <w:sz w:val="20"/>
          <w:szCs w:val="24"/>
        </w:rPr>
        <w:t>l corrispettivo consisterà nell’individuazione di un prezzo per ogni unità di misura di lavorazione o di opera finita, da applicare alle quantità eseguite di lavorazione o di opera. Pertanto, l’importo di un appalto a misura risulterà variabile.</w:t>
      </w:r>
    </w:p>
    <w:p w14:paraId="03A43705" w14:textId="6317922E" w:rsidR="000B6E98" w:rsidRPr="002007C5" w:rsidRDefault="008A7A17">
      <w:pPr>
        <w:spacing w:after="0"/>
        <w:ind w:firstLine="284"/>
        <w:rPr>
          <w:rFonts w:ascii="Tahoma" w:eastAsia="Times New Roman" w:hAnsi="Tahoma"/>
          <w:sz w:val="20"/>
          <w:szCs w:val="24"/>
        </w:rPr>
      </w:pPr>
      <w:r w:rsidRPr="002007C5">
        <w:rPr>
          <w:rFonts w:ascii="Tahoma" w:eastAsia="Times New Roman" w:hAnsi="Tahoma"/>
          <w:sz w:val="20"/>
          <w:szCs w:val="24"/>
        </w:rPr>
        <w:t xml:space="preserve">Nell’ambito della contabilizzazione di tali tipologie di appalto potranno comunque contemplarsi anche eventuali somme a disposizione per lavori in economia, la cui contabilizzazione è disciplinata dal successivo articolo </w:t>
      </w:r>
      <w:hyperlink r:id="rId7" w:history="1">
        <w:r w:rsidRPr="002007C5">
          <w:rPr>
            <w:rFonts w:ascii="Tahoma" w:eastAsia="Times New Roman" w:hAnsi="Tahoma"/>
            <w:sz w:val="20"/>
            <w:szCs w:val="24"/>
            <w:u w:val="single"/>
          </w:rPr>
          <w:t>Norme Generali</w:t>
        </w:r>
      </w:hyperlink>
      <w:r w:rsidRPr="002007C5">
        <w:rPr>
          <w:rFonts w:ascii="Tahoma" w:eastAsia="Times New Roman" w:hAnsi="Tahoma"/>
          <w:sz w:val="20"/>
          <w:szCs w:val="24"/>
        </w:rPr>
        <w:t xml:space="preserve"> per la misurazione e valutazione dei lavori.</w:t>
      </w:r>
    </w:p>
    <w:p w14:paraId="0F4C4849"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L'importo a base dell'affidamento per l'esecuzione delle lavorazioni (comprensivo dell'importo per l'attuazione dei Piani di Sicurezza) è sintetizzato come segue:</w:t>
      </w:r>
    </w:p>
    <w:p w14:paraId="7FC5D5CA" w14:textId="77777777" w:rsidR="000B6E98" w:rsidRDefault="000B6E98">
      <w:pPr>
        <w:spacing w:after="0"/>
        <w:ind w:firstLine="284"/>
        <w:rPr>
          <w:rFonts w:ascii="Tahoma" w:eastAsia="Times New Roman" w:hAnsi="Tahoma"/>
          <w:sz w:val="20"/>
          <w:szCs w:val="24"/>
        </w:rPr>
      </w:pPr>
    </w:p>
    <w:tbl>
      <w:tblPr>
        <w:tblW w:w="0" w:type="auto"/>
        <w:tblInd w:w="1556" w:type="dxa"/>
        <w:tblLayout w:type="fixed"/>
        <w:tblCellMar>
          <w:left w:w="65" w:type="dxa"/>
          <w:right w:w="65" w:type="dxa"/>
        </w:tblCellMar>
        <w:tblLook w:val="0000" w:firstRow="0" w:lastRow="0" w:firstColumn="0" w:lastColumn="0" w:noHBand="0" w:noVBand="0"/>
      </w:tblPr>
      <w:tblGrid>
        <w:gridCol w:w="3550"/>
        <w:gridCol w:w="2343"/>
      </w:tblGrid>
      <w:tr w:rsidR="000B6E98" w14:paraId="31D118B0" w14:textId="77777777">
        <w:trPr>
          <w:trHeight w:hRule="exact" w:val="453"/>
        </w:trPr>
        <w:tc>
          <w:tcPr>
            <w:tcW w:w="5893" w:type="dxa"/>
            <w:gridSpan w:val="2"/>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63A7A77B" w14:textId="77777777" w:rsidR="000B6E98" w:rsidRDefault="008A7A17">
            <w:pPr>
              <w:spacing w:after="0"/>
              <w:jc w:val="center"/>
              <w:rPr>
                <w:rFonts w:ascii="Tahoma" w:eastAsia="Times New Roman" w:hAnsi="Tahoma"/>
                <w:b/>
                <w:sz w:val="20"/>
                <w:szCs w:val="24"/>
              </w:rPr>
            </w:pPr>
            <w:r>
              <w:rPr>
                <w:rFonts w:ascii="Tahoma" w:eastAsia="Times New Roman" w:hAnsi="Tahoma"/>
                <w:b/>
                <w:color w:val="FFFFFF"/>
                <w:sz w:val="20"/>
                <w:szCs w:val="24"/>
              </w:rPr>
              <w:t>Quadro economico di sintesi</w:t>
            </w:r>
          </w:p>
        </w:tc>
      </w:tr>
      <w:tr w:rsidR="000B6E98" w14:paraId="70D011C9" w14:textId="77777777">
        <w:trPr>
          <w:trHeight w:hRule="exact" w:val="453"/>
        </w:trPr>
        <w:tc>
          <w:tcPr>
            <w:tcW w:w="3550"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DACED35" w14:textId="77777777" w:rsidR="000B6E98" w:rsidRDefault="008A7A17">
            <w:pPr>
              <w:spacing w:after="0"/>
              <w:jc w:val="center"/>
              <w:rPr>
                <w:rFonts w:ascii="Tahoma" w:eastAsia="Times New Roman" w:hAnsi="Tahoma"/>
                <w:sz w:val="20"/>
                <w:szCs w:val="24"/>
              </w:rPr>
            </w:pPr>
            <w:r>
              <w:rPr>
                <w:rFonts w:ascii="Tahoma" w:eastAsia="Times New Roman" w:hAnsi="Tahoma"/>
                <w:sz w:val="20"/>
                <w:szCs w:val="24"/>
              </w:rPr>
              <w:t>a) Per lavori a CORPO</w:t>
            </w:r>
          </w:p>
        </w:tc>
        <w:tc>
          <w:tcPr>
            <w:tcW w:w="234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E14D8DB" w14:textId="03584E46" w:rsidR="000B6E98" w:rsidRDefault="008A7A17">
            <w:pPr>
              <w:spacing w:after="0"/>
              <w:jc w:val="center"/>
              <w:rPr>
                <w:rFonts w:ascii="Tahoma" w:eastAsia="Times New Roman" w:hAnsi="Tahoma"/>
                <w:sz w:val="20"/>
                <w:szCs w:val="24"/>
              </w:rPr>
            </w:pPr>
            <w:r>
              <w:rPr>
                <w:rFonts w:ascii="Tahoma" w:eastAsia="Times New Roman" w:hAnsi="Tahoma"/>
                <w:sz w:val="20"/>
                <w:szCs w:val="24"/>
              </w:rPr>
              <w:t xml:space="preserve">Euro </w:t>
            </w:r>
            <w:r w:rsidR="002007C5">
              <w:rPr>
                <w:rFonts w:ascii="Tahoma" w:eastAsia="Times New Roman" w:hAnsi="Tahoma"/>
                <w:sz w:val="20"/>
                <w:szCs w:val="24"/>
              </w:rPr>
              <w:t>0,00</w:t>
            </w:r>
          </w:p>
        </w:tc>
      </w:tr>
      <w:tr w:rsidR="000B6E98" w14:paraId="13ECDCE4" w14:textId="77777777">
        <w:trPr>
          <w:trHeight w:hRule="exact" w:val="453"/>
        </w:trPr>
        <w:tc>
          <w:tcPr>
            <w:tcW w:w="3550"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947501D" w14:textId="77777777" w:rsidR="000B6E98" w:rsidRDefault="008A7A17">
            <w:pPr>
              <w:spacing w:after="0"/>
              <w:jc w:val="center"/>
              <w:rPr>
                <w:rFonts w:ascii="Tahoma" w:eastAsia="Times New Roman" w:hAnsi="Tahoma"/>
                <w:sz w:val="20"/>
                <w:szCs w:val="24"/>
              </w:rPr>
            </w:pPr>
            <w:r>
              <w:rPr>
                <w:rFonts w:ascii="Tahoma" w:eastAsia="Times New Roman" w:hAnsi="Tahoma"/>
                <w:sz w:val="20"/>
                <w:szCs w:val="24"/>
              </w:rPr>
              <w:t>b) Per lavori a MISURA</w:t>
            </w:r>
          </w:p>
        </w:tc>
        <w:tc>
          <w:tcPr>
            <w:tcW w:w="234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FD971BB" w14:textId="2DE66932" w:rsidR="000B6E98" w:rsidRDefault="008A7A17">
            <w:pPr>
              <w:spacing w:after="0"/>
              <w:jc w:val="center"/>
              <w:rPr>
                <w:rFonts w:ascii="Tahoma" w:eastAsia="Times New Roman" w:hAnsi="Tahoma"/>
                <w:sz w:val="20"/>
                <w:szCs w:val="24"/>
              </w:rPr>
            </w:pPr>
            <w:r>
              <w:rPr>
                <w:rFonts w:ascii="Tahoma" w:eastAsia="Times New Roman" w:hAnsi="Tahoma"/>
                <w:sz w:val="20"/>
                <w:szCs w:val="24"/>
              </w:rPr>
              <w:t xml:space="preserve">Euro </w:t>
            </w:r>
            <w:r w:rsidR="002007C5">
              <w:rPr>
                <w:rFonts w:ascii="Tahoma" w:eastAsia="Times New Roman" w:hAnsi="Tahoma"/>
                <w:sz w:val="20"/>
                <w:szCs w:val="24"/>
              </w:rPr>
              <w:t>67'</w:t>
            </w:r>
            <w:r w:rsidR="000362C1">
              <w:rPr>
                <w:rFonts w:ascii="Tahoma" w:eastAsia="Times New Roman" w:hAnsi="Tahoma"/>
                <w:sz w:val="20"/>
                <w:szCs w:val="24"/>
              </w:rPr>
              <w:t>54</w:t>
            </w:r>
            <w:r w:rsidR="00046DE6">
              <w:rPr>
                <w:rFonts w:ascii="Tahoma" w:eastAsia="Times New Roman" w:hAnsi="Tahoma"/>
                <w:sz w:val="20"/>
                <w:szCs w:val="24"/>
              </w:rPr>
              <w:t>4</w:t>
            </w:r>
            <w:r w:rsidR="002007C5">
              <w:rPr>
                <w:rFonts w:ascii="Tahoma" w:eastAsia="Times New Roman" w:hAnsi="Tahoma"/>
                <w:sz w:val="20"/>
                <w:szCs w:val="24"/>
              </w:rPr>
              <w:t>,</w:t>
            </w:r>
            <w:r w:rsidR="000362C1">
              <w:rPr>
                <w:rFonts w:ascii="Tahoma" w:eastAsia="Times New Roman" w:hAnsi="Tahoma"/>
                <w:sz w:val="20"/>
                <w:szCs w:val="24"/>
              </w:rPr>
              <w:t>99</w:t>
            </w:r>
          </w:p>
        </w:tc>
      </w:tr>
      <w:tr w:rsidR="000B6E98" w14:paraId="06C8207C" w14:textId="77777777">
        <w:trPr>
          <w:trHeight w:hRule="exact" w:val="453"/>
        </w:trPr>
        <w:tc>
          <w:tcPr>
            <w:tcW w:w="3550"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0E2D506" w14:textId="77777777" w:rsidR="000B6E98" w:rsidRDefault="008A7A17">
            <w:pPr>
              <w:spacing w:after="0"/>
              <w:jc w:val="center"/>
              <w:rPr>
                <w:rFonts w:ascii="Tahoma" w:eastAsia="Times New Roman" w:hAnsi="Tahoma"/>
                <w:sz w:val="20"/>
                <w:szCs w:val="24"/>
              </w:rPr>
            </w:pPr>
            <w:r>
              <w:rPr>
                <w:rFonts w:ascii="Tahoma" w:eastAsia="Times New Roman" w:hAnsi="Tahoma"/>
                <w:sz w:val="20"/>
                <w:szCs w:val="24"/>
              </w:rPr>
              <w:t>c) Per lavori in ECONOMIA</w:t>
            </w:r>
          </w:p>
        </w:tc>
        <w:tc>
          <w:tcPr>
            <w:tcW w:w="234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912F184" w14:textId="74F7FAB2" w:rsidR="000B6E98" w:rsidRDefault="008A7A17">
            <w:pPr>
              <w:spacing w:after="0"/>
              <w:jc w:val="center"/>
              <w:rPr>
                <w:rFonts w:ascii="Tahoma" w:eastAsia="Times New Roman" w:hAnsi="Tahoma"/>
                <w:sz w:val="20"/>
                <w:szCs w:val="24"/>
              </w:rPr>
            </w:pPr>
            <w:r>
              <w:rPr>
                <w:rFonts w:ascii="Tahoma" w:eastAsia="Times New Roman" w:hAnsi="Tahoma"/>
                <w:sz w:val="20"/>
                <w:szCs w:val="24"/>
              </w:rPr>
              <w:t xml:space="preserve">Euro </w:t>
            </w:r>
            <w:r w:rsidR="002007C5">
              <w:rPr>
                <w:rFonts w:ascii="Tahoma" w:eastAsia="Times New Roman" w:hAnsi="Tahoma"/>
                <w:sz w:val="20"/>
                <w:szCs w:val="24"/>
              </w:rPr>
              <w:t>0,00</w:t>
            </w:r>
          </w:p>
        </w:tc>
      </w:tr>
      <w:tr w:rsidR="000B6E98" w14:paraId="1B3E6505" w14:textId="77777777">
        <w:trPr>
          <w:trHeight w:hRule="exact" w:val="453"/>
        </w:trPr>
        <w:tc>
          <w:tcPr>
            <w:tcW w:w="3550"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692F79F" w14:textId="77777777" w:rsidR="000B6E98" w:rsidRDefault="008A7A17">
            <w:pPr>
              <w:spacing w:after="0"/>
              <w:jc w:val="right"/>
              <w:rPr>
                <w:rFonts w:ascii="Tahoma" w:eastAsia="Times New Roman" w:hAnsi="Tahoma"/>
                <w:sz w:val="20"/>
                <w:szCs w:val="24"/>
              </w:rPr>
            </w:pPr>
            <w:r>
              <w:rPr>
                <w:rFonts w:ascii="Tahoma" w:eastAsia="Times New Roman" w:hAnsi="Tahoma"/>
                <w:b/>
                <w:sz w:val="20"/>
                <w:szCs w:val="24"/>
              </w:rPr>
              <w:t>Totale dei Lavori</w:t>
            </w:r>
          </w:p>
        </w:tc>
        <w:tc>
          <w:tcPr>
            <w:tcW w:w="234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F32644C" w14:textId="4800F129" w:rsidR="000B6E98" w:rsidRDefault="008A7A17">
            <w:pPr>
              <w:spacing w:after="0"/>
              <w:jc w:val="center"/>
              <w:rPr>
                <w:rFonts w:ascii="Tahoma" w:eastAsia="Times New Roman" w:hAnsi="Tahoma"/>
                <w:sz w:val="20"/>
                <w:szCs w:val="24"/>
              </w:rPr>
            </w:pPr>
            <w:r>
              <w:rPr>
                <w:rFonts w:ascii="Tahoma" w:eastAsia="Times New Roman" w:hAnsi="Tahoma"/>
                <w:b/>
                <w:sz w:val="20"/>
                <w:szCs w:val="24"/>
              </w:rPr>
              <w:t xml:space="preserve">Euro </w:t>
            </w:r>
            <w:r w:rsidR="002007C5" w:rsidRPr="002007C5">
              <w:rPr>
                <w:rFonts w:ascii="Tahoma" w:eastAsia="Times New Roman" w:hAnsi="Tahoma"/>
                <w:b/>
                <w:bCs/>
                <w:sz w:val="20"/>
                <w:szCs w:val="24"/>
              </w:rPr>
              <w:t>67'</w:t>
            </w:r>
            <w:r w:rsidR="000362C1">
              <w:rPr>
                <w:rFonts w:ascii="Tahoma" w:eastAsia="Times New Roman" w:hAnsi="Tahoma"/>
                <w:b/>
                <w:bCs/>
                <w:sz w:val="20"/>
                <w:szCs w:val="24"/>
              </w:rPr>
              <w:t>54</w:t>
            </w:r>
            <w:r w:rsidR="00046DE6">
              <w:rPr>
                <w:rFonts w:ascii="Tahoma" w:eastAsia="Times New Roman" w:hAnsi="Tahoma"/>
                <w:b/>
                <w:bCs/>
                <w:sz w:val="20"/>
                <w:szCs w:val="24"/>
              </w:rPr>
              <w:t>4</w:t>
            </w:r>
            <w:r w:rsidR="002007C5" w:rsidRPr="002007C5">
              <w:rPr>
                <w:rFonts w:ascii="Tahoma" w:eastAsia="Times New Roman" w:hAnsi="Tahoma"/>
                <w:b/>
                <w:bCs/>
                <w:sz w:val="20"/>
                <w:szCs w:val="24"/>
              </w:rPr>
              <w:t>,</w:t>
            </w:r>
            <w:r w:rsidR="000362C1">
              <w:rPr>
                <w:rFonts w:ascii="Tahoma" w:eastAsia="Times New Roman" w:hAnsi="Tahoma"/>
                <w:b/>
                <w:bCs/>
                <w:sz w:val="20"/>
                <w:szCs w:val="24"/>
              </w:rPr>
              <w:t>99</w:t>
            </w:r>
          </w:p>
        </w:tc>
      </w:tr>
      <w:tr w:rsidR="000B6E98" w14:paraId="620B229B" w14:textId="77777777">
        <w:trPr>
          <w:trHeight w:hRule="exact" w:val="453"/>
        </w:trPr>
        <w:tc>
          <w:tcPr>
            <w:tcW w:w="3550"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3B62724" w14:textId="77777777" w:rsidR="000B6E98" w:rsidRDefault="008A7A17">
            <w:pPr>
              <w:spacing w:after="0"/>
              <w:jc w:val="right"/>
              <w:rPr>
                <w:rFonts w:ascii="Tahoma" w:eastAsia="Times New Roman" w:hAnsi="Tahoma"/>
                <w:sz w:val="16"/>
                <w:szCs w:val="24"/>
              </w:rPr>
            </w:pPr>
            <w:r>
              <w:rPr>
                <w:rFonts w:ascii="Tahoma" w:eastAsia="Times New Roman" w:hAnsi="Tahoma"/>
                <w:i/>
                <w:sz w:val="20"/>
                <w:szCs w:val="24"/>
              </w:rPr>
              <w:t>di cui per costi della sicurezza</w:t>
            </w:r>
          </w:p>
        </w:tc>
        <w:tc>
          <w:tcPr>
            <w:tcW w:w="2343"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E085E01" w14:textId="4D87A667" w:rsidR="000B6E98" w:rsidRPr="009C2813" w:rsidRDefault="008A7A17">
            <w:pPr>
              <w:spacing w:after="0"/>
              <w:jc w:val="center"/>
              <w:rPr>
                <w:rFonts w:ascii="Tahoma" w:eastAsia="Times New Roman" w:hAnsi="Tahoma"/>
                <w:i/>
                <w:iCs/>
                <w:sz w:val="16"/>
                <w:szCs w:val="24"/>
              </w:rPr>
            </w:pPr>
            <w:r w:rsidRPr="009C2813">
              <w:rPr>
                <w:rFonts w:ascii="Tahoma" w:eastAsia="Times New Roman" w:hAnsi="Tahoma"/>
                <w:i/>
                <w:iCs/>
                <w:sz w:val="20"/>
                <w:szCs w:val="24"/>
              </w:rPr>
              <w:t xml:space="preserve">Euro </w:t>
            </w:r>
            <w:r w:rsidR="002007C5" w:rsidRPr="009C2813">
              <w:rPr>
                <w:rFonts w:ascii="Tahoma" w:eastAsia="Times New Roman" w:hAnsi="Tahoma"/>
                <w:i/>
                <w:iCs/>
                <w:sz w:val="20"/>
                <w:szCs w:val="24"/>
              </w:rPr>
              <w:t>2'</w:t>
            </w:r>
            <w:r w:rsidR="000362C1" w:rsidRPr="009C2813">
              <w:rPr>
                <w:rFonts w:ascii="Tahoma" w:eastAsia="Times New Roman" w:hAnsi="Tahoma"/>
                <w:i/>
                <w:iCs/>
                <w:sz w:val="20"/>
                <w:szCs w:val="24"/>
              </w:rPr>
              <w:t>2</w:t>
            </w:r>
            <w:r w:rsidR="009C2813" w:rsidRPr="009C2813">
              <w:rPr>
                <w:rFonts w:ascii="Tahoma" w:eastAsia="Times New Roman" w:hAnsi="Tahoma"/>
                <w:i/>
                <w:iCs/>
                <w:sz w:val="20"/>
                <w:szCs w:val="24"/>
              </w:rPr>
              <w:t>94</w:t>
            </w:r>
            <w:r w:rsidR="002007C5" w:rsidRPr="009C2813">
              <w:rPr>
                <w:rFonts w:ascii="Tahoma" w:eastAsia="Times New Roman" w:hAnsi="Tahoma"/>
                <w:i/>
                <w:iCs/>
                <w:sz w:val="20"/>
                <w:szCs w:val="24"/>
              </w:rPr>
              <w:t>,</w:t>
            </w:r>
            <w:r w:rsidR="009C2813" w:rsidRPr="009C2813">
              <w:rPr>
                <w:rFonts w:ascii="Tahoma" w:eastAsia="Times New Roman" w:hAnsi="Tahoma"/>
                <w:i/>
                <w:iCs/>
                <w:sz w:val="20"/>
                <w:szCs w:val="24"/>
              </w:rPr>
              <w:t>78</w:t>
            </w:r>
          </w:p>
        </w:tc>
      </w:tr>
    </w:tbl>
    <w:p w14:paraId="603B70C5" w14:textId="77777777" w:rsidR="000B6E98" w:rsidRDefault="000B6E98">
      <w:pPr>
        <w:spacing w:after="0"/>
        <w:ind w:firstLine="284"/>
        <w:rPr>
          <w:rFonts w:ascii="Tahoma" w:eastAsia="Times New Roman" w:hAnsi="Tahoma"/>
          <w:sz w:val="20"/>
          <w:szCs w:val="24"/>
        </w:rPr>
      </w:pPr>
    </w:p>
    <w:p w14:paraId="636214F3" w14:textId="5F51F5D0" w:rsidR="000B6E98" w:rsidRDefault="008A7A17">
      <w:pPr>
        <w:spacing w:after="0"/>
        <w:ind w:firstLine="284"/>
        <w:rPr>
          <w:rFonts w:ascii="Tahoma" w:eastAsia="Times New Roman" w:hAnsi="Tahoma"/>
          <w:color w:val="0000FF"/>
          <w:sz w:val="20"/>
          <w:szCs w:val="24"/>
        </w:rPr>
      </w:pPr>
      <w:r>
        <w:rPr>
          <w:rFonts w:ascii="Tahoma" w:eastAsia="Times New Roman" w:hAnsi="Tahoma"/>
          <w:sz w:val="20"/>
          <w:szCs w:val="24"/>
        </w:rPr>
        <w:t xml:space="preserve">La stazione appaltante al fine di determinare l'importo di gara, ha inoltre individuato i costi della manodopera sulla base di quanto previsto all'articolo 23, comma 16 del d.lgs. 50/2016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per un totale di: </w:t>
      </w:r>
      <w:r w:rsidR="009779A8">
        <w:rPr>
          <w:rFonts w:ascii="Tahoma" w:eastAsia="Times New Roman" w:hAnsi="Tahoma"/>
          <w:sz w:val="20"/>
          <w:szCs w:val="24"/>
        </w:rPr>
        <w:t xml:space="preserve">€ </w:t>
      </w:r>
      <w:r w:rsidR="008C61D6">
        <w:rPr>
          <w:rFonts w:ascii="Tahoma" w:eastAsia="Times New Roman" w:hAnsi="Tahoma"/>
          <w:sz w:val="20"/>
          <w:szCs w:val="24"/>
        </w:rPr>
        <w:t>9</w:t>
      </w:r>
      <w:r w:rsidR="00046DE6">
        <w:rPr>
          <w:rFonts w:ascii="Tahoma" w:eastAsia="Times New Roman" w:hAnsi="Tahoma"/>
          <w:bCs/>
          <w:color w:val="000000"/>
          <w:sz w:val="20"/>
          <w:szCs w:val="24"/>
        </w:rPr>
        <w:t>'</w:t>
      </w:r>
      <w:r w:rsidR="008C61D6">
        <w:rPr>
          <w:rFonts w:ascii="Tahoma" w:eastAsia="Times New Roman" w:hAnsi="Tahoma"/>
          <w:bCs/>
          <w:color w:val="000000"/>
          <w:sz w:val="20"/>
          <w:szCs w:val="24"/>
        </w:rPr>
        <w:t>441</w:t>
      </w:r>
      <w:r w:rsidR="00D96EDC">
        <w:rPr>
          <w:rFonts w:ascii="Tahoma" w:eastAsia="Times New Roman" w:hAnsi="Tahoma"/>
          <w:bCs/>
          <w:color w:val="000000"/>
          <w:sz w:val="20"/>
          <w:szCs w:val="24"/>
        </w:rPr>
        <w:t>,</w:t>
      </w:r>
      <w:r w:rsidR="008C61D6">
        <w:rPr>
          <w:rFonts w:ascii="Tahoma" w:eastAsia="Times New Roman" w:hAnsi="Tahoma"/>
          <w:bCs/>
          <w:color w:val="000000"/>
          <w:sz w:val="20"/>
          <w:szCs w:val="24"/>
        </w:rPr>
        <w:t>01</w:t>
      </w:r>
      <w:r w:rsidRPr="009779A8">
        <w:rPr>
          <w:rFonts w:ascii="Tahoma" w:eastAsia="Times New Roman" w:hAnsi="Tahoma"/>
          <w:bCs/>
          <w:color w:val="0000FF"/>
          <w:sz w:val="20"/>
          <w:szCs w:val="24"/>
        </w:rPr>
        <w:t>.</w:t>
      </w:r>
    </w:p>
    <w:p w14:paraId="44CA90E2" w14:textId="77777777" w:rsidR="000B6E98" w:rsidRDefault="000B6E98">
      <w:pPr>
        <w:spacing w:after="0"/>
        <w:ind w:firstLine="284"/>
        <w:rPr>
          <w:rFonts w:ascii="Tahoma" w:eastAsia="Times New Roman" w:hAnsi="Tahoma"/>
          <w:color w:val="0000FF"/>
          <w:sz w:val="20"/>
          <w:szCs w:val="24"/>
        </w:rPr>
      </w:pPr>
    </w:p>
    <w:p w14:paraId="2A250971" w14:textId="77777777" w:rsidR="000B6E98" w:rsidRDefault="000B6E98">
      <w:pPr>
        <w:spacing w:after="0"/>
        <w:ind w:firstLine="284"/>
        <w:rPr>
          <w:rFonts w:ascii="Tahoma" w:eastAsia="Times New Roman" w:hAnsi="Tahoma"/>
          <w:sz w:val="20"/>
          <w:szCs w:val="24"/>
        </w:rPr>
      </w:pPr>
    </w:p>
    <w:p w14:paraId="69E7F7A2" w14:textId="4DEBEFAF" w:rsidR="000B6E98" w:rsidRDefault="008A7A17">
      <w:pPr>
        <w:spacing w:after="0"/>
        <w:jc w:val="center"/>
        <w:rPr>
          <w:rFonts w:ascii="Tahoma" w:eastAsia="Times New Roman" w:hAnsi="Tahoma"/>
          <w:b/>
          <w:sz w:val="20"/>
          <w:szCs w:val="24"/>
        </w:rPr>
      </w:pPr>
      <w:r>
        <w:rPr>
          <w:sz w:val="24"/>
          <w:szCs w:val="24"/>
        </w:rPr>
        <w:br w:type="page"/>
      </w:r>
      <w:r>
        <w:rPr>
          <w:rFonts w:ascii="Times New Roman" w:eastAsia="Times New Roman" w:hAnsi="Times New Roman"/>
          <w:vanish/>
          <w:color w:val="000000"/>
          <w:sz w:val="14"/>
          <w:szCs w:val="24"/>
        </w:rPr>
        <w:lastRenderedPageBreak/>
        <w:t>#{GUID_BD40B356-2ABD-431D-8BC8-AD0E26BFADF9|LIVELLO_3|TESTO_Quadro economico_END}&amp;</w:t>
      </w:r>
      <w:bookmarkStart w:id="3" w:name="4225"/>
      <w:bookmarkEnd w:id="3"/>
      <w:r>
        <w:rPr>
          <w:rFonts w:ascii="Tahoma" w:eastAsia="Times New Roman" w:hAnsi="Tahoma"/>
          <w:b/>
          <w:sz w:val="20"/>
          <w:szCs w:val="24"/>
        </w:rPr>
        <w:t>Art 1.</w:t>
      </w:r>
      <w:r w:rsidR="00FA4621">
        <w:rPr>
          <w:rFonts w:ascii="Tahoma" w:eastAsia="Times New Roman" w:hAnsi="Tahoma"/>
          <w:b/>
          <w:sz w:val="20"/>
          <w:szCs w:val="24"/>
        </w:rPr>
        <w:t>3</w:t>
      </w:r>
    </w:p>
    <w:p w14:paraId="0313FBEA"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QUADRO ECONOMICO GENERALE</w:t>
      </w:r>
    </w:p>
    <w:p w14:paraId="30B3EF5D" w14:textId="77777777" w:rsidR="000B6E98" w:rsidRDefault="000B6E98">
      <w:pPr>
        <w:pBdr>
          <w:bottom w:val="single" w:sz="6" w:space="0" w:color="auto"/>
        </w:pBdr>
        <w:spacing w:after="0"/>
        <w:jc w:val="left"/>
        <w:rPr>
          <w:rFonts w:ascii="Tahoma" w:eastAsia="Times New Roman" w:hAnsi="Tahoma"/>
          <w:b/>
          <w:color w:val="000000"/>
          <w:sz w:val="24"/>
          <w:szCs w:val="24"/>
        </w:rPr>
      </w:pPr>
    </w:p>
    <w:p w14:paraId="01F294D7" w14:textId="77777777" w:rsidR="000B6E98" w:rsidRDefault="000B6E98">
      <w:pPr>
        <w:spacing w:after="0"/>
        <w:jc w:val="left"/>
        <w:rPr>
          <w:rFonts w:ascii="Tahoma" w:eastAsia="Times New Roman" w:hAnsi="Tahoma"/>
          <w:b/>
          <w:color w:val="000000"/>
          <w:sz w:val="24"/>
          <w:szCs w:val="24"/>
        </w:rPr>
      </w:pPr>
    </w:p>
    <w:tbl>
      <w:tblPr>
        <w:tblW w:w="10120" w:type="dxa"/>
        <w:tblCellMar>
          <w:left w:w="70" w:type="dxa"/>
          <w:right w:w="70" w:type="dxa"/>
        </w:tblCellMar>
        <w:tblLook w:val="04A0" w:firstRow="1" w:lastRow="0" w:firstColumn="1" w:lastColumn="0" w:noHBand="0" w:noVBand="1"/>
      </w:tblPr>
      <w:tblGrid>
        <w:gridCol w:w="600"/>
        <w:gridCol w:w="5940"/>
        <w:gridCol w:w="1540"/>
        <w:gridCol w:w="250"/>
        <w:gridCol w:w="1540"/>
        <w:gridCol w:w="250"/>
      </w:tblGrid>
      <w:tr w:rsidR="00B0209B" w:rsidRPr="00B0209B" w14:paraId="30F18D6B" w14:textId="77777777" w:rsidTr="00B0209B">
        <w:trPr>
          <w:trHeight w:val="510"/>
        </w:trPr>
        <w:tc>
          <w:tcPr>
            <w:tcW w:w="6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6B46B06"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A</w:t>
            </w:r>
          </w:p>
        </w:tc>
        <w:tc>
          <w:tcPr>
            <w:tcW w:w="5960" w:type="dxa"/>
            <w:tcBorders>
              <w:top w:val="single" w:sz="4" w:space="0" w:color="auto"/>
              <w:left w:val="nil"/>
              <w:bottom w:val="single" w:sz="4" w:space="0" w:color="auto"/>
              <w:right w:val="nil"/>
            </w:tcBorders>
            <w:shd w:val="clear" w:color="000000" w:fill="D9D9D9"/>
            <w:vAlign w:val="center"/>
            <w:hideMark/>
          </w:tcPr>
          <w:p w14:paraId="127A932F"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IMPORTO COMPLESSIVO DEI LAVORI + SICUREZZA</w:t>
            </w:r>
          </w:p>
        </w:tc>
        <w:tc>
          <w:tcPr>
            <w:tcW w:w="1540" w:type="dxa"/>
            <w:tcBorders>
              <w:top w:val="single" w:sz="4" w:space="0" w:color="auto"/>
              <w:left w:val="nil"/>
              <w:bottom w:val="single" w:sz="4" w:space="0" w:color="auto"/>
              <w:right w:val="nil"/>
            </w:tcBorders>
            <w:shd w:val="clear" w:color="000000" w:fill="D9D9D9"/>
            <w:noWrap/>
            <w:vAlign w:val="center"/>
            <w:hideMark/>
          </w:tcPr>
          <w:p w14:paraId="036D28ED"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i/>
                <w:iCs/>
                <w:color w:val="000000"/>
              </w:rPr>
            </w:pPr>
            <w:r w:rsidRPr="00B0209B">
              <w:rPr>
                <w:rFonts w:ascii="Times New Roman" w:eastAsia="Times New Roman" w:hAnsi="Times New Roman" w:cs="Times New Roman"/>
                <w:i/>
                <w:iCs/>
                <w:color w:val="000000"/>
              </w:rPr>
              <w:t>(A1+A2+A3)</w:t>
            </w:r>
          </w:p>
        </w:tc>
        <w:tc>
          <w:tcPr>
            <w:tcW w:w="240" w:type="dxa"/>
            <w:tcBorders>
              <w:top w:val="single" w:sz="4" w:space="0" w:color="auto"/>
              <w:left w:val="nil"/>
              <w:bottom w:val="single" w:sz="4" w:space="0" w:color="auto"/>
              <w:right w:val="single" w:sz="4" w:space="0" w:color="auto"/>
            </w:tcBorders>
            <w:shd w:val="clear" w:color="000000" w:fill="D9D9D9"/>
            <w:noWrap/>
            <w:vAlign w:val="center"/>
            <w:hideMark/>
          </w:tcPr>
          <w:p w14:paraId="0DC7BE14"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1540" w:type="dxa"/>
            <w:tcBorders>
              <w:top w:val="single" w:sz="4" w:space="0" w:color="auto"/>
              <w:left w:val="nil"/>
              <w:bottom w:val="single" w:sz="4" w:space="0" w:color="auto"/>
              <w:right w:val="nil"/>
            </w:tcBorders>
            <w:shd w:val="clear" w:color="000000" w:fill="D9D9D9"/>
            <w:noWrap/>
            <w:vAlign w:val="center"/>
            <w:hideMark/>
          </w:tcPr>
          <w:p w14:paraId="42D3BEA9"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67 544,99</w:t>
            </w:r>
          </w:p>
        </w:tc>
        <w:tc>
          <w:tcPr>
            <w:tcW w:w="240" w:type="dxa"/>
            <w:tcBorders>
              <w:top w:val="single" w:sz="4" w:space="0" w:color="auto"/>
              <w:left w:val="nil"/>
              <w:bottom w:val="single" w:sz="4" w:space="0" w:color="auto"/>
              <w:right w:val="single" w:sz="4" w:space="0" w:color="auto"/>
            </w:tcBorders>
            <w:shd w:val="clear" w:color="000000" w:fill="D9D9D9"/>
            <w:noWrap/>
            <w:vAlign w:val="center"/>
            <w:hideMark/>
          </w:tcPr>
          <w:p w14:paraId="5046387A"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w:t>
            </w:r>
          </w:p>
        </w:tc>
      </w:tr>
      <w:tr w:rsidR="00B0209B" w:rsidRPr="00B0209B" w14:paraId="62AE7301"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3DCB0755"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A1</w:t>
            </w:r>
          </w:p>
        </w:tc>
        <w:tc>
          <w:tcPr>
            <w:tcW w:w="5960" w:type="dxa"/>
            <w:tcBorders>
              <w:top w:val="nil"/>
              <w:left w:val="nil"/>
              <w:bottom w:val="single" w:sz="4" w:space="0" w:color="auto"/>
              <w:right w:val="nil"/>
            </w:tcBorders>
            <w:shd w:val="clear" w:color="auto" w:fill="auto"/>
            <w:vAlign w:val="center"/>
            <w:hideMark/>
          </w:tcPr>
          <w:p w14:paraId="30E509F8"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xml:space="preserve">Importo complessivo dei lavori </w:t>
            </w:r>
            <w:r w:rsidRPr="00B0209B">
              <w:rPr>
                <w:rFonts w:ascii="Times New Roman" w:eastAsia="Times New Roman" w:hAnsi="Times New Roman" w:cs="Times New Roman"/>
                <w:color w:val="000000"/>
              </w:rPr>
              <w:t>(A1.1+A1.2)</w:t>
            </w:r>
          </w:p>
        </w:tc>
        <w:tc>
          <w:tcPr>
            <w:tcW w:w="1540" w:type="dxa"/>
            <w:tcBorders>
              <w:top w:val="nil"/>
              <w:left w:val="nil"/>
              <w:bottom w:val="single" w:sz="4" w:space="0" w:color="auto"/>
              <w:right w:val="nil"/>
            </w:tcBorders>
            <w:shd w:val="clear" w:color="auto" w:fill="auto"/>
            <w:noWrap/>
            <w:vAlign w:val="center"/>
            <w:hideMark/>
          </w:tcPr>
          <w:p w14:paraId="5DBC2A83"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65 250,21</w:t>
            </w:r>
          </w:p>
        </w:tc>
        <w:tc>
          <w:tcPr>
            <w:tcW w:w="240" w:type="dxa"/>
            <w:tcBorders>
              <w:top w:val="nil"/>
              <w:left w:val="nil"/>
              <w:bottom w:val="single" w:sz="4" w:space="0" w:color="auto"/>
              <w:right w:val="single" w:sz="4" w:space="0" w:color="auto"/>
            </w:tcBorders>
            <w:shd w:val="clear" w:color="auto" w:fill="auto"/>
            <w:noWrap/>
            <w:vAlign w:val="center"/>
            <w:hideMark/>
          </w:tcPr>
          <w:p w14:paraId="16B7BF01"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w:t>
            </w:r>
          </w:p>
        </w:tc>
        <w:tc>
          <w:tcPr>
            <w:tcW w:w="1540" w:type="dxa"/>
            <w:tcBorders>
              <w:top w:val="nil"/>
              <w:left w:val="nil"/>
              <w:bottom w:val="nil"/>
              <w:right w:val="nil"/>
            </w:tcBorders>
            <w:shd w:val="clear" w:color="auto" w:fill="auto"/>
            <w:noWrap/>
            <w:vAlign w:val="center"/>
            <w:hideMark/>
          </w:tcPr>
          <w:p w14:paraId="222753EB"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c>
          <w:tcPr>
            <w:tcW w:w="240" w:type="dxa"/>
            <w:tcBorders>
              <w:top w:val="nil"/>
              <w:left w:val="nil"/>
              <w:bottom w:val="nil"/>
              <w:right w:val="single" w:sz="4" w:space="0" w:color="auto"/>
            </w:tcBorders>
            <w:shd w:val="clear" w:color="auto" w:fill="auto"/>
            <w:noWrap/>
            <w:vAlign w:val="center"/>
            <w:hideMark/>
          </w:tcPr>
          <w:p w14:paraId="59CB2DF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r>
      <w:tr w:rsidR="00B0209B" w:rsidRPr="00B0209B" w14:paraId="6FEE5490"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597EE240"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A1.1</w:t>
            </w:r>
          </w:p>
        </w:tc>
        <w:tc>
          <w:tcPr>
            <w:tcW w:w="5960" w:type="dxa"/>
            <w:tcBorders>
              <w:top w:val="nil"/>
              <w:left w:val="nil"/>
              <w:bottom w:val="single" w:sz="4" w:space="0" w:color="auto"/>
              <w:right w:val="nil"/>
            </w:tcBorders>
            <w:shd w:val="clear" w:color="auto" w:fill="auto"/>
            <w:vAlign w:val="center"/>
            <w:hideMark/>
          </w:tcPr>
          <w:p w14:paraId="73BA98DF"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Importo lavori desunto da computo metrico</w:t>
            </w:r>
          </w:p>
        </w:tc>
        <w:tc>
          <w:tcPr>
            <w:tcW w:w="1540" w:type="dxa"/>
            <w:tcBorders>
              <w:top w:val="nil"/>
              <w:left w:val="nil"/>
              <w:bottom w:val="single" w:sz="4" w:space="0" w:color="auto"/>
              <w:right w:val="nil"/>
            </w:tcBorders>
            <w:shd w:val="clear" w:color="auto" w:fill="auto"/>
            <w:noWrap/>
            <w:vAlign w:val="center"/>
            <w:hideMark/>
          </w:tcPr>
          <w:p w14:paraId="5887AB3B"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64 159,50</w:t>
            </w:r>
          </w:p>
        </w:tc>
        <w:tc>
          <w:tcPr>
            <w:tcW w:w="240" w:type="dxa"/>
            <w:tcBorders>
              <w:top w:val="nil"/>
              <w:left w:val="nil"/>
              <w:bottom w:val="single" w:sz="4" w:space="0" w:color="auto"/>
              <w:right w:val="single" w:sz="4" w:space="0" w:color="auto"/>
            </w:tcBorders>
            <w:shd w:val="clear" w:color="auto" w:fill="auto"/>
            <w:noWrap/>
            <w:vAlign w:val="center"/>
            <w:hideMark/>
          </w:tcPr>
          <w:p w14:paraId="67C0D8F6"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w:t>
            </w:r>
          </w:p>
        </w:tc>
        <w:tc>
          <w:tcPr>
            <w:tcW w:w="1540" w:type="dxa"/>
            <w:tcBorders>
              <w:top w:val="nil"/>
              <w:left w:val="nil"/>
              <w:bottom w:val="nil"/>
              <w:right w:val="nil"/>
            </w:tcBorders>
            <w:shd w:val="clear" w:color="auto" w:fill="auto"/>
            <w:noWrap/>
            <w:vAlign w:val="center"/>
            <w:hideMark/>
          </w:tcPr>
          <w:p w14:paraId="6C505019"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c>
          <w:tcPr>
            <w:tcW w:w="240" w:type="dxa"/>
            <w:tcBorders>
              <w:top w:val="nil"/>
              <w:left w:val="nil"/>
              <w:bottom w:val="nil"/>
              <w:right w:val="single" w:sz="4" w:space="0" w:color="auto"/>
            </w:tcBorders>
            <w:shd w:val="clear" w:color="auto" w:fill="auto"/>
            <w:noWrap/>
            <w:vAlign w:val="center"/>
            <w:hideMark/>
          </w:tcPr>
          <w:p w14:paraId="601DBD26"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r>
      <w:tr w:rsidR="00B0209B" w:rsidRPr="00B0209B" w14:paraId="324F2B2F"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252EF886"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A1.2</w:t>
            </w:r>
          </w:p>
        </w:tc>
        <w:tc>
          <w:tcPr>
            <w:tcW w:w="5960" w:type="dxa"/>
            <w:tcBorders>
              <w:top w:val="nil"/>
              <w:left w:val="nil"/>
              <w:bottom w:val="single" w:sz="4" w:space="0" w:color="auto"/>
              <w:right w:val="nil"/>
            </w:tcBorders>
            <w:shd w:val="clear" w:color="auto" w:fill="auto"/>
            <w:vAlign w:val="center"/>
            <w:hideMark/>
          </w:tcPr>
          <w:p w14:paraId="1600E8DA"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Incremento per coefficiente moltiplicatore dell'1,017 di cui ai punti 8 e 9 della D.G.R. 1335 del 22/12/2021 (A1.1)</w:t>
            </w:r>
          </w:p>
        </w:tc>
        <w:tc>
          <w:tcPr>
            <w:tcW w:w="1540" w:type="dxa"/>
            <w:tcBorders>
              <w:top w:val="nil"/>
              <w:left w:val="nil"/>
              <w:bottom w:val="single" w:sz="4" w:space="0" w:color="auto"/>
              <w:right w:val="nil"/>
            </w:tcBorders>
            <w:shd w:val="clear" w:color="auto" w:fill="auto"/>
            <w:noWrap/>
            <w:vAlign w:val="center"/>
            <w:hideMark/>
          </w:tcPr>
          <w:p w14:paraId="3BF1A134"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1 090,71</w:t>
            </w:r>
          </w:p>
        </w:tc>
        <w:tc>
          <w:tcPr>
            <w:tcW w:w="240" w:type="dxa"/>
            <w:tcBorders>
              <w:top w:val="nil"/>
              <w:left w:val="nil"/>
              <w:bottom w:val="single" w:sz="4" w:space="0" w:color="auto"/>
              <w:right w:val="single" w:sz="4" w:space="0" w:color="auto"/>
            </w:tcBorders>
            <w:shd w:val="clear" w:color="auto" w:fill="auto"/>
            <w:noWrap/>
            <w:vAlign w:val="center"/>
            <w:hideMark/>
          </w:tcPr>
          <w:p w14:paraId="3FC20F99"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w:t>
            </w:r>
          </w:p>
        </w:tc>
        <w:tc>
          <w:tcPr>
            <w:tcW w:w="1540" w:type="dxa"/>
            <w:tcBorders>
              <w:top w:val="nil"/>
              <w:left w:val="nil"/>
              <w:bottom w:val="nil"/>
              <w:right w:val="nil"/>
            </w:tcBorders>
            <w:shd w:val="clear" w:color="auto" w:fill="auto"/>
            <w:noWrap/>
            <w:vAlign w:val="center"/>
            <w:hideMark/>
          </w:tcPr>
          <w:p w14:paraId="12DD33E8"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c>
          <w:tcPr>
            <w:tcW w:w="240" w:type="dxa"/>
            <w:tcBorders>
              <w:top w:val="nil"/>
              <w:left w:val="nil"/>
              <w:bottom w:val="nil"/>
              <w:right w:val="single" w:sz="4" w:space="0" w:color="auto"/>
            </w:tcBorders>
            <w:shd w:val="clear" w:color="auto" w:fill="auto"/>
            <w:noWrap/>
            <w:vAlign w:val="center"/>
            <w:hideMark/>
          </w:tcPr>
          <w:p w14:paraId="4B1CFE28"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r>
      <w:tr w:rsidR="00B0209B" w:rsidRPr="00B0209B" w14:paraId="7211CE40"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22387E1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A1.3</w:t>
            </w:r>
          </w:p>
        </w:tc>
        <w:tc>
          <w:tcPr>
            <w:tcW w:w="5960" w:type="dxa"/>
            <w:tcBorders>
              <w:top w:val="nil"/>
              <w:left w:val="nil"/>
              <w:bottom w:val="single" w:sz="4" w:space="0" w:color="auto"/>
              <w:right w:val="nil"/>
            </w:tcBorders>
            <w:shd w:val="clear" w:color="auto" w:fill="auto"/>
            <w:vAlign w:val="center"/>
            <w:hideMark/>
          </w:tcPr>
          <w:p w14:paraId="6C4943C4"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di cui per costi della manodopera</w:t>
            </w:r>
          </w:p>
        </w:tc>
        <w:tc>
          <w:tcPr>
            <w:tcW w:w="1540" w:type="dxa"/>
            <w:tcBorders>
              <w:top w:val="nil"/>
              <w:left w:val="nil"/>
              <w:bottom w:val="single" w:sz="4" w:space="0" w:color="auto"/>
              <w:right w:val="nil"/>
            </w:tcBorders>
            <w:shd w:val="clear" w:color="auto" w:fill="auto"/>
            <w:noWrap/>
            <w:vAlign w:val="center"/>
            <w:hideMark/>
          </w:tcPr>
          <w:p w14:paraId="51B99E21"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9 441,01</w:t>
            </w:r>
          </w:p>
        </w:tc>
        <w:tc>
          <w:tcPr>
            <w:tcW w:w="240" w:type="dxa"/>
            <w:tcBorders>
              <w:top w:val="nil"/>
              <w:left w:val="nil"/>
              <w:bottom w:val="single" w:sz="4" w:space="0" w:color="auto"/>
              <w:right w:val="single" w:sz="4" w:space="0" w:color="auto"/>
            </w:tcBorders>
            <w:shd w:val="clear" w:color="auto" w:fill="auto"/>
            <w:noWrap/>
            <w:vAlign w:val="center"/>
            <w:hideMark/>
          </w:tcPr>
          <w:p w14:paraId="58F42F6E"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w:t>
            </w:r>
          </w:p>
        </w:tc>
        <w:tc>
          <w:tcPr>
            <w:tcW w:w="1540" w:type="dxa"/>
            <w:tcBorders>
              <w:top w:val="nil"/>
              <w:left w:val="nil"/>
              <w:bottom w:val="nil"/>
              <w:right w:val="nil"/>
            </w:tcBorders>
            <w:shd w:val="clear" w:color="auto" w:fill="auto"/>
            <w:noWrap/>
            <w:vAlign w:val="center"/>
            <w:hideMark/>
          </w:tcPr>
          <w:p w14:paraId="2ACC67D4"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c>
          <w:tcPr>
            <w:tcW w:w="240" w:type="dxa"/>
            <w:tcBorders>
              <w:top w:val="nil"/>
              <w:left w:val="nil"/>
              <w:bottom w:val="nil"/>
              <w:right w:val="single" w:sz="4" w:space="0" w:color="auto"/>
            </w:tcBorders>
            <w:shd w:val="clear" w:color="auto" w:fill="auto"/>
            <w:noWrap/>
            <w:vAlign w:val="center"/>
            <w:hideMark/>
          </w:tcPr>
          <w:p w14:paraId="7EB7F3D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r>
      <w:tr w:rsidR="00B0209B" w:rsidRPr="00B0209B" w14:paraId="27F31980"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30225CF8"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A1.4</w:t>
            </w:r>
          </w:p>
        </w:tc>
        <w:tc>
          <w:tcPr>
            <w:tcW w:w="5960" w:type="dxa"/>
            <w:tcBorders>
              <w:top w:val="nil"/>
              <w:left w:val="nil"/>
              <w:bottom w:val="single" w:sz="4" w:space="0" w:color="auto"/>
              <w:right w:val="nil"/>
            </w:tcBorders>
            <w:shd w:val="clear" w:color="auto" w:fill="auto"/>
            <w:vAlign w:val="center"/>
            <w:hideMark/>
          </w:tcPr>
          <w:p w14:paraId="31556957"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di cui per oneri della sicurezza</w:t>
            </w:r>
          </w:p>
        </w:tc>
        <w:tc>
          <w:tcPr>
            <w:tcW w:w="1540" w:type="dxa"/>
            <w:tcBorders>
              <w:top w:val="nil"/>
              <w:left w:val="nil"/>
              <w:bottom w:val="single" w:sz="4" w:space="0" w:color="auto"/>
              <w:right w:val="nil"/>
            </w:tcBorders>
            <w:shd w:val="clear" w:color="auto" w:fill="auto"/>
            <w:noWrap/>
            <w:vAlign w:val="center"/>
            <w:hideMark/>
          </w:tcPr>
          <w:p w14:paraId="34B700E1"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2 096,11</w:t>
            </w:r>
          </w:p>
        </w:tc>
        <w:tc>
          <w:tcPr>
            <w:tcW w:w="240" w:type="dxa"/>
            <w:tcBorders>
              <w:top w:val="nil"/>
              <w:left w:val="nil"/>
              <w:bottom w:val="single" w:sz="4" w:space="0" w:color="auto"/>
              <w:right w:val="single" w:sz="4" w:space="0" w:color="auto"/>
            </w:tcBorders>
            <w:shd w:val="clear" w:color="auto" w:fill="auto"/>
            <w:noWrap/>
            <w:vAlign w:val="center"/>
            <w:hideMark/>
          </w:tcPr>
          <w:p w14:paraId="6BA97C25"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w:t>
            </w:r>
          </w:p>
        </w:tc>
        <w:tc>
          <w:tcPr>
            <w:tcW w:w="1540" w:type="dxa"/>
            <w:tcBorders>
              <w:top w:val="nil"/>
              <w:left w:val="nil"/>
              <w:bottom w:val="nil"/>
              <w:right w:val="nil"/>
            </w:tcBorders>
            <w:shd w:val="clear" w:color="auto" w:fill="auto"/>
            <w:noWrap/>
            <w:vAlign w:val="center"/>
            <w:hideMark/>
          </w:tcPr>
          <w:p w14:paraId="600C916C"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c>
          <w:tcPr>
            <w:tcW w:w="240" w:type="dxa"/>
            <w:tcBorders>
              <w:top w:val="nil"/>
              <w:left w:val="nil"/>
              <w:bottom w:val="nil"/>
              <w:right w:val="single" w:sz="4" w:space="0" w:color="auto"/>
            </w:tcBorders>
            <w:shd w:val="clear" w:color="auto" w:fill="auto"/>
            <w:noWrap/>
            <w:vAlign w:val="center"/>
            <w:hideMark/>
          </w:tcPr>
          <w:p w14:paraId="5D33D159"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 </w:t>
            </w:r>
          </w:p>
        </w:tc>
      </w:tr>
      <w:tr w:rsidR="00B0209B" w:rsidRPr="00B0209B" w14:paraId="6AE20CC8"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342618FF"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A2</w:t>
            </w:r>
          </w:p>
        </w:tc>
        <w:tc>
          <w:tcPr>
            <w:tcW w:w="5960" w:type="dxa"/>
            <w:tcBorders>
              <w:top w:val="nil"/>
              <w:left w:val="nil"/>
              <w:bottom w:val="single" w:sz="4" w:space="0" w:color="auto"/>
              <w:right w:val="nil"/>
            </w:tcBorders>
            <w:shd w:val="clear" w:color="auto" w:fill="auto"/>
            <w:vAlign w:val="center"/>
            <w:hideMark/>
          </w:tcPr>
          <w:p w14:paraId="3499ABC7"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Costi della sicurezza</w:t>
            </w:r>
            <w:r w:rsidRPr="00B0209B">
              <w:rPr>
                <w:rFonts w:ascii="Times New Roman" w:eastAsia="Times New Roman" w:hAnsi="Times New Roman" w:cs="Times New Roman"/>
                <w:color w:val="000000"/>
              </w:rPr>
              <w:t xml:space="preserve"> (A2.1+A2.2)</w:t>
            </w:r>
          </w:p>
        </w:tc>
        <w:tc>
          <w:tcPr>
            <w:tcW w:w="1540" w:type="dxa"/>
            <w:tcBorders>
              <w:top w:val="nil"/>
              <w:left w:val="nil"/>
              <w:bottom w:val="single" w:sz="4" w:space="0" w:color="auto"/>
              <w:right w:val="nil"/>
            </w:tcBorders>
            <w:shd w:val="clear" w:color="auto" w:fill="auto"/>
            <w:noWrap/>
            <w:vAlign w:val="center"/>
            <w:hideMark/>
          </w:tcPr>
          <w:p w14:paraId="065FD387"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2 294,78</w:t>
            </w:r>
          </w:p>
        </w:tc>
        <w:tc>
          <w:tcPr>
            <w:tcW w:w="240" w:type="dxa"/>
            <w:tcBorders>
              <w:top w:val="nil"/>
              <w:left w:val="nil"/>
              <w:bottom w:val="single" w:sz="4" w:space="0" w:color="auto"/>
              <w:right w:val="single" w:sz="4" w:space="0" w:color="auto"/>
            </w:tcBorders>
            <w:shd w:val="clear" w:color="auto" w:fill="auto"/>
            <w:noWrap/>
            <w:vAlign w:val="center"/>
            <w:hideMark/>
          </w:tcPr>
          <w:p w14:paraId="25429A8A"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w:t>
            </w:r>
          </w:p>
        </w:tc>
        <w:tc>
          <w:tcPr>
            <w:tcW w:w="1540" w:type="dxa"/>
            <w:tcBorders>
              <w:top w:val="nil"/>
              <w:left w:val="nil"/>
              <w:bottom w:val="nil"/>
              <w:right w:val="nil"/>
            </w:tcBorders>
            <w:shd w:val="clear" w:color="auto" w:fill="auto"/>
            <w:noWrap/>
            <w:vAlign w:val="center"/>
            <w:hideMark/>
          </w:tcPr>
          <w:p w14:paraId="072F7854"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4327D9F9"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0CB585FC"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7D114100"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A2.1</w:t>
            </w:r>
          </w:p>
        </w:tc>
        <w:tc>
          <w:tcPr>
            <w:tcW w:w="5960" w:type="dxa"/>
            <w:tcBorders>
              <w:top w:val="nil"/>
              <w:left w:val="nil"/>
              <w:bottom w:val="single" w:sz="4" w:space="0" w:color="auto"/>
              <w:right w:val="nil"/>
            </w:tcBorders>
            <w:shd w:val="clear" w:color="auto" w:fill="auto"/>
            <w:vAlign w:val="center"/>
            <w:hideMark/>
          </w:tcPr>
          <w:p w14:paraId="19F79005"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Importo costi della sicurezza desunto da computo metrico</w:t>
            </w:r>
          </w:p>
        </w:tc>
        <w:tc>
          <w:tcPr>
            <w:tcW w:w="1540" w:type="dxa"/>
            <w:tcBorders>
              <w:top w:val="nil"/>
              <w:left w:val="nil"/>
              <w:bottom w:val="single" w:sz="4" w:space="0" w:color="auto"/>
              <w:right w:val="nil"/>
            </w:tcBorders>
            <w:shd w:val="clear" w:color="auto" w:fill="auto"/>
            <w:noWrap/>
            <w:vAlign w:val="center"/>
            <w:hideMark/>
          </w:tcPr>
          <w:p w14:paraId="495CBC66"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2 256,42</w:t>
            </w:r>
          </w:p>
        </w:tc>
        <w:tc>
          <w:tcPr>
            <w:tcW w:w="240" w:type="dxa"/>
            <w:tcBorders>
              <w:top w:val="nil"/>
              <w:left w:val="nil"/>
              <w:bottom w:val="single" w:sz="4" w:space="0" w:color="auto"/>
              <w:right w:val="single" w:sz="4" w:space="0" w:color="auto"/>
            </w:tcBorders>
            <w:shd w:val="clear" w:color="auto" w:fill="auto"/>
            <w:noWrap/>
            <w:vAlign w:val="center"/>
            <w:hideMark/>
          </w:tcPr>
          <w:p w14:paraId="05B471D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w:t>
            </w:r>
          </w:p>
        </w:tc>
        <w:tc>
          <w:tcPr>
            <w:tcW w:w="1540" w:type="dxa"/>
            <w:tcBorders>
              <w:top w:val="nil"/>
              <w:left w:val="nil"/>
              <w:bottom w:val="nil"/>
              <w:right w:val="nil"/>
            </w:tcBorders>
            <w:shd w:val="clear" w:color="auto" w:fill="auto"/>
            <w:noWrap/>
            <w:vAlign w:val="center"/>
            <w:hideMark/>
          </w:tcPr>
          <w:p w14:paraId="767F33D1"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08F3D16A"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7CB2B500"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2AE1CA0C"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A2.2</w:t>
            </w:r>
          </w:p>
        </w:tc>
        <w:tc>
          <w:tcPr>
            <w:tcW w:w="5960" w:type="dxa"/>
            <w:tcBorders>
              <w:top w:val="nil"/>
              <w:left w:val="nil"/>
              <w:bottom w:val="single" w:sz="4" w:space="0" w:color="auto"/>
              <w:right w:val="nil"/>
            </w:tcBorders>
            <w:shd w:val="clear" w:color="auto" w:fill="auto"/>
            <w:vAlign w:val="center"/>
            <w:hideMark/>
          </w:tcPr>
          <w:p w14:paraId="3310FC5C"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Incremento per coefficiente moltiplicatore dell'1,017 di cui ai punti 8 e 9 della D.G.R. 1335 del 22/12/2021 (A2.1)</w:t>
            </w:r>
          </w:p>
        </w:tc>
        <w:tc>
          <w:tcPr>
            <w:tcW w:w="1540" w:type="dxa"/>
            <w:tcBorders>
              <w:top w:val="nil"/>
              <w:left w:val="nil"/>
              <w:bottom w:val="single" w:sz="4" w:space="0" w:color="auto"/>
              <w:right w:val="nil"/>
            </w:tcBorders>
            <w:shd w:val="clear" w:color="auto" w:fill="auto"/>
            <w:noWrap/>
            <w:vAlign w:val="center"/>
            <w:hideMark/>
          </w:tcPr>
          <w:p w14:paraId="2DAE32A2"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i/>
                <w:iCs/>
                <w:color w:val="000000"/>
                <w:sz w:val="20"/>
                <w:szCs w:val="20"/>
              </w:rPr>
            </w:pPr>
            <w:r w:rsidRPr="00B0209B">
              <w:rPr>
                <w:rFonts w:ascii="Times New Roman" w:eastAsia="Times New Roman" w:hAnsi="Times New Roman" w:cs="Times New Roman"/>
                <w:i/>
                <w:iCs/>
                <w:color w:val="000000"/>
                <w:sz w:val="20"/>
                <w:szCs w:val="20"/>
              </w:rPr>
              <w:t>38,36</w:t>
            </w:r>
          </w:p>
        </w:tc>
        <w:tc>
          <w:tcPr>
            <w:tcW w:w="240" w:type="dxa"/>
            <w:tcBorders>
              <w:top w:val="nil"/>
              <w:left w:val="nil"/>
              <w:bottom w:val="single" w:sz="4" w:space="0" w:color="auto"/>
              <w:right w:val="single" w:sz="4" w:space="0" w:color="auto"/>
            </w:tcBorders>
            <w:shd w:val="clear" w:color="auto" w:fill="auto"/>
            <w:noWrap/>
            <w:vAlign w:val="center"/>
            <w:hideMark/>
          </w:tcPr>
          <w:p w14:paraId="0ED9493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sz w:val="20"/>
                <w:szCs w:val="20"/>
              </w:rPr>
            </w:pPr>
            <w:r w:rsidRPr="00B0209B">
              <w:rPr>
                <w:rFonts w:ascii="Times New Roman" w:eastAsia="Times New Roman" w:hAnsi="Times New Roman" w:cs="Times New Roman"/>
                <w:color w:val="000000"/>
                <w:sz w:val="20"/>
                <w:szCs w:val="20"/>
              </w:rPr>
              <w:t>€</w:t>
            </w:r>
          </w:p>
        </w:tc>
        <w:tc>
          <w:tcPr>
            <w:tcW w:w="1540" w:type="dxa"/>
            <w:tcBorders>
              <w:top w:val="nil"/>
              <w:left w:val="nil"/>
              <w:bottom w:val="single" w:sz="4" w:space="0" w:color="auto"/>
              <w:right w:val="nil"/>
            </w:tcBorders>
            <w:shd w:val="clear" w:color="auto" w:fill="auto"/>
            <w:noWrap/>
            <w:vAlign w:val="center"/>
            <w:hideMark/>
          </w:tcPr>
          <w:p w14:paraId="40D9BC8F"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single" w:sz="4" w:space="0" w:color="auto"/>
              <w:right w:val="single" w:sz="4" w:space="0" w:color="auto"/>
            </w:tcBorders>
            <w:shd w:val="clear" w:color="auto" w:fill="auto"/>
            <w:noWrap/>
            <w:vAlign w:val="center"/>
            <w:hideMark/>
          </w:tcPr>
          <w:p w14:paraId="7C239908"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3CB0DCD1" w14:textId="77777777" w:rsidTr="00B0209B">
        <w:trPr>
          <w:trHeight w:val="139"/>
        </w:trPr>
        <w:tc>
          <w:tcPr>
            <w:tcW w:w="1012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ED6ACD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30A26A32" w14:textId="77777777" w:rsidTr="00B0209B">
        <w:trPr>
          <w:trHeight w:val="510"/>
        </w:trPr>
        <w:tc>
          <w:tcPr>
            <w:tcW w:w="600" w:type="dxa"/>
            <w:tcBorders>
              <w:top w:val="nil"/>
              <w:left w:val="single" w:sz="4" w:space="0" w:color="auto"/>
              <w:bottom w:val="single" w:sz="4" w:space="0" w:color="auto"/>
              <w:right w:val="single" w:sz="4" w:space="0" w:color="auto"/>
            </w:tcBorders>
            <w:shd w:val="clear" w:color="000000" w:fill="D9D9D9"/>
            <w:noWrap/>
            <w:vAlign w:val="center"/>
            <w:hideMark/>
          </w:tcPr>
          <w:p w14:paraId="6814006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B</w:t>
            </w:r>
          </w:p>
        </w:tc>
        <w:tc>
          <w:tcPr>
            <w:tcW w:w="5960" w:type="dxa"/>
            <w:tcBorders>
              <w:top w:val="nil"/>
              <w:left w:val="nil"/>
              <w:bottom w:val="single" w:sz="4" w:space="0" w:color="auto"/>
              <w:right w:val="nil"/>
            </w:tcBorders>
            <w:shd w:val="clear" w:color="000000" w:fill="D9D9D9"/>
            <w:vAlign w:val="center"/>
            <w:hideMark/>
          </w:tcPr>
          <w:p w14:paraId="625FB439"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SOMME A DISPOSIZIONE DELL'AMMINISTRAZIONE</w:t>
            </w:r>
          </w:p>
        </w:tc>
        <w:tc>
          <w:tcPr>
            <w:tcW w:w="1540" w:type="dxa"/>
            <w:tcBorders>
              <w:top w:val="nil"/>
              <w:left w:val="nil"/>
              <w:bottom w:val="single" w:sz="4" w:space="0" w:color="auto"/>
              <w:right w:val="nil"/>
            </w:tcBorders>
            <w:shd w:val="clear" w:color="000000" w:fill="D9D9D9"/>
            <w:noWrap/>
            <w:vAlign w:val="center"/>
            <w:hideMark/>
          </w:tcPr>
          <w:p w14:paraId="0C91DBE2"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single" w:sz="4" w:space="0" w:color="auto"/>
              <w:right w:val="single" w:sz="4" w:space="0" w:color="auto"/>
            </w:tcBorders>
            <w:shd w:val="clear" w:color="000000" w:fill="D9D9D9"/>
            <w:noWrap/>
            <w:vAlign w:val="center"/>
            <w:hideMark/>
          </w:tcPr>
          <w:p w14:paraId="52AD132A"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1540" w:type="dxa"/>
            <w:tcBorders>
              <w:top w:val="nil"/>
              <w:left w:val="nil"/>
              <w:bottom w:val="single" w:sz="4" w:space="0" w:color="auto"/>
              <w:right w:val="nil"/>
            </w:tcBorders>
            <w:shd w:val="clear" w:color="000000" w:fill="D9D9D9"/>
            <w:noWrap/>
            <w:vAlign w:val="center"/>
            <w:hideMark/>
          </w:tcPr>
          <w:p w14:paraId="54C51696"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32 455,01</w:t>
            </w:r>
          </w:p>
        </w:tc>
        <w:tc>
          <w:tcPr>
            <w:tcW w:w="240" w:type="dxa"/>
            <w:tcBorders>
              <w:top w:val="nil"/>
              <w:left w:val="nil"/>
              <w:bottom w:val="single" w:sz="4" w:space="0" w:color="auto"/>
              <w:right w:val="single" w:sz="4" w:space="0" w:color="auto"/>
            </w:tcBorders>
            <w:shd w:val="clear" w:color="000000" w:fill="D9D9D9"/>
            <w:noWrap/>
            <w:vAlign w:val="center"/>
            <w:hideMark/>
          </w:tcPr>
          <w:p w14:paraId="28005AA6"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color w:val="000000"/>
              </w:rPr>
            </w:pPr>
            <w:r w:rsidRPr="00B0209B">
              <w:rPr>
                <w:rFonts w:ascii="Times New Roman" w:eastAsia="Times New Roman" w:hAnsi="Times New Roman" w:cs="Times New Roman"/>
                <w:b/>
                <w:bCs/>
                <w:color w:val="000000"/>
              </w:rPr>
              <w:t>€</w:t>
            </w:r>
          </w:p>
        </w:tc>
      </w:tr>
      <w:tr w:rsidR="00B0209B" w:rsidRPr="00B0209B" w14:paraId="568AE770"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61D0DC79"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w:t>
            </w:r>
          </w:p>
        </w:tc>
        <w:tc>
          <w:tcPr>
            <w:tcW w:w="5960" w:type="dxa"/>
            <w:tcBorders>
              <w:top w:val="nil"/>
              <w:left w:val="nil"/>
              <w:bottom w:val="single" w:sz="4" w:space="0" w:color="auto"/>
              <w:right w:val="nil"/>
            </w:tcBorders>
            <w:shd w:val="clear" w:color="auto" w:fill="auto"/>
            <w:vAlign w:val="center"/>
            <w:hideMark/>
          </w:tcPr>
          <w:p w14:paraId="24A705C5"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I.V.A. 10% sui lavori</w:t>
            </w:r>
          </w:p>
        </w:tc>
        <w:tc>
          <w:tcPr>
            <w:tcW w:w="1540" w:type="dxa"/>
            <w:tcBorders>
              <w:top w:val="nil"/>
              <w:left w:val="nil"/>
              <w:bottom w:val="single" w:sz="4" w:space="0" w:color="auto"/>
              <w:right w:val="nil"/>
            </w:tcBorders>
            <w:shd w:val="clear" w:color="auto" w:fill="auto"/>
            <w:noWrap/>
            <w:vAlign w:val="center"/>
            <w:hideMark/>
          </w:tcPr>
          <w:p w14:paraId="36951B0D"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6 754,50</w:t>
            </w:r>
          </w:p>
        </w:tc>
        <w:tc>
          <w:tcPr>
            <w:tcW w:w="240" w:type="dxa"/>
            <w:tcBorders>
              <w:top w:val="nil"/>
              <w:left w:val="nil"/>
              <w:bottom w:val="single" w:sz="4" w:space="0" w:color="auto"/>
              <w:right w:val="single" w:sz="4" w:space="0" w:color="auto"/>
            </w:tcBorders>
            <w:shd w:val="clear" w:color="auto" w:fill="auto"/>
            <w:noWrap/>
            <w:vAlign w:val="center"/>
            <w:hideMark/>
          </w:tcPr>
          <w:p w14:paraId="113B9C50"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36E873B1"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0EAB23D9"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584422D4"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29DDA8F4"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B2</w:t>
            </w:r>
          </w:p>
        </w:tc>
        <w:tc>
          <w:tcPr>
            <w:tcW w:w="5960" w:type="dxa"/>
            <w:tcBorders>
              <w:top w:val="nil"/>
              <w:left w:val="nil"/>
              <w:bottom w:val="single" w:sz="4" w:space="0" w:color="auto"/>
              <w:right w:val="nil"/>
            </w:tcBorders>
            <w:shd w:val="clear" w:color="auto" w:fill="auto"/>
            <w:vAlign w:val="center"/>
            <w:hideMark/>
          </w:tcPr>
          <w:p w14:paraId="37A75662"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Spese tecniche per variante urbanistica</w:t>
            </w:r>
          </w:p>
        </w:tc>
        <w:tc>
          <w:tcPr>
            <w:tcW w:w="1540" w:type="dxa"/>
            <w:tcBorders>
              <w:top w:val="nil"/>
              <w:left w:val="nil"/>
              <w:bottom w:val="single" w:sz="4" w:space="0" w:color="auto"/>
              <w:right w:val="nil"/>
            </w:tcBorders>
            <w:shd w:val="clear" w:color="auto" w:fill="auto"/>
            <w:noWrap/>
            <w:vAlign w:val="center"/>
            <w:hideMark/>
          </w:tcPr>
          <w:p w14:paraId="29A9BADB"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3 000,00</w:t>
            </w:r>
          </w:p>
        </w:tc>
        <w:tc>
          <w:tcPr>
            <w:tcW w:w="240" w:type="dxa"/>
            <w:tcBorders>
              <w:top w:val="nil"/>
              <w:left w:val="nil"/>
              <w:bottom w:val="single" w:sz="4" w:space="0" w:color="auto"/>
              <w:right w:val="single" w:sz="4" w:space="0" w:color="auto"/>
            </w:tcBorders>
            <w:shd w:val="clear" w:color="auto" w:fill="auto"/>
            <w:noWrap/>
            <w:vAlign w:val="center"/>
            <w:hideMark/>
          </w:tcPr>
          <w:p w14:paraId="6F72217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087A13F8"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4E5CC6D1"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5BE2822E"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48F9163A"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B3</w:t>
            </w:r>
          </w:p>
        </w:tc>
        <w:tc>
          <w:tcPr>
            <w:tcW w:w="5960" w:type="dxa"/>
            <w:tcBorders>
              <w:top w:val="nil"/>
              <w:left w:val="nil"/>
              <w:bottom w:val="single" w:sz="4" w:space="0" w:color="auto"/>
              <w:right w:val="nil"/>
            </w:tcBorders>
            <w:shd w:val="clear" w:color="auto" w:fill="auto"/>
            <w:vAlign w:val="center"/>
            <w:hideMark/>
          </w:tcPr>
          <w:p w14:paraId="16D6888A"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proofErr w:type="spellStart"/>
            <w:r w:rsidRPr="00B0209B">
              <w:rPr>
                <w:rFonts w:ascii="Times New Roman" w:eastAsia="Times New Roman" w:hAnsi="Times New Roman" w:cs="Times New Roman"/>
                <w:color w:val="000000"/>
              </w:rPr>
              <w:t>Cnpaia</w:t>
            </w:r>
            <w:proofErr w:type="spellEnd"/>
            <w:r w:rsidRPr="00B0209B">
              <w:rPr>
                <w:rFonts w:ascii="Times New Roman" w:eastAsia="Times New Roman" w:hAnsi="Times New Roman" w:cs="Times New Roman"/>
                <w:color w:val="000000"/>
              </w:rPr>
              <w:t xml:space="preserve"> 4% su Spese tecniche (B2)</w:t>
            </w:r>
          </w:p>
        </w:tc>
        <w:tc>
          <w:tcPr>
            <w:tcW w:w="1540" w:type="dxa"/>
            <w:tcBorders>
              <w:top w:val="nil"/>
              <w:left w:val="nil"/>
              <w:bottom w:val="single" w:sz="4" w:space="0" w:color="auto"/>
              <w:right w:val="nil"/>
            </w:tcBorders>
            <w:shd w:val="clear" w:color="auto" w:fill="auto"/>
            <w:noWrap/>
            <w:vAlign w:val="center"/>
            <w:hideMark/>
          </w:tcPr>
          <w:p w14:paraId="3F40C4F7"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120,00</w:t>
            </w:r>
          </w:p>
        </w:tc>
        <w:tc>
          <w:tcPr>
            <w:tcW w:w="240" w:type="dxa"/>
            <w:tcBorders>
              <w:top w:val="nil"/>
              <w:left w:val="nil"/>
              <w:bottom w:val="single" w:sz="4" w:space="0" w:color="auto"/>
              <w:right w:val="single" w:sz="4" w:space="0" w:color="auto"/>
            </w:tcBorders>
            <w:shd w:val="clear" w:color="auto" w:fill="auto"/>
            <w:noWrap/>
            <w:vAlign w:val="center"/>
            <w:hideMark/>
          </w:tcPr>
          <w:p w14:paraId="32D0FF5D"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16E15F24"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5F0B9F1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3F03994D"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1BA8F63B"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B4</w:t>
            </w:r>
          </w:p>
        </w:tc>
        <w:tc>
          <w:tcPr>
            <w:tcW w:w="5960" w:type="dxa"/>
            <w:tcBorders>
              <w:top w:val="nil"/>
              <w:left w:val="nil"/>
              <w:bottom w:val="single" w:sz="4" w:space="0" w:color="auto"/>
              <w:right w:val="nil"/>
            </w:tcBorders>
            <w:shd w:val="clear" w:color="auto" w:fill="auto"/>
            <w:vAlign w:val="center"/>
            <w:hideMark/>
          </w:tcPr>
          <w:p w14:paraId="3BFAEEE7"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 xml:space="preserve">I.V.A. 22% su Spese tecniche e </w:t>
            </w:r>
            <w:proofErr w:type="spellStart"/>
            <w:r w:rsidRPr="00B0209B">
              <w:rPr>
                <w:rFonts w:ascii="Times New Roman" w:eastAsia="Times New Roman" w:hAnsi="Times New Roman" w:cs="Times New Roman"/>
                <w:color w:val="000000"/>
              </w:rPr>
              <w:t>Cnpaia</w:t>
            </w:r>
            <w:proofErr w:type="spellEnd"/>
            <w:r w:rsidRPr="00B0209B">
              <w:rPr>
                <w:rFonts w:ascii="Times New Roman" w:eastAsia="Times New Roman" w:hAnsi="Times New Roman" w:cs="Times New Roman"/>
                <w:color w:val="000000"/>
              </w:rPr>
              <w:t xml:space="preserve"> (B3+B4)</w:t>
            </w:r>
          </w:p>
        </w:tc>
        <w:tc>
          <w:tcPr>
            <w:tcW w:w="1540" w:type="dxa"/>
            <w:tcBorders>
              <w:top w:val="nil"/>
              <w:left w:val="nil"/>
              <w:bottom w:val="single" w:sz="4" w:space="0" w:color="auto"/>
              <w:right w:val="nil"/>
            </w:tcBorders>
            <w:shd w:val="clear" w:color="auto" w:fill="auto"/>
            <w:noWrap/>
            <w:vAlign w:val="center"/>
            <w:hideMark/>
          </w:tcPr>
          <w:p w14:paraId="24ABF9F9"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686,40</w:t>
            </w:r>
          </w:p>
        </w:tc>
        <w:tc>
          <w:tcPr>
            <w:tcW w:w="240" w:type="dxa"/>
            <w:tcBorders>
              <w:top w:val="nil"/>
              <w:left w:val="nil"/>
              <w:bottom w:val="single" w:sz="4" w:space="0" w:color="auto"/>
              <w:right w:val="single" w:sz="4" w:space="0" w:color="auto"/>
            </w:tcBorders>
            <w:shd w:val="clear" w:color="auto" w:fill="auto"/>
            <w:noWrap/>
            <w:vAlign w:val="center"/>
            <w:hideMark/>
          </w:tcPr>
          <w:p w14:paraId="74A18811"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73EDE05F"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07C5817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5924AA07"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081D033B"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B5</w:t>
            </w:r>
          </w:p>
        </w:tc>
        <w:tc>
          <w:tcPr>
            <w:tcW w:w="5960" w:type="dxa"/>
            <w:tcBorders>
              <w:top w:val="nil"/>
              <w:left w:val="nil"/>
              <w:bottom w:val="single" w:sz="4" w:space="0" w:color="auto"/>
              <w:right w:val="nil"/>
            </w:tcBorders>
            <w:shd w:val="clear" w:color="auto" w:fill="auto"/>
            <w:vAlign w:val="center"/>
            <w:hideMark/>
          </w:tcPr>
          <w:p w14:paraId="5C11A342"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Indennizzi per espropriazione, frazionamento e atto notarile</w:t>
            </w:r>
          </w:p>
        </w:tc>
        <w:tc>
          <w:tcPr>
            <w:tcW w:w="1540" w:type="dxa"/>
            <w:tcBorders>
              <w:top w:val="nil"/>
              <w:left w:val="nil"/>
              <w:bottom w:val="single" w:sz="4" w:space="0" w:color="auto"/>
              <w:right w:val="nil"/>
            </w:tcBorders>
            <w:shd w:val="clear" w:color="auto" w:fill="auto"/>
            <w:noWrap/>
            <w:vAlign w:val="center"/>
            <w:hideMark/>
          </w:tcPr>
          <w:p w14:paraId="2BB0F6FD"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5 250,00</w:t>
            </w:r>
          </w:p>
        </w:tc>
        <w:tc>
          <w:tcPr>
            <w:tcW w:w="240" w:type="dxa"/>
            <w:tcBorders>
              <w:top w:val="nil"/>
              <w:left w:val="nil"/>
              <w:bottom w:val="single" w:sz="4" w:space="0" w:color="auto"/>
              <w:right w:val="single" w:sz="4" w:space="0" w:color="auto"/>
            </w:tcBorders>
            <w:shd w:val="clear" w:color="auto" w:fill="auto"/>
            <w:noWrap/>
            <w:vAlign w:val="center"/>
            <w:hideMark/>
          </w:tcPr>
          <w:p w14:paraId="3F0023D9"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036C10CE"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63CD618F"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5126A147"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6E9BAAC7"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B6</w:t>
            </w:r>
          </w:p>
        </w:tc>
        <w:tc>
          <w:tcPr>
            <w:tcW w:w="5960" w:type="dxa"/>
            <w:tcBorders>
              <w:top w:val="nil"/>
              <w:left w:val="nil"/>
              <w:bottom w:val="single" w:sz="4" w:space="0" w:color="auto"/>
              <w:right w:val="nil"/>
            </w:tcBorders>
            <w:shd w:val="clear" w:color="auto" w:fill="auto"/>
            <w:vAlign w:val="center"/>
            <w:hideMark/>
          </w:tcPr>
          <w:p w14:paraId="64F38522"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Spese tecniche, progettazione definitiva ed esecutiva, coordinamento sicurezza per la progettazione ed esecuzione</w:t>
            </w:r>
          </w:p>
        </w:tc>
        <w:tc>
          <w:tcPr>
            <w:tcW w:w="1540" w:type="dxa"/>
            <w:tcBorders>
              <w:top w:val="nil"/>
              <w:left w:val="nil"/>
              <w:bottom w:val="single" w:sz="4" w:space="0" w:color="auto"/>
              <w:right w:val="nil"/>
            </w:tcBorders>
            <w:shd w:val="clear" w:color="auto" w:fill="auto"/>
            <w:noWrap/>
            <w:vAlign w:val="center"/>
            <w:hideMark/>
          </w:tcPr>
          <w:p w14:paraId="6D475878"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4 903,40</w:t>
            </w:r>
          </w:p>
        </w:tc>
        <w:tc>
          <w:tcPr>
            <w:tcW w:w="240" w:type="dxa"/>
            <w:tcBorders>
              <w:top w:val="nil"/>
              <w:left w:val="nil"/>
              <w:bottom w:val="single" w:sz="4" w:space="0" w:color="auto"/>
              <w:right w:val="single" w:sz="4" w:space="0" w:color="auto"/>
            </w:tcBorders>
            <w:shd w:val="clear" w:color="auto" w:fill="auto"/>
            <w:noWrap/>
            <w:vAlign w:val="center"/>
            <w:hideMark/>
          </w:tcPr>
          <w:p w14:paraId="6519DBBE"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2C0FF472"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7B218CE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273CABA5"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5205FF47"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B7</w:t>
            </w:r>
          </w:p>
        </w:tc>
        <w:tc>
          <w:tcPr>
            <w:tcW w:w="5960" w:type="dxa"/>
            <w:tcBorders>
              <w:top w:val="nil"/>
              <w:left w:val="nil"/>
              <w:bottom w:val="single" w:sz="4" w:space="0" w:color="auto"/>
              <w:right w:val="nil"/>
            </w:tcBorders>
            <w:shd w:val="clear" w:color="auto" w:fill="auto"/>
            <w:vAlign w:val="center"/>
            <w:hideMark/>
          </w:tcPr>
          <w:p w14:paraId="4B1F2281"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proofErr w:type="spellStart"/>
            <w:r w:rsidRPr="00B0209B">
              <w:rPr>
                <w:rFonts w:ascii="Times New Roman" w:eastAsia="Times New Roman" w:hAnsi="Times New Roman" w:cs="Times New Roman"/>
                <w:color w:val="000000"/>
              </w:rPr>
              <w:t>Cnaia</w:t>
            </w:r>
            <w:proofErr w:type="spellEnd"/>
            <w:r w:rsidRPr="00B0209B">
              <w:rPr>
                <w:rFonts w:ascii="Times New Roman" w:eastAsia="Times New Roman" w:hAnsi="Times New Roman" w:cs="Times New Roman"/>
                <w:color w:val="000000"/>
              </w:rPr>
              <w:t xml:space="preserve"> 4% su Spese tecniche (B6)</w:t>
            </w:r>
          </w:p>
        </w:tc>
        <w:tc>
          <w:tcPr>
            <w:tcW w:w="1540" w:type="dxa"/>
            <w:tcBorders>
              <w:top w:val="nil"/>
              <w:left w:val="nil"/>
              <w:bottom w:val="single" w:sz="4" w:space="0" w:color="auto"/>
              <w:right w:val="nil"/>
            </w:tcBorders>
            <w:shd w:val="clear" w:color="auto" w:fill="auto"/>
            <w:noWrap/>
            <w:vAlign w:val="center"/>
            <w:hideMark/>
          </w:tcPr>
          <w:p w14:paraId="047B954B"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196,14</w:t>
            </w:r>
          </w:p>
        </w:tc>
        <w:tc>
          <w:tcPr>
            <w:tcW w:w="240" w:type="dxa"/>
            <w:tcBorders>
              <w:top w:val="nil"/>
              <w:left w:val="nil"/>
              <w:bottom w:val="single" w:sz="4" w:space="0" w:color="auto"/>
              <w:right w:val="single" w:sz="4" w:space="0" w:color="auto"/>
            </w:tcBorders>
            <w:shd w:val="clear" w:color="auto" w:fill="auto"/>
            <w:noWrap/>
            <w:vAlign w:val="center"/>
            <w:hideMark/>
          </w:tcPr>
          <w:p w14:paraId="141B1D57"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6F4143D5"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35D4292E"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4E7F0EAB"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5D919BED"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B8</w:t>
            </w:r>
          </w:p>
        </w:tc>
        <w:tc>
          <w:tcPr>
            <w:tcW w:w="5960" w:type="dxa"/>
            <w:tcBorders>
              <w:top w:val="nil"/>
              <w:left w:val="nil"/>
              <w:bottom w:val="single" w:sz="4" w:space="0" w:color="auto"/>
              <w:right w:val="nil"/>
            </w:tcBorders>
            <w:shd w:val="clear" w:color="auto" w:fill="auto"/>
            <w:vAlign w:val="center"/>
            <w:hideMark/>
          </w:tcPr>
          <w:p w14:paraId="3617BBC6"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 xml:space="preserve">I.V.A. 22% su Spese tecniche e </w:t>
            </w:r>
            <w:proofErr w:type="spellStart"/>
            <w:r w:rsidRPr="00B0209B">
              <w:rPr>
                <w:rFonts w:ascii="Times New Roman" w:eastAsia="Times New Roman" w:hAnsi="Times New Roman" w:cs="Times New Roman"/>
                <w:color w:val="000000"/>
              </w:rPr>
              <w:t>Cnpaia</w:t>
            </w:r>
            <w:proofErr w:type="spellEnd"/>
            <w:r w:rsidRPr="00B0209B">
              <w:rPr>
                <w:rFonts w:ascii="Times New Roman" w:eastAsia="Times New Roman" w:hAnsi="Times New Roman" w:cs="Times New Roman"/>
                <w:color w:val="000000"/>
              </w:rPr>
              <w:t xml:space="preserve"> (B6+B7)</w:t>
            </w:r>
          </w:p>
        </w:tc>
        <w:tc>
          <w:tcPr>
            <w:tcW w:w="1540" w:type="dxa"/>
            <w:tcBorders>
              <w:top w:val="nil"/>
              <w:left w:val="nil"/>
              <w:bottom w:val="single" w:sz="4" w:space="0" w:color="auto"/>
              <w:right w:val="nil"/>
            </w:tcBorders>
            <w:shd w:val="clear" w:color="auto" w:fill="auto"/>
            <w:noWrap/>
            <w:vAlign w:val="center"/>
            <w:hideMark/>
          </w:tcPr>
          <w:p w14:paraId="478B6B41"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1 121,90</w:t>
            </w:r>
          </w:p>
        </w:tc>
        <w:tc>
          <w:tcPr>
            <w:tcW w:w="240" w:type="dxa"/>
            <w:tcBorders>
              <w:top w:val="nil"/>
              <w:left w:val="nil"/>
              <w:bottom w:val="single" w:sz="4" w:space="0" w:color="auto"/>
              <w:right w:val="single" w:sz="4" w:space="0" w:color="auto"/>
            </w:tcBorders>
            <w:shd w:val="clear" w:color="auto" w:fill="auto"/>
            <w:noWrap/>
            <w:vAlign w:val="center"/>
            <w:hideMark/>
          </w:tcPr>
          <w:p w14:paraId="4A9E6BAA"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3A952470"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06A3A1B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7FE14DFE"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7B628A4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B9</w:t>
            </w:r>
          </w:p>
        </w:tc>
        <w:tc>
          <w:tcPr>
            <w:tcW w:w="5960" w:type="dxa"/>
            <w:tcBorders>
              <w:top w:val="nil"/>
              <w:left w:val="nil"/>
              <w:bottom w:val="single" w:sz="4" w:space="0" w:color="auto"/>
              <w:right w:val="nil"/>
            </w:tcBorders>
            <w:shd w:val="clear" w:color="auto" w:fill="auto"/>
            <w:vAlign w:val="center"/>
            <w:hideMark/>
          </w:tcPr>
          <w:p w14:paraId="0E5F2BDF"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 xml:space="preserve">Spese tecniche per competenze geologiche ed indagini, compreso </w:t>
            </w:r>
            <w:proofErr w:type="spellStart"/>
            <w:r w:rsidRPr="00B0209B">
              <w:rPr>
                <w:rFonts w:ascii="Times New Roman" w:eastAsia="Times New Roman" w:hAnsi="Times New Roman" w:cs="Times New Roman"/>
                <w:color w:val="000000"/>
              </w:rPr>
              <w:t>Epap</w:t>
            </w:r>
            <w:proofErr w:type="spellEnd"/>
            <w:r w:rsidRPr="00B0209B">
              <w:rPr>
                <w:rFonts w:ascii="Times New Roman" w:eastAsia="Times New Roman" w:hAnsi="Times New Roman" w:cs="Times New Roman"/>
                <w:color w:val="000000"/>
              </w:rPr>
              <w:t xml:space="preserve"> 2%, compresa I.V.A. 22% </w:t>
            </w:r>
          </w:p>
        </w:tc>
        <w:tc>
          <w:tcPr>
            <w:tcW w:w="1540" w:type="dxa"/>
            <w:tcBorders>
              <w:top w:val="nil"/>
              <w:left w:val="nil"/>
              <w:bottom w:val="single" w:sz="4" w:space="0" w:color="auto"/>
              <w:right w:val="nil"/>
            </w:tcBorders>
            <w:shd w:val="clear" w:color="auto" w:fill="auto"/>
            <w:noWrap/>
            <w:vAlign w:val="center"/>
            <w:hideMark/>
          </w:tcPr>
          <w:p w14:paraId="7422C37B"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1 991,04</w:t>
            </w:r>
          </w:p>
        </w:tc>
        <w:tc>
          <w:tcPr>
            <w:tcW w:w="240" w:type="dxa"/>
            <w:tcBorders>
              <w:top w:val="nil"/>
              <w:left w:val="nil"/>
              <w:bottom w:val="single" w:sz="4" w:space="0" w:color="auto"/>
              <w:right w:val="single" w:sz="4" w:space="0" w:color="auto"/>
            </w:tcBorders>
            <w:shd w:val="clear" w:color="auto" w:fill="auto"/>
            <w:noWrap/>
            <w:vAlign w:val="center"/>
            <w:hideMark/>
          </w:tcPr>
          <w:p w14:paraId="74B22BBC"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7244B46B"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50CA6714"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55F98B16"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017A006A"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B10</w:t>
            </w:r>
          </w:p>
        </w:tc>
        <w:tc>
          <w:tcPr>
            <w:tcW w:w="5960" w:type="dxa"/>
            <w:tcBorders>
              <w:top w:val="nil"/>
              <w:left w:val="nil"/>
              <w:bottom w:val="single" w:sz="4" w:space="0" w:color="auto"/>
              <w:right w:val="nil"/>
            </w:tcBorders>
            <w:shd w:val="clear" w:color="auto" w:fill="auto"/>
            <w:vAlign w:val="center"/>
            <w:hideMark/>
          </w:tcPr>
          <w:p w14:paraId="406E8ECA"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Spese tecniche per Direzione Lavori, contabilità, coordinamento sicurezza per l'esecuzione</w:t>
            </w:r>
          </w:p>
        </w:tc>
        <w:tc>
          <w:tcPr>
            <w:tcW w:w="1540" w:type="dxa"/>
            <w:tcBorders>
              <w:top w:val="nil"/>
              <w:left w:val="nil"/>
              <w:bottom w:val="single" w:sz="4" w:space="0" w:color="auto"/>
              <w:right w:val="nil"/>
            </w:tcBorders>
            <w:shd w:val="clear" w:color="auto" w:fill="auto"/>
            <w:noWrap/>
            <w:vAlign w:val="center"/>
            <w:hideMark/>
          </w:tcPr>
          <w:p w14:paraId="6C68C2A2"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4 976,01</w:t>
            </w:r>
          </w:p>
        </w:tc>
        <w:tc>
          <w:tcPr>
            <w:tcW w:w="240" w:type="dxa"/>
            <w:tcBorders>
              <w:top w:val="nil"/>
              <w:left w:val="nil"/>
              <w:bottom w:val="single" w:sz="4" w:space="0" w:color="auto"/>
              <w:right w:val="single" w:sz="4" w:space="0" w:color="auto"/>
            </w:tcBorders>
            <w:shd w:val="clear" w:color="auto" w:fill="auto"/>
            <w:noWrap/>
            <w:vAlign w:val="center"/>
            <w:hideMark/>
          </w:tcPr>
          <w:p w14:paraId="09FFB1B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3150C26C"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023F6B07"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1358326C"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6159B6E4"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B11</w:t>
            </w:r>
          </w:p>
        </w:tc>
        <w:tc>
          <w:tcPr>
            <w:tcW w:w="5960" w:type="dxa"/>
            <w:tcBorders>
              <w:top w:val="nil"/>
              <w:left w:val="nil"/>
              <w:bottom w:val="single" w:sz="4" w:space="0" w:color="auto"/>
              <w:right w:val="nil"/>
            </w:tcBorders>
            <w:shd w:val="clear" w:color="auto" w:fill="auto"/>
            <w:vAlign w:val="center"/>
            <w:hideMark/>
          </w:tcPr>
          <w:p w14:paraId="49CA28E3"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proofErr w:type="spellStart"/>
            <w:r w:rsidRPr="00B0209B">
              <w:rPr>
                <w:rFonts w:ascii="Times New Roman" w:eastAsia="Times New Roman" w:hAnsi="Times New Roman" w:cs="Times New Roman"/>
                <w:color w:val="000000"/>
              </w:rPr>
              <w:t>Cnpaia</w:t>
            </w:r>
            <w:proofErr w:type="spellEnd"/>
            <w:r w:rsidRPr="00B0209B">
              <w:rPr>
                <w:rFonts w:ascii="Times New Roman" w:eastAsia="Times New Roman" w:hAnsi="Times New Roman" w:cs="Times New Roman"/>
                <w:color w:val="000000"/>
              </w:rPr>
              <w:t xml:space="preserve"> 4% su Spese tecniche (B10)</w:t>
            </w:r>
          </w:p>
        </w:tc>
        <w:tc>
          <w:tcPr>
            <w:tcW w:w="1540" w:type="dxa"/>
            <w:tcBorders>
              <w:top w:val="nil"/>
              <w:left w:val="nil"/>
              <w:bottom w:val="single" w:sz="4" w:space="0" w:color="auto"/>
              <w:right w:val="nil"/>
            </w:tcBorders>
            <w:shd w:val="clear" w:color="auto" w:fill="auto"/>
            <w:noWrap/>
            <w:vAlign w:val="center"/>
            <w:hideMark/>
          </w:tcPr>
          <w:p w14:paraId="6B8F610E"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199,04</w:t>
            </w:r>
          </w:p>
        </w:tc>
        <w:tc>
          <w:tcPr>
            <w:tcW w:w="240" w:type="dxa"/>
            <w:tcBorders>
              <w:top w:val="nil"/>
              <w:left w:val="nil"/>
              <w:bottom w:val="single" w:sz="4" w:space="0" w:color="auto"/>
              <w:right w:val="single" w:sz="4" w:space="0" w:color="auto"/>
            </w:tcBorders>
            <w:shd w:val="clear" w:color="auto" w:fill="auto"/>
            <w:noWrap/>
            <w:vAlign w:val="center"/>
            <w:hideMark/>
          </w:tcPr>
          <w:p w14:paraId="768B590F"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5AE481C5"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0B533D02"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236AB038"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399311A8"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B12</w:t>
            </w:r>
          </w:p>
        </w:tc>
        <w:tc>
          <w:tcPr>
            <w:tcW w:w="5960" w:type="dxa"/>
            <w:tcBorders>
              <w:top w:val="nil"/>
              <w:left w:val="nil"/>
              <w:bottom w:val="single" w:sz="4" w:space="0" w:color="auto"/>
              <w:right w:val="nil"/>
            </w:tcBorders>
            <w:shd w:val="clear" w:color="auto" w:fill="auto"/>
            <w:vAlign w:val="center"/>
            <w:hideMark/>
          </w:tcPr>
          <w:p w14:paraId="5A192B41"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 xml:space="preserve">I.V.A. 22% su Spese tecniche e </w:t>
            </w:r>
            <w:proofErr w:type="spellStart"/>
            <w:r w:rsidRPr="00B0209B">
              <w:rPr>
                <w:rFonts w:ascii="Times New Roman" w:eastAsia="Times New Roman" w:hAnsi="Times New Roman" w:cs="Times New Roman"/>
                <w:color w:val="000000"/>
              </w:rPr>
              <w:t>Cnaia</w:t>
            </w:r>
            <w:proofErr w:type="spellEnd"/>
            <w:r w:rsidRPr="00B0209B">
              <w:rPr>
                <w:rFonts w:ascii="Times New Roman" w:eastAsia="Times New Roman" w:hAnsi="Times New Roman" w:cs="Times New Roman"/>
                <w:color w:val="000000"/>
              </w:rPr>
              <w:t xml:space="preserve"> (B10+B11)</w:t>
            </w:r>
          </w:p>
        </w:tc>
        <w:tc>
          <w:tcPr>
            <w:tcW w:w="1540" w:type="dxa"/>
            <w:tcBorders>
              <w:top w:val="nil"/>
              <w:left w:val="nil"/>
              <w:bottom w:val="single" w:sz="4" w:space="0" w:color="auto"/>
              <w:right w:val="nil"/>
            </w:tcBorders>
            <w:shd w:val="clear" w:color="auto" w:fill="auto"/>
            <w:noWrap/>
            <w:vAlign w:val="center"/>
            <w:hideMark/>
          </w:tcPr>
          <w:p w14:paraId="129D328F"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1 138,51</w:t>
            </w:r>
          </w:p>
        </w:tc>
        <w:tc>
          <w:tcPr>
            <w:tcW w:w="240" w:type="dxa"/>
            <w:tcBorders>
              <w:top w:val="nil"/>
              <w:left w:val="nil"/>
              <w:bottom w:val="single" w:sz="4" w:space="0" w:color="auto"/>
              <w:right w:val="single" w:sz="4" w:space="0" w:color="auto"/>
            </w:tcBorders>
            <w:shd w:val="clear" w:color="auto" w:fill="auto"/>
            <w:noWrap/>
            <w:vAlign w:val="center"/>
            <w:hideMark/>
          </w:tcPr>
          <w:p w14:paraId="33A9588A"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02B66FA4"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2BE5A15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5CAC493D"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4EF70E4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B13</w:t>
            </w:r>
          </w:p>
        </w:tc>
        <w:tc>
          <w:tcPr>
            <w:tcW w:w="5960" w:type="dxa"/>
            <w:tcBorders>
              <w:top w:val="nil"/>
              <w:left w:val="nil"/>
              <w:bottom w:val="single" w:sz="4" w:space="0" w:color="auto"/>
              <w:right w:val="nil"/>
            </w:tcBorders>
            <w:shd w:val="clear" w:color="auto" w:fill="auto"/>
            <w:vAlign w:val="center"/>
            <w:hideMark/>
          </w:tcPr>
          <w:p w14:paraId="76EB09D6"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 xml:space="preserve">Accantonamento di cui all'art. 113, commi 2 e 3 del </w:t>
            </w:r>
            <w:proofErr w:type="spellStart"/>
            <w:r w:rsidRPr="00B0209B">
              <w:rPr>
                <w:rFonts w:ascii="Times New Roman" w:eastAsia="Times New Roman" w:hAnsi="Times New Roman" w:cs="Times New Roman"/>
                <w:color w:val="000000"/>
              </w:rPr>
              <w:t>D.Lgs.</w:t>
            </w:r>
            <w:proofErr w:type="spellEnd"/>
            <w:r w:rsidRPr="00B0209B">
              <w:rPr>
                <w:rFonts w:ascii="Times New Roman" w:eastAsia="Times New Roman" w:hAnsi="Times New Roman" w:cs="Times New Roman"/>
                <w:color w:val="000000"/>
              </w:rPr>
              <w:t xml:space="preserve"> 50/2016</w:t>
            </w:r>
          </w:p>
        </w:tc>
        <w:tc>
          <w:tcPr>
            <w:tcW w:w="1540" w:type="dxa"/>
            <w:tcBorders>
              <w:top w:val="nil"/>
              <w:left w:val="nil"/>
              <w:bottom w:val="single" w:sz="4" w:space="0" w:color="auto"/>
              <w:right w:val="nil"/>
            </w:tcBorders>
            <w:shd w:val="clear" w:color="auto" w:fill="auto"/>
            <w:noWrap/>
            <w:vAlign w:val="center"/>
            <w:hideMark/>
          </w:tcPr>
          <w:p w14:paraId="31E54D5B"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675,45</w:t>
            </w:r>
          </w:p>
        </w:tc>
        <w:tc>
          <w:tcPr>
            <w:tcW w:w="240" w:type="dxa"/>
            <w:tcBorders>
              <w:top w:val="nil"/>
              <w:left w:val="nil"/>
              <w:bottom w:val="single" w:sz="4" w:space="0" w:color="auto"/>
              <w:right w:val="single" w:sz="4" w:space="0" w:color="auto"/>
            </w:tcBorders>
            <w:shd w:val="clear" w:color="auto" w:fill="auto"/>
            <w:noWrap/>
            <w:vAlign w:val="center"/>
            <w:hideMark/>
          </w:tcPr>
          <w:p w14:paraId="44D56437"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497268BF"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45294E4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7E56CA97"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58828E6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B14</w:t>
            </w:r>
          </w:p>
        </w:tc>
        <w:tc>
          <w:tcPr>
            <w:tcW w:w="5960" w:type="dxa"/>
            <w:tcBorders>
              <w:top w:val="nil"/>
              <w:left w:val="nil"/>
              <w:bottom w:val="single" w:sz="4" w:space="0" w:color="auto"/>
              <w:right w:val="nil"/>
            </w:tcBorders>
            <w:shd w:val="clear" w:color="auto" w:fill="auto"/>
            <w:vAlign w:val="center"/>
            <w:hideMark/>
          </w:tcPr>
          <w:p w14:paraId="239D5504"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 xml:space="preserve">Collaudo statico (compreso </w:t>
            </w:r>
            <w:proofErr w:type="spellStart"/>
            <w:r w:rsidRPr="00B0209B">
              <w:rPr>
                <w:rFonts w:ascii="Times New Roman" w:eastAsia="Times New Roman" w:hAnsi="Times New Roman" w:cs="Times New Roman"/>
                <w:color w:val="000000"/>
              </w:rPr>
              <w:t>c.i.</w:t>
            </w:r>
            <w:proofErr w:type="spellEnd"/>
            <w:r w:rsidRPr="00B0209B">
              <w:rPr>
                <w:rFonts w:ascii="Times New Roman" w:eastAsia="Times New Roman" w:hAnsi="Times New Roman" w:cs="Times New Roman"/>
                <w:color w:val="000000"/>
              </w:rPr>
              <w:t xml:space="preserve"> e iva)</w:t>
            </w:r>
          </w:p>
        </w:tc>
        <w:tc>
          <w:tcPr>
            <w:tcW w:w="1540" w:type="dxa"/>
            <w:tcBorders>
              <w:top w:val="nil"/>
              <w:left w:val="nil"/>
              <w:bottom w:val="single" w:sz="4" w:space="0" w:color="auto"/>
              <w:right w:val="nil"/>
            </w:tcBorders>
            <w:shd w:val="clear" w:color="auto" w:fill="auto"/>
            <w:noWrap/>
            <w:vAlign w:val="center"/>
            <w:hideMark/>
          </w:tcPr>
          <w:p w14:paraId="65D34741"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1 000,00</w:t>
            </w:r>
          </w:p>
        </w:tc>
        <w:tc>
          <w:tcPr>
            <w:tcW w:w="240" w:type="dxa"/>
            <w:tcBorders>
              <w:top w:val="nil"/>
              <w:left w:val="nil"/>
              <w:bottom w:val="single" w:sz="4" w:space="0" w:color="auto"/>
              <w:right w:val="single" w:sz="4" w:space="0" w:color="auto"/>
            </w:tcBorders>
            <w:shd w:val="clear" w:color="auto" w:fill="auto"/>
            <w:noWrap/>
            <w:vAlign w:val="center"/>
            <w:hideMark/>
          </w:tcPr>
          <w:p w14:paraId="7561696B"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351621C9"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2D1AF5DC"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715346B0"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62A7029B"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B15</w:t>
            </w:r>
          </w:p>
        </w:tc>
        <w:tc>
          <w:tcPr>
            <w:tcW w:w="5960" w:type="dxa"/>
            <w:tcBorders>
              <w:top w:val="nil"/>
              <w:left w:val="nil"/>
              <w:bottom w:val="single" w:sz="4" w:space="0" w:color="auto"/>
              <w:right w:val="nil"/>
            </w:tcBorders>
            <w:shd w:val="clear" w:color="auto" w:fill="auto"/>
            <w:vAlign w:val="center"/>
            <w:hideMark/>
          </w:tcPr>
          <w:p w14:paraId="3C1BE8F9"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Spese per ANAC</w:t>
            </w:r>
          </w:p>
        </w:tc>
        <w:tc>
          <w:tcPr>
            <w:tcW w:w="1540" w:type="dxa"/>
            <w:tcBorders>
              <w:top w:val="nil"/>
              <w:left w:val="nil"/>
              <w:bottom w:val="single" w:sz="4" w:space="0" w:color="auto"/>
              <w:right w:val="nil"/>
            </w:tcBorders>
            <w:shd w:val="clear" w:color="auto" w:fill="auto"/>
            <w:noWrap/>
            <w:vAlign w:val="center"/>
            <w:hideMark/>
          </w:tcPr>
          <w:p w14:paraId="15C56B2E"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30,00</w:t>
            </w:r>
          </w:p>
        </w:tc>
        <w:tc>
          <w:tcPr>
            <w:tcW w:w="240" w:type="dxa"/>
            <w:tcBorders>
              <w:top w:val="nil"/>
              <w:left w:val="nil"/>
              <w:bottom w:val="single" w:sz="4" w:space="0" w:color="auto"/>
              <w:right w:val="single" w:sz="4" w:space="0" w:color="auto"/>
            </w:tcBorders>
            <w:shd w:val="clear" w:color="auto" w:fill="auto"/>
            <w:noWrap/>
            <w:vAlign w:val="center"/>
            <w:hideMark/>
          </w:tcPr>
          <w:p w14:paraId="51AD8B91"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09D01AF0"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0FA613D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0EF93283"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22CBC141"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B16</w:t>
            </w:r>
          </w:p>
        </w:tc>
        <w:tc>
          <w:tcPr>
            <w:tcW w:w="5960" w:type="dxa"/>
            <w:tcBorders>
              <w:top w:val="nil"/>
              <w:left w:val="nil"/>
              <w:bottom w:val="single" w:sz="4" w:space="0" w:color="auto"/>
              <w:right w:val="nil"/>
            </w:tcBorders>
            <w:shd w:val="clear" w:color="auto" w:fill="auto"/>
            <w:vAlign w:val="center"/>
            <w:hideMark/>
          </w:tcPr>
          <w:p w14:paraId="7DC1A311"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Contributo rimborso forfettario deposito sismico</w:t>
            </w:r>
          </w:p>
        </w:tc>
        <w:tc>
          <w:tcPr>
            <w:tcW w:w="1540" w:type="dxa"/>
            <w:tcBorders>
              <w:top w:val="nil"/>
              <w:left w:val="nil"/>
              <w:bottom w:val="single" w:sz="4" w:space="0" w:color="auto"/>
              <w:right w:val="nil"/>
            </w:tcBorders>
            <w:shd w:val="clear" w:color="auto" w:fill="auto"/>
            <w:noWrap/>
            <w:vAlign w:val="center"/>
            <w:hideMark/>
          </w:tcPr>
          <w:p w14:paraId="0899B5D2"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200,00</w:t>
            </w:r>
          </w:p>
        </w:tc>
        <w:tc>
          <w:tcPr>
            <w:tcW w:w="240" w:type="dxa"/>
            <w:tcBorders>
              <w:top w:val="nil"/>
              <w:left w:val="nil"/>
              <w:bottom w:val="single" w:sz="4" w:space="0" w:color="auto"/>
              <w:right w:val="single" w:sz="4" w:space="0" w:color="auto"/>
            </w:tcBorders>
            <w:shd w:val="clear" w:color="auto" w:fill="auto"/>
            <w:noWrap/>
            <w:vAlign w:val="center"/>
            <w:hideMark/>
          </w:tcPr>
          <w:p w14:paraId="0BE0E979"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nil"/>
              <w:right w:val="nil"/>
            </w:tcBorders>
            <w:shd w:val="clear" w:color="auto" w:fill="auto"/>
            <w:noWrap/>
            <w:vAlign w:val="center"/>
            <w:hideMark/>
          </w:tcPr>
          <w:p w14:paraId="4E697291"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nil"/>
              <w:right w:val="single" w:sz="4" w:space="0" w:color="auto"/>
            </w:tcBorders>
            <w:shd w:val="clear" w:color="auto" w:fill="auto"/>
            <w:noWrap/>
            <w:vAlign w:val="center"/>
            <w:hideMark/>
          </w:tcPr>
          <w:p w14:paraId="3E5CF393"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302F26F5" w14:textId="77777777" w:rsidTr="00B0209B">
        <w:trPr>
          <w:trHeight w:hRule="exact" w:val="454"/>
        </w:trPr>
        <w:tc>
          <w:tcPr>
            <w:tcW w:w="600" w:type="dxa"/>
            <w:tcBorders>
              <w:top w:val="nil"/>
              <w:left w:val="single" w:sz="4" w:space="0" w:color="auto"/>
              <w:bottom w:val="single" w:sz="4" w:space="0" w:color="auto"/>
              <w:right w:val="nil"/>
            </w:tcBorders>
            <w:shd w:val="clear" w:color="auto" w:fill="auto"/>
            <w:noWrap/>
            <w:vAlign w:val="center"/>
            <w:hideMark/>
          </w:tcPr>
          <w:p w14:paraId="0913727B"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B10</w:t>
            </w:r>
          </w:p>
        </w:tc>
        <w:tc>
          <w:tcPr>
            <w:tcW w:w="5960" w:type="dxa"/>
            <w:tcBorders>
              <w:top w:val="nil"/>
              <w:left w:val="nil"/>
              <w:bottom w:val="single" w:sz="4" w:space="0" w:color="auto"/>
              <w:right w:val="nil"/>
            </w:tcBorders>
            <w:shd w:val="clear" w:color="auto" w:fill="auto"/>
            <w:vAlign w:val="center"/>
            <w:hideMark/>
          </w:tcPr>
          <w:p w14:paraId="4A1B9693"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color w:val="000000"/>
              </w:rPr>
            </w:pPr>
            <w:r w:rsidRPr="00B0209B">
              <w:rPr>
                <w:rFonts w:ascii="Times New Roman" w:eastAsia="Times New Roman" w:hAnsi="Times New Roman" w:cs="Times New Roman"/>
                <w:color w:val="000000"/>
              </w:rPr>
              <w:t>Imprevisti ed arrotondamenti</w:t>
            </w:r>
          </w:p>
        </w:tc>
        <w:tc>
          <w:tcPr>
            <w:tcW w:w="1540" w:type="dxa"/>
            <w:tcBorders>
              <w:top w:val="nil"/>
              <w:left w:val="nil"/>
              <w:bottom w:val="single" w:sz="4" w:space="0" w:color="auto"/>
              <w:right w:val="nil"/>
            </w:tcBorders>
            <w:shd w:val="clear" w:color="auto" w:fill="auto"/>
            <w:noWrap/>
            <w:vAlign w:val="center"/>
            <w:hideMark/>
          </w:tcPr>
          <w:p w14:paraId="1F6C6098"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212,62</w:t>
            </w:r>
          </w:p>
        </w:tc>
        <w:tc>
          <w:tcPr>
            <w:tcW w:w="240" w:type="dxa"/>
            <w:tcBorders>
              <w:top w:val="nil"/>
              <w:left w:val="nil"/>
              <w:bottom w:val="single" w:sz="4" w:space="0" w:color="auto"/>
              <w:right w:val="single" w:sz="4" w:space="0" w:color="auto"/>
            </w:tcBorders>
            <w:shd w:val="clear" w:color="auto" w:fill="auto"/>
            <w:noWrap/>
            <w:vAlign w:val="center"/>
            <w:hideMark/>
          </w:tcPr>
          <w:p w14:paraId="1BC25CDF"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w:t>
            </w:r>
          </w:p>
        </w:tc>
        <w:tc>
          <w:tcPr>
            <w:tcW w:w="1540" w:type="dxa"/>
            <w:tcBorders>
              <w:top w:val="nil"/>
              <w:left w:val="nil"/>
              <w:bottom w:val="single" w:sz="4" w:space="0" w:color="auto"/>
              <w:right w:val="nil"/>
            </w:tcBorders>
            <w:shd w:val="clear" w:color="auto" w:fill="auto"/>
            <w:noWrap/>
            <w:vAlign w:val="center"/>
            <w:hideMark/>
          </w:tcPr>
          <w:p w14:paraId="0A718C97"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single" w:sz="4" w:space="0" w:color="auto"/>
              <w:right w:val="single" w:sz="4" w:space="0" w:color="auto"/>
            </w:tcBorders>
            <w:shd w:val="clear" w:color="auto" w:fill="auto"/>
            <w:noWrap/>
            <w:vAlign w:val="center"/>
            <w:hideMark/>
          </w:tcPr>
          <w:p w14:paraId="412B2B76"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55763814" w14:textId="77777777" w:rsidTr="00B0209B">
        <w:trPr>
          <w:trHeight w:val="57"/>
        </w:trPr>
        <w:tc>
          <w:tcPr>
            <w:tcW w:w="1012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F65DB9"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r>
      <w:tr w:rsidR="00B0209B" w:rsidRPr="00B0209B" w14:paraId="17A9334E" w14:textId="77777777" w:rsidTr="00B0209B">
        <w:trPr>
          <w:trHeight w:val="510"/>
        </w:trPr>
        <w:tc>
          <w:tcPr>
            <w:tcW w:w="600" w:type="dxa"/>
            <w:tcBorders>
              <w:top w:val="nil"/>
              <w:left w:val="single" w:sz="4" w:space="0" w:color="auto"/>
              <w:bottom w:val="single" w:sz="4" w:space="0" w:color="auto"/>
              <w:right w:val="nil"/>
            </w:tcBorders>
            <w:shd w:val="clear" w:color="000000" w:fill="C5D9F1"/>
            <w:noWrap/>
            <w:vAlign w:val="center"/>
            <w:hideMark/>
          </w:tcPr>
          <w:p w14:paraId="3352481C"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5960" w:type="dxa"/>
            <w:tcBorders>
              <w:top w:val="nil"/>
              <w:left w:val="nil"/>
              <w:bottom w:val="single" w:sz="4" w:space="0" w:color="auto"/>
              <w:right w:val="nil"/>
            </w:tcBorders>
            <w:shd w:val="clear" w:color="000000" w:fill="C5D9F1"/>
            <w:vAlign w:val="center"/>
            <w:hideMark/>
          </w:tcPr>
          <w:p w14:paraId="76A522C6" w14:textId="77777777" w:rsidR="00B0209B" w:rsidRPr="00B0209B" w:rsidRDefault="00B0209B" w:rsidP="00B0209B">
            <w:pPr>
              <w:widowControl/>
              <w:autoSpaceDE/>
              <w:autoSpaceDN/>
              <w:adjustRightInd/>
              <w:spacing w:after="0"/>
              <w:jc w:val="left"/>
              <w:rPr>
                <w:rFonts w:ascii="Times New Roman" w:eastAsia="Times New Roman" w:hAnsi="Times New Roman" w:cs="Times New Roman"/>
                <w:b/>
                <w:bCs/>
                <w:i/>
                <w:iCs/>
                <w:color w:val="000000"/>
              </w:rPr>
            </w:pPr>
            <w:r w:rsidRPr="00B0209B">
              <w:rPr>
                <w:rFonts w:ascii="Times New Roman" w:eastAsia="Times New Roman" w:hAnsi="Times New Roman" w:cs="Times New Roman"/>
                <w:b/>
                <w:bCs/>
                <w:i/>
                <w:iCs/>
                <w:color w:val="000000"/>
              </w:rPr>
              <w:t>IMPORTO COMPLESSIVO</w:t>
            </w:r>
          </w:p>
        </w:tc>
        <w:tc>
          <w:tcPr>
            <w:tcW w:w="1540" w:type="dxa"/>
            <w:tcBorders>
              <w:top w:val="nil"/>
              <w:left w:val="nil"/>
              <w:bottom w:val="single" w:sz="4" w:space="0" w:color="auto"/>
              <w:right w:val="nil"/>
            </w:tcBorders>
            <w:shd w:val="clear" w:color="000000" w:fill="C5D9F1"/>
            <w:noWrap/>
            <w:vAlign w:val="center"/>
            <w:hideMark/>
          </w:tcPr>
          <w:p w14:paraId="38340682"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240" w:type="dxa"/>
            <w:tcBorders>
              <w:top w:val="nil"/>
              <w:left w:val="nil"/>
              <w:bottom w:val="single" w:sz="4" w:space="0" w:color="auto"/>
              <w:right w:val="single" w:sz="4" w:space="0" w:color="auto"/>
            </w:tcBorders>
            <w:shd w:val="clear" w:color="000000" w:fill="C5D9F1"/>
            <w:noWrap/>
            <w:vAlign w:val="center"/>
            <w:hideMark/>
          </w:tcPr>
          <w:p w14:paraId="3EEA7761"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color w:val="000000"/>
              </w:rPr>
            </w:pPr>
            <w:r w:rsidRPr="00B0209B">
              <w:rPr>
                <w:rFonts w:ascii="Times New Roman" w:eastAsia="Times New Roman" w:hAnsi="Times New Roman" w:cs="Times New Roman"/>
                <w:color w:val="000000"/>
              </w:rPr>
              <w:t> </w:t>
            </w:r>
          </w:p>
        </w:tc>
        <w:tc>
          <w:tcPr>
            <w:tcW w:w="1540" w:type="dxa"/>
            <w:tcBorders>
              <w:top w:val="nil"/>
              <w:left w:val="nil"/>
              <w:bottom w:val="single" w:sz="4" w:space="0" w:color="auto"/>
              <w:right w:val="nil"/>
            </w:tcBorders>
            <w:shd w:val="clear" w:color="000000" w:fill="C5D9F1"/>
            <w:noWrap/>
            <w:vAlign w:val="center"/>
            <w:hideMark/>
          </w:tcPr>
          <w:p w14:paraId="43F28906" w14:textId="77777777" w:rsidR="00B0209B" w:rsidRPr="00B0209B" w:rsidRDefault="00B0209B" w:rsidP="00B0209B">
            <w:pPr>
              <w:widowControl/>
              <w:autoSpaceDE/>
              <w:autoSpaceDN/>
              <w:adjustRightInd/>
              <w:spacing w:after="0"/>
              <w:jc w:val="right"/>
              <w:rPr>
                <w:rFonts w:ascii="Times New Roman" w:eastAsia="Times New Roman" w:hAnsi="Times New Roman" w:cs="Times New Roman"/>
                <w:b/>
                <w:bCs/>
                <w:i/>
                <w:iCs/>
                <w:color w:val="000000"/>
              </w:rPr>
            </w:pPr>
            <w:r w:rsidRPr="00B0209B">
              <w:rPr>
                <w:rFonts w:ascii="Times New Roman" w:eastAsia="Times New Roman" w:hAnsi="Times New Roman" w:cs="Times New Roman"/>
                <w:b/>
                <w:bCs/>
                <w:i/>
                <w:iCs/>
                <w:color w:val="000000"/>
              </w:rPr>
              <w:t>100 000,00</w:t>
            </w:r>
          </w:p>
        </w:tc>
        <w:tc>
          <w:tcPr>
            <w:tcW w:w="240" w:type="dxa"/>
            <w:tcBorders>
              <w:top w:val="nil"/>
              <w:left w:val="nil"/>
              <w:bottom w:val="single" w:sz="4" w:space="0" w:color="auto"/>
              <w:right w:val="single" w:sz="4" w:space="0" w:color="auto"/>
            </w:tcBorders>
            <w:shd w:val="clear" w:color="000000" w:fill="C5D9F1"/>
            <w:noWrap/>
            <w:vAlign w:val="center"/>
            <w:hideMark/>
          </w:tcPr>
          <w:p w14:paraId="4A7F7B47" w14:textId="77777777" w:rsidR="00B0209B" w:rsidRPr="00B0209B" w:rsidRDefault="00B0209B" w:rsidP="00B0209B">
            <w:pPr>
              <w:widowControl/>
              <w:autoSpaceDE/>
              <w:autoSpaceDN/>
              <w:adjustRightInd/>
              <w:spacing w:after="0"/>
              <w:jc w:val="center"/>
              <w:rPr>
                <w:rFonts w:ascii="Times New Roman" w:eastAsia="Times New Roman" w:hAnsi="Times New Roman" w:cs="Times New Roman"/>
                <w:b/>
                <w:bCs/>
                <w:i/>
                <w:iCs/>
                <w:color w:val="000000"/>
              </w:rPr>
            </w:pPr>
            <w:r w:rsidRPr="00B0209B">
              <w:rPr>
                <w:rFonts w:ascii="Times New Roman" w:eastAsia="Times New Roman" w:hAnsi="Times New Roman" w:cs="Times New Roman"/>
                <w:b/>
                <w:bCs/>
                <w:i/>
                <w:iCs/>
                <w:color w:val="000000"/>
              </w:rPr>
              <w:t>€</w:t>
            </w:r>
          </w:p>
        </w:tc>
      </w:tr>
    </w:tbl>
    <w:p w14:paraId="2F9B14B4" w14:textId="77777777" w:rsidR="000B6E98" w:rsidRDefault="000B6E98">
      <w:pPr>
        <w:spacing w:after="0"/>
        <w:jc w:val="center"/>
        <w:rPr>
          <w:sz w:val="24"/>
          <w:szCs w:val="24"/>
        </w:rPr>
      </w:pPr>
    </w:p>
    <w:p w14:paraId="6B760A6A" w14:textId="77777777" w:rsidR="000B6E98" w:rsidRDefault="000B6E98">
      <w:pPr>
        <w:spacing w:after="0"/>
        <w:jc w:val="center"/>
        <w:rPr>
          <w:sz w:val="24"/>
          <w:szCs w:val="24"/>
        </w:rPr>
      </w:pPr>
    </w:p>
    <w:p w14:paraId="2A7A7A39"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#{GUID_4E347C65-AFFA-4455-8FB3-F3C14ABABDB2|LIVELLO_2|TESTO_Ammontare dell'appalto_END}&amp;</w:t>
      </w:r>
      <w:bookmarkStart w:id="4" w:name="4226"/>
      <w:bookmarkEnd w:id="4"/>
      <w:r>
        <w:rPr>
          <w:rFonts w:ascii="Tahoma" w:eastAsia="Times New Roman" w:hAnsi="Tahoma"/>
          <w:b/>
          <w:sz w:val="20"/>
          <w:szCs w:val="24"/>
        </w:rPr>
        <w:t>Art 1.4</w:t>
      </w:r>
    </w:p>
    <w:p w14:paraId="37AF9DF8"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AMMONTARE DELL'APPALTO</w:t>
      </w:r>
    </w:p>
    <w:p w14:paraId="674C14F3" w14:textId="77777777" w:rsidR="000B6E98" w:rsidRDefault="000B6E98">
      <w:pPr>
        <w:spacing w:after="0"/>
        <w:ind w:firstLine="284"/>
        <w:rPr>
          <w:rFonts w:ascii="Tahoma" w:eastAsia="Times New Roman" w:hAnsi="Tahoma"/>
          <w:sz w:val="20"/>
          <w:szCs w:val="24"/>
        </w:rPr>
      </w:pPr>
    </w:p>
    <w:p w14:paraId="6CCC90A8" w14:textId="0CDE2976"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L'importo complessivo dei lavori ed oneri compresi nell'appalto, </w:t>
      </w:r>
      <w:r w:rsidRPr="00FA4621">
        <w:rPr>
          <w:rFonts w:ascii="Tahoma" w:eastAsia="Times New Roman" w:hAnsi="Tahoma"/>
          <w:sz w:val="20"/>
          <w:szCs w:val="24"/>
        </w:rPr>
        <w:t>ammonta quindi ad Euro</w:t>
      </w:r>
      <w:r w:rsidRPr="00FA4621">
        <w:rPr>
          <w:rFonts w:ascii="Tahoma" w:eastAsia="Times New Roman" w:hAnsi="Tahoma"/>
          <w:color w:val="0000FF"/>
          <w:sz w:val="20"/>
          <w:szCs w:val="24"/>
        </w:rPr>
        <w:t xml:space="preserve"> </w:t>
      </w:r>
      <w:r w:rsidR="00FA4621" w:rsidRPr="00FA4621">
        <w:rPr>
          <w:rFonts w:ascii="Tahoma" w:eastAsia="Times New Roman" w:hAnsi="Tahoma"/>
          <w:color w:val="000000"/>
          <w:sz w:val="20"/>
          <w:szCs w:val="24"/>
        </w:rPr>
        <w:t>6</w:t>
      </w:r>
      <w:r w:rsidR="002B670B">
        <w:rPr>
          <w:rFonts w:ascii="Tahoma" w:eastAsia="Times New Roman" w:hAnsi="Tahoma"/>
          <w:color w:val="000000"/>
          <w:sz w:val="20"/>
          <w:szCs w:val="24"/>
        </w:rPr>
        <w:t>7</w:t>
      </w:r>
      <w:r w:rsidR="00FA4621" w:rsidRPr="00FA4621">
        <w:rPr>
          <w:rFonts w:ascii="Tahoma" w:eastAsia="Times New Roman" w:hAnsi="Tahoma"/>
          <w:color w:val="000000"/>
          <w:sz w:val="20"/>
          <w:szCs w:val="24"/>
        </w:rPr>
        <w:t>'</w:t>
      </w:r>
      <w:r w:rsidR="00172E50">
        <w:rPr>
          <w:rFonts w:ascii="Tahoma" w:eastAsia="Times New Roman" w:hAnsi="Tahoma"/>
          <w:color w:val="000000"/>
          <w:sz w:val="20"/>
          <w:szCs w:val="24"/>
        </w:rPr>
        <w:t>544</w:t>
      </w:r>
      <w:r w:rsidR="00FA4621" w:rsidRPr="00FA4621">
        <w:rPr>
          <w:rFonts w:ascii="Tahoma" w:eastAsia="Times New Roman" w:hAnsi="Tahoma"/>
          <w:color w:val="000000"/>
          <w:sz w:val="20"/>
          <w:szCs w:val="24"/>
        </w:rPr>
        <w:t>,</w:t>
      </w:r>
      <w:r w:rsidR="00172E50">
        <w:rPr>
          <w:rFonts w:ascii="Tahoma" w:eastAsia="Times New Roman" w:hAnsi="Tahoma"/>
          <w:color w:val="000000"/>
          <w:sz w:val="20"/>
          <w:szCs w:val="24"/>
        </w:rPr>
        <w:t>99</w:t>
      </w:r>
      <w:r>
        <w:rPr>
          <w:rFonts w:ascii="Tahoma" w:eastAsia="Times New Roman" w:hAnsi="Tahoma"/>
          <w:color w:val="000000"/>
          <w:sz w:val="20"/>
          <w:szCs w:val="24"/>
        </w:rPr>
        <w:t xml:space="preserve"> </w:t>
      </w:r>
      <w:r>
        <w:rPr>
          <w:rFonts w:ascii="Tahoma" w:eastAsia="Times New Roman" w:hAnsi="Tahoma"/>
          <w:sz w:val="20"/>
          <w:szCs w:val="24"/>
        </w:rPr>
        <w:t xml:space="preserve">(diconsi Euro </w:t>
      </w:r>
      <w:proofErr w:type="spellStart"/>
      <w:r w:rsidR="00FA4621">
        <w:rPr>
          <w:rFonts w:ascii="Tahoma" w:eastAsia="Times New Roman" w:hAnsi="Tahoma"/>
          <w:sz w:val="20"/>
          <w:szCs w:val="24"/>
        </w:rPr>
        <w:t>sessantasettemila</w:t>
      </w:r>
      <w:r w:rsidR="00172E50">
        <w:rPr>
          <w:rFonts w:ascii="Tahoma" w:eastAsia="Times New Roman" w:hAnsi="Tahoma"/>
          <w:sz w:val="20"/>
          <w:szCs w:val="24"/>
        </w:rPr>
        <w:t>cinquecentoquarantaquattro</w:t>
      </w:r>
      <w:proofErr w:type="spellEnd"/>
      <w:r w:rsidR="00FA4621">
        <w:rPr>
          <w:rFonts w:ascii="Tahoma" w:eastAsia="Times New Roman" w:hAnsi="Tahoma"/>
          <w:sz w:val="20"/>
          <w:szCs w:val="24"/>
        </w:rPr>
        <w:t>/</w:t>
      </w:r>
      <w:r w:rsidR="00172E50">
        <w:rPr>
          <w:rFonts w:ascii="Tahoma" w:eastAsia="Times New Roman" w:hAnsi="Tahoma"/>
          <w:sz w:val="20"/>
          <w:szCs w:val="24"/>
        </w:rPr>
        <w:t>99</w:t>
      </w:r>
      <w:r w:rsidR="00FA4621">
        <w:rPr>
          <w:rFonts w:ascii="Tahoma" w:eastAsia="Times New Roman" w:hAnsi="Tahoma"/>
          <w:sz w:val="20"/>
          <w:szCs w:val="24"/>
        </w:rPr>
        <w:t>) oltre</w:t>
      </w:r>
      <w:r>
        <w:rPr>
          <w:rFonts w:ascii="Tahoma" w:eastAsia="Times New Roman" w:hAnsi="Tahoma"/>
          <w:sz w:val="20"/>
          <w:szCs w:val="24"/>
        </w:rPr>
        <w:t xml:space="preserve"> IVA </w:t>
      </w:r>
      <w:r w:rsidR="00FA4621">
        <w:rPr>
          <w:rFonts w:ascii="Tahoma" w:eastAsia="Times New Roman" w:hAnsi="Tahoma"/>
          <w:sz w:val="20"/>
          <w:szCs w:val="24"/>
        </w:rPr>
        <w:t>come per legge</w:t>
      </w:r>
      <w:r>
        <w:rPr>
          <w:rFonts w:ascii="Tahoma" w:eastAsia="Times New Roman" w:hAnsi="Tahoma"/>
          <w:sz w:val="20"/>
          <w:szCs w:val="24"/>
        </w:rPr>
        <w:t>.</w:t>
      </w:r>
    </w:p>
    <w:p w14:paraId="7ED669D3" w14:textId="6723B763" w:rsidR="000B6E98" w:rsidRPr="00FA4621" w:rsidRDefault="008A7A17">
      <w:pPr>
        <w:spacing w:after="0"/>
        <w:ind w:firstLine="284"/>
        <w:rPr>
          <w:rFonts w:ascii="Tahoma" w:eastAsia="Times New Roman" w:hAnsi="Tahoma"/>
          <w:sz w:val="20"/>
          <w:szCs w:val="24"/>
        </w:rPr>
      </w:pPr>
      <w:r w:rsidRPr="00FA4621">
        <w:rPr>
          <w:rFonts w:ascii="Tahoma" w:eastAsia="Times New Roman" w:hAnsi="Tahoma"/>
          <w:sz w:val="20"/>
          <w:szCs w:val="24"/>
        </w:rPr>
        <w:t xml:space="preserve">L'importo totale di cui al precedente periodo comprende l'importo di Euro </w:t>
      </w:r>
      <w:r w:rsidR="00FA4621" w:rsidRPr="00FA4621">
        <w:rPr>
          <w:rFonts w:ascii="Tahoma" w:eastAsia="Times New Roman" w:hAnsi="Tahoma"/>
          <w:sz w:val="20"/>
          <w:szCs w:val="24"/>
        </w:rPr>
        <w:t>6</w:t>
      </w:r>
      <w:r w:rsidR="00D6497C">
        <w:rPr>
          <w:rFonts w:ascii="Tahoma" w:eastAsia="Times New Roman" w:hAnsi="Tahoma"/>
          <w:sz w:val="20"/>
          <w:szCs w:val="24"/>
        </w:rPr>
        <w:t>5</w:t>
      </w:r>
      <w:r w:rsidR="00FA4621" w:rsidRPr="00FA4621">
        <w:rPr>
          <w:rFonts w:ascii="Tahoma" w:eastAsia="Times New Roman" w:hAnsi="Tahoma"/>
          <w:sz w:val="20"/>
          <w:szCs w:val="24"/>
        </w:rPr>
        <w:t>'</w:t>
      </w:r>
      <w:r w:rsidR="00D6497C">
        <w:rPr>
          <w:rFonts w:ascii="Tahoma" w:eastAsia="Times New Roman" w:hAnsi="Tahoma"/>
          <w:sz w:val="20"/>
          <w:szCs w:val="24"/>
        </w:rPr>
        <w:t>250</w:t>
      </w:r>
      <w:r w:rsidR="00FA4621" w:rsidRPr="00FA4621">
        <w:rPr>
          <w:rFonts w:ascii="Tahoma" w:eastAsia="Times New Roman" w:hAnsi="Tahoma"/>
          <w:sz w:val="20"/>
          <w:szCs w:val="24"/>
        </w:rPr>
        <w:t>,</w:t>
      </w:r>
      <w:r w:rsidR="00D6497C">
        <w:rPr>
          <w:rFonts w:ascii="Tahoma" w:eastAsia="Times New Roman" w:hAnsi="Tahoma"/>
          <w:sz w:val="20"/>
          <w:szCs w:val="24"/>
        </w:rPr>
        <w:t>21</w:t>
      </w:r>
      <w:r w:rsidRPr="00FA4621">
        <w:rPr>
          <w:rFonts w:ascii="Tahoma" w:eastAsia="Times New Roman" w:hAnsi="Tahoma"/>
          <w:sz w:val="20"/>
          <w:szCs w:val="24"/>
        </w:rPr>
        <w:t xml:space="preserve"> (diconsi Euro </w:t>
      </w:r>
      <w:proofErr w:type="spellStart"/>
      <w:r w:rsidR="00FA4621">
        <w:rPr>
          <w:rFonts w:ascii="Tahoma" w:eastAsia="Times New Roman" w:hAnsi="Tahoma"/>
          <w:sz w:val="20"/>
          <w:szCs w:val="24"/>
        </w:rPr>
        <w:t>sessanta</w:t>
      </w:r>
      <w:r w:rsidR="00D6497C">
        <w:rPr>
          <w:rFonts w:ascii="Tahoma" w:eastAsia="Times New Roman" w:hAnsi="Tahoma"/>
          <w:sz w:val="20"/>
          <w:szCs w:val="24"/>
        </w:rPr>
        <w:t>cinquemiladuecentocinquanta</w:t>
      </w:r>
      <w:proofErr w:type="spellEnd"/>
      <w:r w:rsidR="00D6497C">
        <w:rPr>
          <w:rFonts w:ascii="Tahoma" w:eastAsia="Times New Roman" w:hAnsi="Tahoma"/>
          <w:sz w:val="20"/>
          <w:szCs w:val="24"/>
        </w:rPr>
        <w:t>/21</w:t>
      </w:r>
      <w:r w:rsidRPr="00FA4621">
        <w:rPr>
          <w:rFonts w:ascii="Tahoma" w:eastAsia="Times New Roman" w:hAnsi="Tahoma"/>
          <w:sz w:val="20"/>
          <w:szCs w:val="24"/>
        </w:rPr>
        <w:t xml:space="preserve">), per lavori soggetti a ribasso d'asta, ed i costi della sicurezza di cui all'art. 100, del d.lgs. 81/2008 e </w:t>
      </w:r>
      <w:proofErr w:type="spellStart"/>
      <w:r w:rsidRPr="00FA4621">
        <w:rPr>
          <w:rFonts w:ascii="Tahoma" w:eastAsia="Times New Roman" w:hAnsi="Tahoma"/>
          <w:sz w:val="20"/>
          <w:szCs w:val="24"/>
        </w:rPr>
        <w:t>s.m.i.</w:t>
      </w:r>
      <w:proofErr w:type="spellEnd"/>
      <w:r w:rsidRPr="00FA4621">
        <w:rPr>
          <w:rFonts w:ascii="Tahoma" w:eastAsia="Times New Roman" w:hAnsi="Tahoma"/>
          <w:sz w:val="20"/>
          <w:szCs w:val="24"/>
        </w:rPr>
        <w:t xml:space="preserve">, stimati in Euro </w:t>
      </w:r>
      <w:r w:rsidR="00FA4621">
        <w:rPr>
          <w:rFonts w:ascii="Tahoma" w:eastAsia="Times New Roman" w:hAnsi="Tahoma"/>
          <w:sz w:val="20"/>
          <w:szCs w:val="24"/>
        </w:rPr>
        <w:t>2'</w:t>
      </w:r>
      <w:r w:rsidR="00172E50">
        <w:rPr>
          <w:rFonts w:ascii="Tahoma" w:eastAsia="Times New Roman" w:hAnsi="Tahoma"/>
          <w:sz w:val="20"/>
          <w:szCs w:val="24"/>
        </w:rPr>
        <w:t>2</w:t>
      </w:r>
      <w:r w:rsidR="006A1953">
        <w:rPr>
          <w:rFonts w:ascii="Tahoma" w:eastAsia="Times New Roman" w:hAnsi="Tahoma"/>
          <w:sz w:val="20"/>
          <w:szCs w:val="24"/>
        </w:rPr>
        <w:t>94</w:t>
      </w:r>
      <w:r w:rsidR="00FA4621">
        <w:rPr>
          <w:rFonts w:ascii="Tahoma" w:eastAsia="Times New Roman" w:hAnsi="Tahoma"/>
          <w:sz w:val="20"/>
          <w:szCs w:val="24"/>
        </w:rPr>
        <w:t>,</w:t>
      </w:r>
      <w:r w:rsidR="006A1953">
        <w:rPr>
          <w:rFonts w:ascii="Tahoma" w:eastAsia="Times New Roman" w:hAnsi="Tahoma"/>
          <w:sz w:val="20"/>
          <w:szCs w:val="24"/>
        </w:rPr>
        <w:t>78</w:t>
      </w:r>
      <w:r w:rsidRPr="00FA4621">
        <w:rPr>
          <w:rFonts w:ascii="Tahoma" w:eastAsia="Times New Roman" w:hAnsi="Tahoma"/>
          <w:sz w:val="20"/>
          <w:szCs w:val="24"/>
        </w:rPr>
        <w:t xml:space="preserve"> (diconsi Euro </w:t>
      </w:r>
      <w:proofErr w:type="spellStart"/>
      <w:r w:rsidR="00FA4621">
        <w:rPr>
          <w:rFonts w:ascii="Tahoma" w:eastAsia="Times New Roman" w:hAnsi="Tahoma"/>
          <w:sz w:val="20"/>
          <w:szCs w:val="24"/>
        </w:rPr>
        <w:t>duemila</w:t>
      </w:r>
      <w:r w:rsidR="00172E50">
        <w:rPr>
          <w:rFonts w:ascii="Tahoma" w:eastAsia="Times New Roman" w:hAnsi="Tahoma"/>
          <w:sz w:val="20"/>
          <w:szCs w:val="24"/>
        </w:rPr>
        <w:t>duecento</w:t>
      </w:r>
      <w:r w:rsidR="006A1953">
        <w:rPr>
          <w:rFonts w:ascii="Tahoma" w:eastAsia="Times New Roman" w:hAnsi="Tahoma"/>
          <w:sz w:val="20"/>
          <w:szCs w:val="24"/>
        </w:rPr>
        <w:t>novantaquattro</w:t>
      </w:r>
      <w:proofErr w:type="spellEnd"/>
      <w:r w:rsidR="006A1953">
        <w:rPr>
          <w:rFonts w:ascii="Tahoma" w:eastAsia="Times New Roman" w:hAnsi="Tahoma"/>
          <w:sz w:val="20"/>
          <w:szCs w:val="24"/>
        </w:rPr>
        <w:t>/78</w:t>
      </w:r>
      <w:r w:rsidRPr="00FA4621">
        <w:rPr>
          <w:rFonts w:ascii="Tahoma" w:eastAsia="Times New Roman" w:hAnsi="Tahoma"/>
          <w:sz w:val="20"/>
          <w:szCs w:val="24"/>
        </w:rPr>
        <w:t>), che non sono soggetti a tale ribasso</w:t>
      </w:r>
      <w:r w:rsidR="006A1953">
        <w:rPr>
          <w:rFonts w:ascii="Tahoma" w:eastAsia="Times New Roman" w:hAnsi="Tahoma"/>
          <w:sz w:val="20"/>
          <w:szCs w:val="24"/>
        </w:rPr>
        <w:t>,</w:t>
      </w:r>
      <w:r w:rsidR="006A1953" w:rsidRPr="006A1953">
        <w:rPr>
          <w:rFonts w:ascii="Tahoma" w:hAnsi="Tahoma"/>
          <w:sz w:val="20"/>
        </w:rPr>
        <w:t xml:space="preserve"> </w:t>
      </w:r>
      <w:r w:rsidR="006A1953">
        <w:rPr>
          <w:rFonts w:ascii="Tahoma" w:eastAsia="Times New Roman" w:hAnsi="Tahoma"/>
          <w:sz w:val="20"/>
        </w:rPr>
        <w:t>importi comprensivi dell’</w:t>
      </w:r>
      <w:r w:rsidR="006A1953">
        <w:rPr>
          <w:rFonts w:ascii="Tahoma" w:hAnsi="Tahoma" w:cs="Tahoma"/>
          <w:sz w:val="20"/>
          <w:szCs w:val="20"/>
        </w:rPr>
        <w:t>incremento dell’1,7% di cui ai punti 8 e 9 della D.G.R. 1335 del 22/12/2021</w:t>
      </w:r>
      <w:r w:rsidRPr="00FA4621">
        <w:rPr>
          <w:rFonts w:ascii="Tahoma" w:eastAsia="Times New Roman" w:hAnsi="Tahoma"/>
          <w:sz w:val="20"/>
          <w:szCs w:val="24"/>
        </w:rPr>
        <w:t>.</w:t>
      </w:r>
    </w:p>
    <w:p w14:paraId="02A6B9F8" w14:textId="77777777" w:rsidR="000B6E98" w:rsidRPr="00FA4621" w:rsidRDefault="008A7A17">
      <w:pPr>
        <w:spacing w:after="0"/>
        <w:ind w:firstLine="284"/>
        <w:rPr>
          <w:rFonts w:ascii="Tahoma" w:eastAsia="Times New Roman" w:hAnsi="Tahoma"/>
          <w:sz w:val="20"/>
          <w:szCs w:val="24"/>
        </w:rPr>
      </w:pPr>
      <w:r w:rsidRPr="00FA4621">
        <w:rPr>
          <w:rFonts w:ascii="Tahoma" w:eastAsia="Times New Roman" w:hAnsi="Tahoma"/>
          <w:sz w:val="20"/>
          <w:szCs w:val="24"/>
        </w:rPr>
        <w:t>Saranno riconosciuti, a valere sulle somme a disposizione della stazione appaltante indicate nei quadri economici dell’intervento e, ove necessario, utilizzando anche le economie derivanti dai ribassi d’asta, i maggiori costi derivanti dall’adeguamento e dall’integrazione, da parte del coordinatore della sicurezza in fase di esecuzione, del piano di sicurezza e coordinamento, in attuazione delle misure di contenimento di cui agli articoli 1 e 2 del decreto-legge 23 febbraio 2020, n. 6, convertito, con modificazioni, dalla legge 5 marzo 2020, n. 13, e all’articolo 1 del decreto-legge 25 marzo 2020, n. 19, convertito, con modificazioni, dalla legge 22 maggio 2020, n. 35, e il rimborso di detti oneri avviene in occasione del pagamento del primo stato di avanzamento successivo all’approvazione dell’aggiornamento del piano di sicurezza e coordinamento recante la quantificazione degli oneri aggiuntivi.</w:t>
      </w:r>
    </w:p>
    <w:p w14:paraId="51390B60"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Gli operatori economici partecipanti alla gara d'appalto dovranno indicare espressamente nella propria offerta</w:t>
      </w:r>
      <w:r>
        <w:rPr>
          <w:rFonts w:ascii="Tahoma" w:eastAsia="Times New Roman" w:hAnsi="Tahoma"/>
          <w:color w:val="000000"/>
          <w:sz w:val="20"/>
          <w:szCs w:val="24"/>
        </w:rPr>
        <w:t xml:space="preserve"> i propri costi della manodopera e gli oneri aziendali concernenti l'adempimento delle disposizioni in materia di salute e sicurezza sui luoghi di lavoro ad esclusione delle forniture senza posa in opera così come richiesto </w:t>
      </w:r>
      <w:r>
        <w:rPr>
          <w:rFonts w:ascii="Tahoma" w:eastAsia="Times New Roman" w:hAnsi="Tahoma"/>
          <w:sz w:val="20"/>
          <w:szCs w:val="24"/>
        </w:rPr>
        <w:t xml:space="preserve">dall’art. 95, comma 10, del d.lgs. 50/2016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per la verifica di congruità dell’offerta. </w:t>
      </w:r>
    </w:p>
    <w:p w14:paraId="18E04D02" w14:textId="153C021C" w:rsidR="000B6E98" w:rsidRDefault="008A7A17">
      <w:pPr>
        <w:spacing w:after="0"/>
        <w:ind w:firstLine="284"/>
        <w:rPr>
          <w:rFonts w:ascii="Tahoma" w:eastAsia="Times New Roman" w:hAnsi="Tahoma"/>
          <w:sz w:val="20"/>
          <w:szCs w:val="24"/>
        </w:rPr>
      </w:pPr>
      <w:r>
        <w:rPr>
          <w:rFonts w:ascii="Tahoma" w:eastAsia="Times New Roman" w:hAnsi="Tahoma"/>
          <w:sz w:val="20"/>
          <w:szCs w:val="24"/>
        </w:rPr>
        <w:t>Le categorie di lavoro previste nell'appalto sono le seguenti:</w:t>
      </w:r>
    </w:p>
    <w:p w14:paraId="3A29BBBF" w14:textId="77777777" w:rsidR="006A1953" w:rsidRDefault="006A1953">
      <w:pPr>
        <w:spacing w:after="0"/>
        <w:ind w:firstLine="284"/>
        <w:rPr>
          <w:rFonts w:ascii="Tahoma" w:eastAsia="Times New Roman" w:hAnsi="Tahoma"/>
          <w:sz w:val="20"/>
          <w:szCs w:val="24"/>
        </w:rPr>
      </w:pPr>
    </w:p>
    <w:p w14:paraId="6FF70D48" w14:textId="77777777" w:rsidR="000B6E98" w:rsidRDefault="000B6E98">
      <w:pPr>
        <w:spacing w:after="0"/>
        <w:ind w:firstLine="284"/>
        <w:rPr>
          <w:rFonts w:ascii="Tahoma" w:eastAsia="Times New Roman" w:hAnsi="Tahoma"/>
          <w:sz w:val="20"/>
          <w:szCs w:val="24"/>
        </w:rPr>
      </w:pPr>
    </w:p>
    <w:p w14:paraId="73C56EE6" w14:textId="77777777" w:rsidR="000B6E98" w:rsidRDefault="008A7A17">
      <w:pPr>
        <w:spacing w:after="0"/>
        <w:ind w:firstLine="284"/>
        <w:rPr>
          <w:rFonts w:ascii="Tahoma" w:eastAsia="Times New Roman" w:hAnsi="Tahoma"/>
          <w:b/>
          <w:sz w:val="20"/>
          <w:szCs w:val="24"/>
        </w:rPr>
      </w:pPr>
      <w:r>
        <w:rPr>
          <w:rFonts w:ascii="Tahoma" w:eastAsia="Times New Roman" w:hAnsi="Tahoma"/>
          <w:b/>
          <w:sz w:val="20"/>
          <w:szCs w:val="24"/>
        </w:rPr>
        <w:t>a) CATEGORIA PREVALENTE</w:t>
      </w:r>
    </w:p>
    <w:p w14:paraId="783C758C" w14:textId="77777777" w:rsidR="000B6E98" w:rsidRDefault="000B6E98">
      <w:pPr>
        <w:spacing w:after="0"/>
        <w:ind w:firstLine="284"/>
        <w:rPr>
          <w:rFonts w:ascii="Tahoma" w:eastAsia="Times New Roman" w:hAnsi="Tahoma"/>
          <w:b/>
          <w:sz w:val="20"/>
          <w:szCs w:val="24"/>
        </w:rPr>
      </w:pPr>
    </w:p>
    <w:tbl>
      <w:tblPr>
        <w:tblW w:w="0" w:type="auto"/>
        <w:tblInd w:w="65" w:type="dxa"/>
        <w:tblLayout w:type="fixed"/>
        <w:tblCellMar>
          <w:left w:w="60" w:type="dxa"/>
          <w:right w:w="60" w:type="dxa"/>
        </w:tblCellMar>
        <w:tblLook w:val="0000" w:firstRow="0" w:lastRow="0" w:firstColumn="0" w:lastColumn="0" w:noHBand="0" w:noVBand="0"/>
      </w:tblPr>
      <w:tblGrid>
        <w:gridCol w:w="710"/>
        <w:gridCol w:w="3479"/>
        <w:gridCol w:w="1207"/>
        <w:gridCol w:w="3621"/>
        <w:gridCol w:w="611"/>
      </w:tblGrid>
      <w:tr w:rsidR="000B6E98" w14:paraId="05FD308E" w14:textId="77777777">
        <w:trPr>
          <w:trHeight w:hRule="exact" w:val="303"/>
        </w:trPr>
        <w:tc>
          <w:tcPr>
            <w:tcW w:w="710"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42766FC6" w14:textId="77777777" w:rsidR="000B6E98" w:rsidRPr="001E06B9" w:rsidRDefault="008A7A17">
            <w:pPr>
              <w:spacing w:after="0"/>
              <w:jc w:val="center"/>
              <w:rPr>
                <w:rFonts w:ascii="Tahoma" w:eastAsia="Times New Roman" w:hAnsi="Tahoma"/>
                <w:b/>
                <w:sz w:val="20"/>
                <w:szCs w:val="24"/>
              </w:rPr>
            </w:pPr>
            <w:r w:rsidRPr="001E06B9">
              <w:rPr>
                <w:rFonts w:ascii="Tahoma" w:eastAsia="Times New Roman" w:hAnsi="Tahoma"/>
                <w:b/>
                <w:sz w:val="20"/>
                <w:szCs w:val="24"/>
              </w:rPr>
              <w:t>Cod.</w:t>
            </w:r>
          </w:p>
        </w:tc>
        <w:tc>
          <w:tcPr>
            <w:tcW w:w="3479"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54AAD8C5" w14:textId="77777777" w:rsidR="000B6E98" w:rsidRPr="001E06B9" w:rsidRDefault="008A7A17">
            <w:pPr>
              <w:spacing w:after="0"/>
              <w:jc w:val="center"/>
              <w:rPr>
                <w:rFonts w:ascii="Tahoma" w:eastAsia="Times New Roman" w:hAnsi="Tahoma"/>
                <w:b/>
                <w:sz w:val="20"/>
                <w:szCs w:val="24"/>
              </w:rPr>
            </w:pPr>
            <w:r w:rsidRPr="001E06B9">
              <w:rPr>
                <w:rFonts w:ascii="Tahoma" w:eastAsia="Times New Roman" w:hAnsi="Tahoma"/>
                <w:b/>
                <w:sz w:val="20"/>
                <w:szCs w:val="24"/>
              </w:rPr>
              <w:t>Descrizione</w:t>
            </w:r>
          </w:p>
        </w:tc>
        <w:tc>
          <w:tcPr>
            <w:tcW w:w="5439" w:type="dxa"/>
            <w:gridSpan w:val="3"/>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394ACF3D" w14:textId="77777777" w:rsidR="000B6E98" w:rsidRPr="001E06B9" w:rsidRDefault="008A7A17">
            <w:pPr>
              <w:spacing w:after="0"/>
              <w:jc w:val="center"/>
              <w:rPr>
                <w:rFonts w:ascii="Tahoma" w:eastAsia="Times New Roman" w:hAnsi="Tahoma"/>
                <w:b/>
                <w:sz w:val="20"/>
                <w:szCs w:val="24"/>
              </w:rPr>
            </w:pPr>
            <w:r w:rsidRPr="001E06B9">
              <w:rPr>
                <w:rFonts w:ascii="Tahoma" w:eastAsia="Times New Roman" w:hAnsi="Tahoma"/>
                <w:b/>
                <w:sz w:val="20"/>
                <w:szCs w:val="24"/>
              </w:rPr>
              <w:t>Importo (Euro)</w:t>
            </w:r>
          </w:p>
        </w:tc>
      </w:tr>
      <w:tr w:rsidR="000B6E98" w14:paraId="686D2419" w14:textId="77777777">
        <w:trPr>
          <w:trHeight w:hRule="exact" w:val="303"/>
        </w:trPr>
        <w:tc>
          <w:tcPr>
            <w:tcW w:w="710"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5D3C5F72" w14:textId="77777777" w:rsidR="000B6E98" w:rsidRPr="001E06B9" w:rsidRDefault="000B6E98">
            <w:pPr>
              <w:spacing w:after="0"/>
              <w:jc w:val="center"/>
              <w:rPr>
                <w:rFonts w:ascii="Tahoma" w:eastAsia="Times New Roman" w:hAnsi="Tahoma"/>
                <w:b/>
                <w:sz w:val="20"/>
                <w:szCs w:val="24"/>
              </w:rPr>
            </w:pPr>
          </w:p>
        </w:tc>
        <w:tc>
          <w:tcPr>
            <w:tcW w:w="3479"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70268A87" w14:textId="77777777" w:rsidR="000B6E98" w:rsidRPr="001E06B9" w:rsidRDefault="000B6E98">
            <w:pPr>
              <w:spacing w:after="0"/>
              <w:rPr>
                <w:rFonts w:ascii="Tahoma" w:eastAsia="Times New Roman" w:hAnsi="Tahoma"/>
                <w:b/>
                <w:sz w:val="20"/>
                <w:szCs w:val="24"/>
              </w:rPr>
            </w:pPr>
          </w:p>
        </w:tc>
        <w:tc>
          <w:tcPr>
            <w:tcW w:w="1207"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119D4F63" w14:textId="77777777" w:rsidR="000B6E98" w:rsidRPr="001E06B9" w:rsidRDefault="008A7A17">
            <w:pPr>
              <w:spacing w:after="0"/>
              <w:jc w:val="center"/>
              <w:rPr>
                <w:rFonts w:ascii="Tahoma" w:eastAsia="Times New Roman" w:hAnsi="Tahoma"/>
                <w:b/>
                <w:sz w:val="20"/>
                <w:szCs w:val="24"/>
              </w:rPr>
            </w:pPr>
            <w:r w:rsidRPr="001E06B9">
              <w:rPr>
                <w:rFonts w:ascii="Tahoma" w:eastAsia="Times New Roman" w:hAnsi="Tahoma"/>
                <w:b/>
                <w:sz w:val="20"/>
                <w:szCs w:val="24"/>
              </w:rPr>
              <w:t xml:space="preserve"> in cifre</w:t>
            </w:r>
          </w:p>
        </w:tc>
        <w:tc>
          <w:tcPr>
            <w:tcW w:w="3621"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5AFB43A2" w14:textId="77777777" w:rsidR="000B6E98" w:rsidRPr="001E06B9" w:rsidRDefault="008A7A17">
            <w:pPr>
              <w:spacing w:after="0"/>
              <w:jc w:val="center"/>
              <w:rPr>
                <w:rFonts w:ascii="Tahoma" w:eastAsia="Times New Roman" w:hAnsi="Tahoma"/>
                <w:b/>
                <w:sz w:val="20"/>
                <w:szCs w:val="24"/>
              </w:rPr>
            </w:pPr>
            <w:r w:rsidRPr="001E06B9">
              <w:rPr>
                <w:rFonts w:ascii="Tahoma" w:eastAsia="Times New Roman" w:hAnsi="Tahoma"/>
                <w:b/>
                <w:sz w:val="20"/>
                <w:szCs w:val="24"/>
              </w:rPr>
              <w:t>in lettere</w:t>
            </w:r>
          </w:p>
        </w:tc>
        <w:tc>
          <w:tcPr>
            <w:tcW w:w="610"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745E804E" w14:textId="77777777" w:rsidR="000B6E98" w:rsidRPr="001E06B9" w:rsidRDefault="008A7A17">
            <w:pPr>
              <w:spacing w:after="0"/>
              <w:jc w:val="center"/>
              <w:rPr>
                <w:rFonts w:ascii="Tahoma" w:eastAsia="Times New Roman" w:hAnsi="Tahoma"/>
                <w:b/>
                <w:sz w:val="20"/>
                <w:szCs w:val="24"/>
              </w:rPr>
            </w:pPr>
            <w:r w:rsidRPr="001E06B9">
              <w:rPr>
                <w:rFonts w:ascii="Tahoma" w:eastAsia="Times New Roman" w:hAnsi="Tahoma"/>
                <w:b/>
                <w:sz w:val="20"/>
                <w:szCs w:val="24"/>
              </w:rPr>
              <w:t>%</w:t>
            </w:r>
          </w:p>
        </w:tc>
      </w:tr>
      <w:tr w:rsidR="000B6E98" w14:paraId="3E964EBB" w14:textId="77777777">
        <w:trPr>
          <w:trHeight w:hRule="exact" w:val="393"/>
        </w:trPr>
        <w:tc>
          <w:tcPr>
            <w:tcW w:w="710"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3E0EC559" w14:textId="055D0884" w:rsidR="000B6E98" w:rsidRPr="001E06B9" w:rsidRDefault="008A7A17">
            <w:pPr>
              <w:spacing w:after="0"/>
              <w:jc w:val="center"/>
              <w:rPr>
                <w:rFonts w:ascii="Tahoma" w:eastAsia="Times New Roman" w:hAnsi="Tahoma"/>
                <w:b/>
                <w:sz w:val="20"/>
                <w:szCs w:val="24"/>
              </w:rPr>
            </w:pPr>
            <w:r w:rsidRPr="001E06B9">
              <w:rPr>
                <w:rFonts w:ascii="Tahoma" w:eastAsia="Times New Roman" w:hAnsi="Tahoma"/>
                <w:b/>
                <w:sz w:val="20"/>
                <w:szCs w:val="24"/>
              </w:rPr>
              <w:t>O</w:t>
            </w:r>
            <w:r w:rsidR="00B90AB2" w:rsidRPr="001E06B9">
              <w:rPr>
                <w:rFonts w:ascii="Tahoma" w:eastAsia="Times New Roman" w:hAnsi="Tahoma"/>
                <w:b/>
                <w:sz w:val="20"/>
                <w:szCs w:val="24"/>
              </w:rPr>
              <w:t>G1</w:t>
            </w:r>
          </w:p>
        </w:tc>
        <w:tc>
          <w:tcPr>
            <w:tcW w:w="3479"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7B5C13F" w14:textId="2C966FE2" w:rsidR="000B6E98" w:rsidRPr="001E06B9" w:rsidRDefault="001E06B9">
            <w:pPr>
              <w:spacing w:after="0"/>
              <w:jc w:val="left"/>
              <w:rPr>
                <w:rFonts w:ascii="Tahoma" w:eastAsia="Times New Roman" w:hAnsi="Tahoma"/>
                <w:b/>
                <w:sz w:val="18"/>
                <w:szCs w:val="24"/>
              </w:rPr>
            </w:pPr>
            <w:r w:rsidRPr="001E06B9">
              <w:rPr>
                <w:rFonts w:ascii="Tahoma" w:eastAsia="Times New Roman" w:hAnsi="Tahoma"/>
                <w:sz w:val="20"/>
                <w:szCs w:val="24"/>
              </w:rPr>
              <w:t>EDIFICI CIVILIE E INDUSTRIALI</w:t>
            </w:r>
          </w:p>
        </w:tc>
        <w:tc>
          <w:tcPr>
            <w:tcW w:w="1207"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2C36686" w14:textId="21BC46E0" w:rsidR="000B6E98" w:rsidRPr="001E06B9" w:rsidRDefault="00612C95">
            <w:pPr>
              <w:spacing w:after="0"/>
              <w:jc w:val="center"/>
              <w:rPr>
                <w:rFonts w:ascii="Tahoma" w:eastAsia="Times New Roman" w:hAnsi="Tahoma"/>
                <w:sz w:val="18"/>
                <w:szCs w:val="24"/>
              </w:rPr>
            </w:pPr>
            <w:r>
              <w:rPr>
                <w:rFonts w:ascii="Tahoma" w:eastAsia="Times New Roman" w:hAnsi="Tahoma"/>
                <w:sz w:val="18"/>
                <w:szCs w:val="24"/>
              </w:rPr>
              <w:t>6</w:t>
            </w:r>
            <w:r w:rsidR="006A1953">
              <w:rPr>
                <w:rFonts w:ascii="Tahoma" w:eastAsia="Times New Roman" w:hAnsi="Tahoma"/>
                <w:sz w:val="18"/>
                <w:szCs w:val="24"/>
              </w:rPr>
              <w:t>7</w:t>
            </w:r>
            <w:r w:rsidR="001E06B9">
              <w:rPr>
                <w:rFonts w:ascii="Tahoma" w:eastAsia="Times New Roman" w:hAnsi="Tahoma"/>
                <w:sz w:val="18"/>
                <w:szCs w:val="24"/>
              </w:rPr>
              <w:t>’</w:t>
            </w:r>
            <w:r w:rsidR="00E54D35">
              <w:rPr>
                <w:rFonts w:ascii="Tahoma" w:eastAsia="Times New Roman" w:hAnsi="Tahoma"/>
                <w:sz w:val="18"/>
                <w:szCs w:val="24"/>
              </w:rPr>
              <w:t>5</w:t>
            </w:r>
            <w:r w:rsidR="006A1953">
              <w:rPr>
                <w:rFonts w:ascii="Tahoma" w:eastAsia="Times New Roman" w:hAnsi="Tahoma"/>
                <w:sz w:val="18"/>
                <w:szCs w:val="24"/>
              </w:rPr>
              <w:t>44</w:t>
            </w:r>
            <w:r w:rsidR="008A7A17" w:rsidRPr="001E06B9">
              <w:rPr>
                <w:rFonts w:ascii="Tahoma" w:eastAsia="Times New Roman" w:hAnsi="Tahoma"/>
                <w:sz w:val="18"/>
                <w:szCs w:val="24"/>
              </w:rPr>
              <w:t>,</w:t>
            </w:r>
            <w:r w:rsidR="006A1953">
              <w:rPr>
                <w:rFonts w:ascii="Tahoma" w:eastAsia="Times New Roman" w:hAnsi="Tahoma"/>
                <w:sz w:val="18"/>
                <w:szCs w:val="24"/>
              </w:rPr>
              <w:t>99</w:t>
            </w:r>
          </w:p>
        </w:tc>
        <w:tc>
          <w:tcPr>
            <w:tcW w:w="3621"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4D411E50" w14:textId="39BE1088" w:rsidR="000B6E98" w:rsidRPr="001E06B9" w:rsidRDefault="00612C95">
            <w:pPr>
              <w:spacing w:after="0"/>
              <w:jc w:val="center"/>
              <w:rPr>
                <w:rFonts w:ascii="Tahoma" w:eastAsia="Times New Roman" w:hAnsi="Tahoma"/>
                <w:sz w:val="18"/>
                <w:szCs w:val="24"/>
              </w:rPr>
            </w:pPr>
            <w:proofErr w:type="spellStart"/>
            <w:r>
              <w:rPr>
                <w:rFonts w:ascii="Tahoma" w:eastAsia="Times New Roman" w:hAnsi="Tahoma"/>
                <w:sz w:val="18"/>
                <w:szCs w:val="24"/>
              </w:rPr>
              <w:t>Sessant</w:t>
            </w:r>
            <w:r w:rsidR="006A1953">
              <w:rPr>
                <w:rFonts w:ascii="Tahoma" w:eastAsia="Times New Roman" w:hAnsi="Tahoma"/>
                <w:sz w:val="18"/>
                <w:szCs w:val="24"/>
              </w:rPr>
              <w:t>asettemilacinquecentoquarantaquattro</w:t>
            </w:r>
            <w:proofErr w:type="spellEnd"/>
            <w:r>
              <w:rPr>
                <w:rFonts w:ascii="Tahoma" w:eastAsia="Times New Roman" w:hAnsi="Tahoma"/>
                <w:sz w:val="18"/>
                <w:szCs w:val="24"/>
              </w:rPr>
              <w:t>/</w:t>
            </w:r>
            <w:r w:rsidR="006A1953">
              <w:rPr>
                <w:rFonts w:ascii="Tahoma" w:eastAsia="Times New Roman" w:hAnsi="Tahoma"/>
                <w:sz w:val="18"/>
                <w:szCs w:val="24"/>
              </w:rPr>
              <w:t>99</w:t>
            </w:r>
          </w:p>
        </w:tc>
        <w:tc>
          <w:tcPr>
            <w:tcW w:w="610" w:type="dxa"/>
            <w:vMerge w:val="restart"/>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634B1D0" w14:textId="15AB3CE4" w:rsidR="000B6E98" w:rsidRPr="001E06B9" w:rsidRDefault="006A1953">
            <w:pPr>
              <w:spacing w:after="0"/>
              <w:jc w:val="center"/>
              <w:rPr>
                <w:rFonts w:ascii="Tahoma" w:eastAsia="Times New Roman" w:hAnsi="Tahoma"/>
                <w:sz w:val="18"/>
                <w:szCs w:val="24"/>
              </w:rPr>
            </w:pPr>
            <w:r>
              <w:rPr>
                <w:rFonts w:ascii="Tahoma" w:eastAsia="Times New Roman" w:hAnsi="Tahoma"/>
                <w:sz w:val="18"/>
                <w:szCs w:val="24"/>
              </w:rPr>
              <w:t>100</w:t>
            </w:r>
          </w:p>
        </w:tc>
      </w:tr>
      <w:tr w:rsidR="000B6E98" w14:paraId="3FFEFCBC" w14:textId="77777777">
        <w:trPr>
          <w:trHeight w:hRule="exact" w:val="603"/>
        </w:trPr>
        <w:tc>
          <w:tcPr>
            <w:tcW w:w="71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2757316E" w14:textId="77777777" w:rsidR="000B6E98" w:rsidRDefault="000B6E98">
            <w:pPr>
              <w:spacing w:after="0"/>
              <w:ind w:firstLine="284"/>
              <w:rPr>
                <w:rFonts w:ascii="Tahoma" w:eastAsia="Times New Roman" w:hAnsi="Tahoma"/>
                <w:b/>
                <w:sz w:val="20"/>
                <w:szCs w:val="24"/>
              </w:rPr>
            </w:pPr>
          </w:p>
        </w:tc>
        <w:tc>
          <w:tcPr>
            <w:tcW w:w="3479"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710061A" w14:textId="77777777" w:rsidR="000B6E98" w:rsidRDefault="000B6E98">
            <w:pPr>
              <w:spacing w:after="0"/>
              <w:jc w:val="left"/>
              <w:rPr>
                <w:rFonts w:ascii="Tahoma" w:eastAsia="Times New Roman" w:hAnsi="Tahoma"/>
                <w:b/>
                <w:sz w:val="18"/>
                <w:szCs w:val="24"/>
              </w:rPr>
            </w:pPr>
          </w:p>
        </w:tc>
        <w:tc>
          <w:tcPr>
            <w:tcW w:w="1207"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CC6F5AE" w14:textId="77777777" w:rsidR="000B6E98" w:rsidRDefault="000B6E98">
            <w:pPr>
              <w:spacing w:after="0"/>
              <w:jc w:val="center"/>
              <w:rPr>
                <w:rFonts w:ascii="Tahoma" w:eastAsia="Times New Roman" w:hAnsi="Tahoma"/>
                <w:sz w:val="18"/>
                <w:szCs w:val="24"/>
              </w:rPr>
            </w:pPr>
          </w:p>
        </w:tc>
        <w:tc>
          <w:tcPr>
            <w:tcW w:w="3621"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17CBCCB6" w14:textId="77777777" w:rsidR="000B6E98" w:rsidRDefault="000B6E98">
            <w:pPr>
              <w:spacing w:after="0"/>
              <w:jc w:val="center"/>
              <w:rPr>
                <w:rFonts w:ascii="Tahoma" w:eastAsia="Times New Roman" w:hAnsi="Tahoma"/>
                <w:sz w:val="18"/>
                <w:szCs w:val="24"/>
              </w:rPr>
            </w:pPr>
          </w:p>
        </w:tc>
        <w:tc>
          <w:tcPr>
            <w:tcW w:w="610" w:type="dxa"/>
            <w:vMerge/>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07913F3" w14:textId="77777777" w:rsidR="000B6E98" w:rsidRDefault="000B6E98">
            <w:pPr>
              <w:spacing w:after="0"/>
              <w:jc w:val="center"/>
              <w:rPr>
                <w:rFonts w:ascii="Tahoma" w:eastAsia="Times New Roman" w:hAnsi="Tahoma"/>
                <w:sz w:val="18"/>
                <w:szCs w:val="24"/>
              </w:rPr>
            </w:pPr>
          </w:p>
        </w:tc>
      </w:tr>
    </w:tbl>
    <w:p w14:paraId="34329FA0" w14:textId="77777777" w:rsidR="000B6E98" w:rsidRDefault="000B6E98">
      <w:pPr>
        <w:spacing w:after="0"/>
        <w:ind w:firstLine="284"/>
        <w:rPr>
          <w:rFonts w:ascii="Tahoma" w:eastAsia="Times New Roman" w:hAnsi="Tahoma"/>
          <w:b/>
          <w:sz w:val="20"/>
          <w:szCs w:val="24"/>
        </w:rPr>
      </w:pPr>
    </w:p>
    <w:p w14:paraId="15228E93" w14:textId="77777777" w:rsidR="000B6E98" w:rsidRDefault="000B6E98">
      <w:pPr>
        <w:spacing w:after="0"/>
        <w:ind w:firstLine="284"/>
        <w:rPr>
          <w:rFonts w:ascii="Tahoma" w:eastAsia="Times New Roman" w:hAnsi="Tahoma"/>
          <w:b/>
          <w:sz w:val="20"/>
          <w:szCs w:val="24"/>
        </w:rPr>
      </w:pPr>
    </w:p>
    <w:p w14:paraId="385A18EC" w14:textId="77777777" w:rsidR="000B6E98" w:rsidRDefault="000B6E98">
      <w:pPr>
        <w:spacing w:after="0"/>
        <w:ind w:firstLine="284"/>
        <w:rPr>
          <w:rFonts w:ascii="Tahoma" w:eastAsia="Times New Roman" w:hAnsi="Tahoma"/>
          <w:sz w:val="20"/>
          <w:szCs w:val="24"/>
        </w:rPr>
      </w:pPr>
    </w:p>
    <w:p w14:paraId="4E9BE83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Restano esclusi dall'appalto i lavori che la Stazione Appaltante si riserva di affidare in tutto od in parte ad altra ditta senza che l'Appaltatore possa fare alcuna eccezione o richiedere compenso alcuno.</w:t>
      </w:r>
    </w:p>
    <w:p w14:paraId="4E279703" w14:textId="77777777" w:rsidR="000B6E98" w:rsidRDefault="000B6E98">
      <w:pPr>
        <w:spacing w:after="0"/>
        <w:ind w:firstLine="284"/>
        <w:rPr>
          <w:rFonts w:ascii="Tahoma" w:eastAsia="Times New Roman" w:hAnsi="Tahoma"/>
          <w:sz w:val="20"/>
          <w:szCs w:val="24"/>
        </w:rPr>
      </w:pPr>
    </w:p>
    <w:p w14:paraId="5FD9278D" w14:textId="77777777" w:rsidR="000B6E98" w:rsidRDefault="000B6E98">
      <w:pPr>
        <w:spacing w:after="0"/>
        <w:ind w:firstLine="284"/>
        <w:rPr>
          <w:rFonts w:ascii="Tahoma" w:eastAsia="Times New Roman" w:hAnsi="Tahoma"/>
          <w:sz w:val="20"/>
          <w:szCs w:val="24"/>
        </w:rPr>
      </w:pPr>
    </w:p>
    <w:p w14:paraId="28CF47C8"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#{GUID_F75C57E5-FAF1-4BEA-A194-9ECC66D8F9F0|LIVELLO_2|TESTO_Affidamento e contratto_END}&amp;</w:t>
      </w:r>
      <w:bookmarkStart w:id="5" w:name="4227"/>
      <w:bookmarkEnd w:id="5"/>
      <w:r>
        <w:rPr>
          <w:rFonts w:ascii="Tahoma" w:eastAsia="Times New Roman" w:hAnsi="Tahoma"/>
          <w:b/>
          <w:sz w:val="20"/>
          <w:szCs w:val="24"/>
        </w:rPr>
        <w:t>Art. 1.5</w:t>
      </w:r>
    </w:p>
    <w:p w14:paraId="33018B4A"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AFFIDAMENTO E CONTRATTO</w:t>
      </w:r>
    </w:p>
    <w:p w14:paraId="5D49623C" w14:textId="77777777" w:rsidR="000B6E98" w:rsidRDefault="000B6E98">
      <w:pPr>
        <w:spacing w:after="0"/>
        <w:rPr>
          <w:rFonts w:ascii="Tahoma" w:eastAsia="Times New Roman" w:hAnsi="Tahoma"/>
          <w:sz w:val="20"/>
          <w:szCs w:val="24"/>
        </w:rPr>
      </w:pPr>
    </w:p>
    <w:p w14:paraId="634A7528" w14:textId="77777777" w:rsidR="000B6E98" w:rsidRPr="00B928BD" w:rsidRDefault="008A7A17">
      <w:pPr>
        <w:spacing w:after="0"/>
        <w:ind w:firstLine="284"/>
        <w:rPr>
          <w:rFonts w:ascii="Tahoma" w:eastAsia="Times New Roman" w:hAnsi="Tahoma"/>
          <w:sz w:val="20"/>
          <w:szCs w:val="24"/>
        </w:rPr>
      </w:pPr>
      <w:r w:rsidRPr="00B928BD">
        <w:rPr>
          <w:rFonts w:ascii="Tahoma" w:eastAsia="Times New Roman" w:hAnsi="Tahoma"/>
          <w:sz w:val="20"/>
          <w:szCs w:val="24"/>
        </w:rPr>
        <w:t xml:space="preserve">Divenuta efficace l’aggiudicazione ai sensi dell'articolo 32 comma 8 del d.lgs. n.50/2016 e fatto salvo l’esercizio dei poteri di autotutela nei casi consentiti dalle norme vigenti, la stipulazione del contratto di appalto deve avere luogo entro i successivi sessanta giorni, salvo diverso termine previsto nel bando o nell’invito ad offrire, ovvero l’ipotesi di differimento espressamente concordata con l’aggiudicatario purché comunque giustificata dall’interesse alla sollecita esecuzione del contratto. La mancata stipulazione del contratto nel termine previsto deve essere motivata con specifico riferimento all’interesse della stazione appaltante e a quello nazionale alla sollecita esecuzione del contratto e viene valutata ai fini della responsabilità erariale e disciplinare del dirigente preposto. Non costituisce giustificazione adeguata </w:t>
      </w:r>
      <w:proofErr w:type="gramStart"/>
      <w:r w:rsidRPr="00B928BD">
        <w:rPr>
          <w:rFonts w:ascii="Tahoma" w:eastAsia="Times New Roman" w:hAnsi="Tahoma"/>
          <w:sz w:val="20"/>
          <w:szCs w:val="24"/>
        </w:rPr>
        <w:t>per la</w:t>
      </w:r>
      <w:proofErr w:type="gramEnd"/>
      <w:r w:rsidRPr="00B928BD">
        <w:rPr>
          <w:rFonts w:ascii="Tahoma" w:eastAsia="Times New Roman" w:hAnsi="Tahoma"/>
          <w:sz w:val="20"/>
          <w:szCs w:val="24"/>
        </w:rPr>
        <w:t xml:space="preserve"> mancata stipulazione del contratto nel termine previsto, salvo quanto previsto dai commi 9 e 11, la pendenza di un ricorso giurisdizionale, nel cui ambito non sia stata disposta o inibita la stipulazione del contratto. Le stazioni appaltanti hanno facoltà di stipulare contratti di assicurazione della propria responsabilità civile derivante dalla conclusione del contratto e dalla prosecuzione o sospensione della sua esecuzione.</w:t>
      </w:r>
    </w:p>
    <w:p w14:paraId="3A7D65CF" w14:textId="77777777" w:rsidR="000B6E98" w:rsidRDefault="008A7A17">
      <w:pPr>
        <w:spacing w:after="0"/>
        <w:ind w:firstLine="284"/>
        <w:rPr>
          <w:rFonts w:ascii="Tahoma" w:eastAsia="Times New Roman" w:hAnsi="Tahoma"/>
          <w:color w:val="0000FF"/>
          <w:sz w:val="20"/>
          <w:szCs w:val="24"/>
        </w:rPr>
      </w:pPr>
      <w:r>
        <w:rPr>
          <w:rFonts w:ascii="Tahoma" w:eastAsia="Times New Roman" w:hAnsi="Tahoma"/>
          <w:color w:val="000000"/>
          <w:sz w:val="20"/>
          <w:szCs w:val="24"/>
        </w:rPr>
        <w:t xml:space="preserve">Se la stipulazione del contratto non avviene nel termine fissato, l’aggiudicatario può, mediante atto </w:t>
      </w:r>
      <w:r>
        <w:rPr>
          <w:rFonts w:ascii="Tahoma" w:eastAsia="Times New Roman" w:hAnsi="Tahoma"/>
          <w:color w:val="000000"/>
          <w:sz w:val="20"/>
          <w:szCs w:val="24"/>
        </w:rPr>
        <w:lastRenderedPageBreak/>
        <w:t xml:space="preserve">notificato alla stazione appaltante, sciogliersi da ogni vincolo o recedere dal contratto. All’aggiudicatario non spetta alcun indennizzo, salvo il rimborso delle spese contrattuali documentate. </w:t>
      </w:r>
    </w:p>
    <w:p w14:paraId="77B78DB6" w14:textId="01FB05B3" w:rsidR="000B6E98" w:rsidRDefault="008A7A17">
      <w:pPr>
        <w:spacing w:after="0"/>
        <w:ind w:firstLine="284"/>
        <w:rPr>
          <w:rFonts w:ascii="Tahoma" w:eastAsia="Times New Roman" w:hAnsi="Tahoma"/>
          <w:sz w:val="20"/>
          <w:szCs w:val="24"/>
        </w:rPr>
      </w:pPr>
      <w:r>
        <w:rPr>
          <w:rFonts w:ascii="Tahoma" w:eastAsia="Times New Roman" w:hAnsi="Tahoma"/>
          <w:sz w:val="20"/>
          <w:szCs w:val="24"/>
        </w:rPr>
        <w:t>Il contratto è stipulato, a pena di nullità, con atto pubblico notarile informatico, ovvero, in modalità elettronica secondo le norme vigenti per ciascuna Stazione Appaltante, in forma pubblica amministrativa a cura dell'Ufficiale rogante della Stazione Appaltante o mediante scrittura privata; in caso di procedura negoziata mediante corrispondenza secondo l’uso del commercio consistente in un apposito scambio di lettere, anche tramite posta elettronica certificata o strumenti analoghi negli altri Stati membri.</w:t>
      </w:r>
    </w:p>
    <w:p w14:paraId="57C48550" w14:textId="77777777" w:rsidR="000B6E98" w:rsidRDefault="008A7A17">
      <w:pPr>
        <w:spacing w:after="0"/>
        <w:ind w:firstLine="284"/>
        <w:rPr>
          <w:rFonts w:ascii="Tahoma" w:eastAsia="Times New Roman" w:hAnsi="Tahoma"/>
          <w:sz w:val="20"/>
          <w:szCs w:val="24"/>
        </w:rPr>
      </w:pPr>
      <w:r>
        <w:rPr>
          <w:rFonts w:ascii="Tahoma" w:eastAsia="Times New Roman" w:hAnsi="Tahoma"/>
          <w:color w:val="000000"/>
          <w:sz w:val="20"/>
          <w:szCs w:val="24"/>
        </w:rPr>
        <w:t>I capitolati e il computo metrico estimativo, richiamati nel bando o nell'invito, fanno parte integrante del contratto.</w:t>
      </w:r>
    </w:p>
    <w:p w14:paraId="293B3431" w14:textId="77777777" w:rsidR="000B6E98" w:rsidRDefault="000B6E98">
      <w:pPr>
        <w:spacing w:after="0"/>
        <w:ind w:firstLine="284"/>
        <w:rPr>
          <w:rFonts w:ascii="Tahoma" w:eastAsia="Times New Roman" w:hAnsi="Tahoma"/>
          <w:sz w:val="20"/>
          <w:szCs w:val="24"/>
        </w:rPr>
      </w:pPr>
    </w:p>
    <w:p w14:paraId="5F4E0561" w14:textId="77777777" w:rsidR="000B6E98" w:rsidRDefault="000B6E98">
      <w:pPr>
        <w:spacing w:after="0"/>
        <w:ind w:firstLine="284"/>
        <w:rPr>
          <w:rFonts w:ascii="Tahoma" w:eastAsia="Times New Roman" w:hAnsi="Tahoma"/>
          <w:sz w:val="20"/>
          <w:szCs w:val="24"/>
        </w:rPr>
      </w:pPr>
    </w:p>
    <w:p w14:paraId="4F314250"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#{GUID_62BA0156-C0EA-498A-A3F6-B0395BBF4B32|LIVELLO_2|TESTO_Forma e principali dimensioni delle opere_END}&amp;</w:t>
      </w:r>
      <w:bookmarkStart w:id="6" w:name="4228"/>
      <w:bookmarkEnd w:id="6"/>
      <w:r>
        <w:rPr>
          <w:rFonts w:ascii="Tahoma" w:eastAsia="Times New Roman" w:hAnsi="Tahoma"/>
          <w:b/>
          <w:sz w:val="20"/>
          <w:szCs w:val="24"/>
        </w:rPr>
        <w:t xml:space="preserve">Art. 1.6 </w:t>
      </w:r>
    </w:p>
    <w:p w14:paraId="2FC9DC5E"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FORMA E PRINCIPALI DIMENSIONI DELLE OPERE</w:t>
      </w:r>
    </w:p>
    <w:p w14:paraId="6E17CBCD" w14:textId="77777777" w:rsidR="000B6E98" w:rsidRDefault="000B6E98">
      <w:pPr>
        <w:spacing w:after="0"/>
        <w:jc w:val="left"/>
        <w:rPr>
          <w:rFonts w:ascii="Tahoma" w:eastAsia="Times New Roman" w:hAnsi="Tahoma"/>
          <w:sz w:val="20"/>
          <w:szCs w:val="24"/>
        </w:rPr>
      </w:pPr>
    </w:p>
    <w:p w14:paraId="21F26685" w14:textId="77777777" w:rsidR="000B6E98" w:rsidRPr="00B928BD" w:rsidRDefault="008A7A17">
      <w:pPr>
        <w:spacing w:after="0"/>
        <w:ind w:firstLine="284"/>
        <w:rPr>
          <w:rFonts w:ascii="Tahoma" w:eastAsia="Times New Roman" w:hAnsi="Tahoma"/>
          <w:sz w:val="20"/>
          <w:szCs w:val="24"/>
        </w:rPr>
      </w:pPr>
      <w:r w:rsidRPr="00B928BD">
        <w:rPr>
          <w:rFonts w:ascii="Tahoma" w:eastAsia="Times New Roman" w:hAnsi="Tahoma"/>
          <w:sz w:val="20"/>
          <w:szCs w:val="24"/>
        </w:rPr>
        <w:t>La forma e le dimensioni delle opere, oggetto dell'appalto, risultano dai disegni allegati al contratto, che dovranno essere redatti in conformità alle norme UNI vigenti in materia. Inoltre per tutte le indicazioni di grandezza presenti sugli elaborati di progetto ci si dovrà attenere alle norme UNI CEI ISO 80000-1 e UNI CEI ISO 80000-6.</w:t>
      </w:r>
    </w:p>
    <w:p w14:paraId="6B53B74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Di seguito si riporta una descrizione sommaria delle opere con l'indicazione della località ove dovrà realizzarsi e le principali dimensioni:</w:t>
      </w:r>
    </w:p>
    <w:p w14:paraId="2BCDDB11" w14:textId="77777777"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L’esecuzione dell’intervento riguardante la realizzazione del parcheggio pubblico, da realizzarsi nella frazione di Ripabianca, in Via della Fornace, adiacente all’area verde di proprietà della Pro Ripabianca.</w:t>
      </w:r>
    </w:p>
    <w:p w14:paraId="1359F04C" w14:textId="77777777"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La viabilità esistente è costituita da una strada asfaltata di larghezza variabile compresa tra i 4,50 m ed i 4,70 m, delimitata da una recinzione metallica.</w:t>
      </w:r>
    </w:p>
    <w:p w14:paraId="1648CF7B" w14:textId="3BA0DF62" w:rsidR="000B6E98"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A valle della strada è presente l’area verde, posta ad una quota inferiore rispetto alla quota di scorrimento stradale, all’interno di essa è presente una cabina elettrica di trasformazione, sono presenti alberature ed elementi di illuminazione. Nel lotto adiacente è stato già realizzato un muro di contenimento, che ha permesso di allargare la sede stradale e ricavare un marciapiede lungo il muro con una serie di stalli in linea.</w:t>
      </w:r>
    </w:p>
    <w:p w14:paraId="00EDE229" w14:textId="77777777"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Il parcheggio che si intende realizzare sarà costituito da:</w:t>
      </w:r>
    </w:p>
    <w:p w14:paraId="4109DF30" w14:textId="665EF6A5"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w:t>
      </w:r>
      <w:r>
        <w:rPr>
          <w:rFonts w:ascii="Tahoma" w:eastAsia="Times New Roman" w:hAnsi="Tahoma"/>
          <w:sz w:val="20"/>
          <w:szCs w:val="24"/>
        </w:rPr>
        <w:t xml:space="preserve"> </w:t>
      </w:r>
      <w:r w:rsidRPr="00B928BD">
        <w:rPr>
          <w:rFonts w:ascii="Tahoma" w:eastAsia="Times New Roman" w:hAnsi="Tahoma"/>
          <w:sz w:val="20"/>
          <w:szCs w:val="24"/>
        </w:rPr>
        <w:t xml:space="preserve">6 posti auto con dimensioni 2.50x5.50 m, </w:t>
      </w:r>
    </w:p>
    <w:p w14:paraId="25A6894C" w14:textId="67850861" w:rsidR="00B928BD" w:rsidRPr="00B928BD" w:rsidRDefault="00B928BD" w:rsidP="00B928BD">
      <w:pPr>
        <w:spacing w:after="0"/>
        <w:ind w:firstLine="284"/>
        <w:rPr>
          <w:rFonts w:ascii="Tahoma" w:eastAsia="Times New Roman" w:hAnsi="Tahoma"/>
          <w:sz w:val="20"/>
          <w:szCs w:val="24"/>
        </w:rPr>
      </w:pPr>
      <w:r>
        <w:rPr>
          <w:rFonts w:ascii="Tahoma" w:eastAsia="Times New Roman" w:hAnsi="Tahoma"/>
          <w:sz w:val="20"/>
          <w:szCs w:val="24"/>
        </w:rPr>
        <w:t xml:space="preserve">- </w:t>
      </w:r>
      <w:r w:rsidRPr="00B928BD">
        <w:rPr>
          <w:rFonts w:ascii="Tahoma" w:eastAsia="Times New Roman" w:hAnsi="Tahoma"/>
          <w:sz w:val="20"/>
          <w:szCs w:val="24"/>
        </w:rPr>
        <w:t>5 posti per i motocicli e ciclomotori di dimensioni 1.40x2.50 m un posto auto per disabili di dimensioni 3.20x5.50m.</w:t>
      </w:r>
    </w:p>
    <w:p w14:paraId="4586EA7A" w14:textId="77777777"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Dato il profilo del terreno attuale, si renderà necessario costruire un muro di contenimento in calcestruzzo armato, che sarà dimensionato secondo la normativa antisismica vigente: D.M. 17 gennaio 2018.</w:t>
      </w:r>
    </w:p>
    <w:p w14:paraId="63DE1253" w14:textId="77777777"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Tale muro a partire da quello preesistente, circoscrive un manufatto esistente (cabina Enel) posizionandosi ad una distanza di 1.50 m e continua linearmente per un tratto di 22,70 m.</w:t>
      </w:r>
    </w:p>
    <w:p w14:paraId="2273C8EF" w14:textId="77777777" w:rsidR="00095EE6"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Nella sommità del muro in c.a. sarà installato un parapetto metallico. Una volta realizzato il muro, in adiacenza verrà posizionato un primer bituminoso e una membrana bugnata, sarà realizzato il drenaggio con ghiaia ed effettuato il rinterro.</w:t>
      </w:r>
    </w:p>
    <w:p w14:paraId="5971E958" w14:textId="01728C0F"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 xml:space="preserve">Sarà quindi realizzata la fondazione stradale per uno spessore di 30 cm, posato uno strato di graniglia e/o pietrisco calcarei di 10 cm.  </w:t>
      </w:r>
    </w:p>
    <w:p w14:paraId="0211C417" w14:textId="77777777"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Tra il muro di contenimento e gli stalli dei parcheggi sarà realizzato un marciapiede di larghezza 1.50 m. Questo sarà costituito da una pavimentazione in calcestruzzo spazzolato e delimitato da un cordolo prefabbricato in cemento vibrato.</w:t>
      </w:r>
    </w:p>
    <w:p w14:paraId="7E9C6824" w14:textId="0DC1E304"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 xml:space="preserve">Gli stalli verranno </w:t>
      </w:r>
      <w:r w:rsidR="00095EE6">
        <w:rPr>
          <w:rFonts w:ascii="Tahoma" w:eastAsia="Times New Roman" w:hAnsi="Tahoma"/>
          <w:sz w:val="20"/>
          <w:szCs w:val="24"/>
        </w:rPr>
        <w:t>identificati</w:t>
      </w:r>
      <w:r w:rsidRPr="00B928BD">
        <w:rPr>
          <w:rFonts w:ascii="Tahoma" w:eastAsia="Times New Roman" w:hAnsi="Tahoma"/>
          <w:sz w:val="20"/>
          <w:szCs w:val="24"/>
        </w:rPr>
        <w:t xml:space="preserve"> da apposita segnaletica verticale. </w:t>
      </w:r>
    </w:p>
    <w:p w14:paraId="5154195A" w14:textId="6E99325B"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 xml:space="preserve">Con questo progetto si andrà ad intervenire sull’illuminazione, </w:t>
      </w:r>
      <w:r w:rsidR="00E11D9A" w:rsidRPr="00E11D9A">
        <w:rPr>
          <w:rFonts w:ascii="Tahoma" w:eastAsia="Times New Roman" w:hAnsi="Tahoma"/>
          <w:sz w:val="20"/>
          <w:szCs w:val="24"/>
        </w:rPr>
        <w:t>prevedendo la predisposizione per un nuovo punto luce e lo spostamento di alcuni pali attuali, e sulla raccolta delle acque meteoriche, posizionando una tubazione in pvc, ispezionabile con 3 pozzetti e allacciata alla linea esistente</w:t>
      </w:r>
      <w:r w:rsidRPr="00B928BD">
        <w:rPr>
          <w:rFonts w:ascii="Tahoma" w:eastAsia="Times New Roman" w:hAnsi="Tahoma"/>
          <w:sz w:val="20"/>
          <w:szCs w:val="24"/>
        </w:rPr>
        <w:t>.</w:t>
      </w:r>
    </w:p>
    <w:p w14:paraId="474F3A93" w14:textId="225D6E3C" w:rsidR="00B928BD" w:rsidRPr="00B928BD" w:rsidRDefault="00B928BD" w:rsidP="00B928BD">
      <w:pPr>
        <w:spacing w:after="0"/>
        <w:ind w:firstLine="284"/>
        <w:rPr>
          <w:rFonts w:ascii="Tahoma" w:eastAsia="Times New Roman" w:hAnsi="Tahoma"/>
          <w:sz w:val="20"/>
          <w:szCs w:val="24"/>
        </w:rPr>
      </w:pPr>
      <w:r w:rsidRPr="00B928BD">
        <w:rPr>
          <w:rFonts w:ascii="Tahoma" w:eastAsia="Times New Roman" w:hAnsi="Tahoma"/>
          <w:sz w:val="20"/>
          <w:szCs w:val="24"/>
        </w:rPr>
        <w:t xml:space="preserve">La posizione planimetrica di ogni corpo illuminante, è stata determinata in modo tale da garantire una distribuzione uniforme del fascio luminoso sulla sede stradale e sul percorso pedonale, in conformità alle normative tecniche di settore.  </w:t>
      </w:r>
    </w:p>
    <w:p w14:paraId="1A2D8429" w14:textId="77777777" w:rsidR="00B928BD" w:rsidRDefault="00B928BD" w:rsidP="00B928BD">
      <w:pPr>
        <w:spacing w:after="0"/>
        <w:ind w:firstLine="284"/>
        <w:rPr>
          <w:rFonts w:ascii="Tahoma" w:eastAsia="Times New Roman" w:hAnsi="Tahoma"/>
          <w:sz w:val="20"/>
          <w:szCs w:val="24"/>
        </w:rPr>
      </w:pPr>
    </w:p>
    <w:p w14:paraId="5F33E103" w14:textId="77777777" w:rsidR="00B928BD" w:rsidRDefault="00B928BD" w:rsidP="00B928BD">
      <w:pPr>
        <w:spacing w:after="0"/>
        <w:ind w:firstLine="284"/>
        <w:rPr>
          <w:rFonts w:ascii="Tahoma" w:eastAsia="Times New Roman" w:hAnsi="Tahoma"/>
          <w:sz w:val="20"/>
          <w:szCs w:val="24"/>
        </w:rPr>
      </w:pPr>
    </w:p>
    <w:p w14:paraId="45A2751C"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#{GUID_04CDCF7D-FF7B-4F82-BDD8-42749D36A406|LIVELLO_2|TESTO_Variazioni delle opere progettate_END}&amp;</w:t>
      </w:r>
      <w:bookmarkStart w:id="7" w:name="4229"/>
      <w:bookmarkEnd w:id="7"/>
      <w:r>
        <w:rPr>
          <w:rFonts w:ascii="Tahoma" w:eastAsia="Times New Roman" w:hAnsi="Tahoma"/>
          <w:b/>
          <w:sz w:val="20"/>
          <w:szCs w:val="24"/>
        </w:rPr>
        <w:t>Art. 1.7</w:t>
      </w:r>
    </w:p>
    <w:p w14:paraId="04738AFE" w14:textId="77777777" w:rsidR="000B6E98" w:rsidRDefault="008A7A17">
      <w:pPr>
        <w:spacing w:after="0"/>
        <w:jc w:val="center"/>
        <w:rPr>
          <w:rFonts w:ascii="Tahoma" w:eastAsia="Times New Roman" w:hAnsi="Tahoma"/>
          <w:sz w:val="20"/>
          <w:szCs w:val="24"/>
        </w:rPr>
      </w:pPr>
      <w:r>
        <w:rPr>
          <w:rFonts w:ascii="Tahoma" w:eastAsia="Times New Roman" w:hAnsi="Tahoma"/>
          <w:b/>
          <w:sz w:val="20"/>
          <w:szCs w:val="24"/>
        </w:rPr>
        <w:t>VARIAZIONI DELLE OPERE PROGETTATE</w:t>
      </w:r>
    </w:p>
    <w:p w14:paraId="5FA7F841" w14:textId="77777777" w:rsidR="000B6E98" w:rsidRDefault="000B6E98">
      <w:pPr>
        <w:spacing w:after="0"/>
        <w:rPr>
          <w:rFonts w:ascii="Tahoma" w:eastAsia="Times New Roman" w:hAnsi="Tahoma"/>
          <w:sz w:val="20"/>
          <w:szCs w:val="24"/>
        </w:rPr>
      </w:pPr>
    </w:p>
    <w:p w14:paraId="49EBC87A"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Le eventuali modifiche, nonché le varianti, del contratto di appalto potranno essere autorizzate dal RUP con le modalità previste dall’ordinamento della stazione appaltante cui il RUP dipende e potranno essere attuate senza una nuova procedura di affidamento nei casi contemplati dal Codice dei contratti all'art. 106, comma 1.</w:t>
      </w:r>
    </w:p>
    <w:p w14:paraId="7576DB9D"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lastRenderedPageBreak/>
        <w:t xml:space="preserve">Dovranno, essere rispettate le disposizioni di cui al d.lgs. n. 50/2016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ed i relativi atti attuativi.</w:t>
      </w:r>
    </w:p>
    <w:p w14:paraId="4306ECAA"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Le varianti saranno ammesse anche a causa di errori o di omissioni del progetto esecutivo che pregiudicano, in tutto o in parte, la realizzazione dell’opera o la sua utilizzazione, senza necessità di una nuova procedura a norma del Codice, se il valore della modifica risulti al di sotto di entrambi i seguenti valori:</w:t>
      </w:r>
    </w:p>
    <w:p w14:paraId="7BB21596"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a) le soglie fissate all’articolo 35 del Codice dei contratti;</w:t>
      </w:r>
    </w:p>
    <w:p w14:paraId="79F327E8"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b) il 15 per cento del valore iniziale del contratto per i contratti di lavori sia nei settori ordinari che speciali. </w:t>
      </w:r>
    </w:p>
    <w:p w14:paraId="004ED869"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Tuttavia la modifica non potrà alterare la natura complessiva del contratto. In caso di più modifiche successive, il valore sarà accertato sulla base del valore complessivo netto delle successive modifiche.</w:t>
      </w:r>
    </w:p>
    <w:p w14:paraId="6BD0E1A0"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Qualora in corso di esecuzione si renda necessario un aumento o una diminuzione delle prestazioni fino a concorrenza del quinto dell’importo del contratto, la stazione appaltante può imporre all’appaltatore l’esecuzione alle stesse condizioni previste nel contratto originario. Le eventuali lavorazioni diverse o aggiuntive derivanti dall’offerta tecnica presentata dall’appaltatore s'intendono non incidenti sugli importi e sulle quote percentuali delle categorie di lavorazioni omogenee ai fini dell’individuazione del quinto d’obbligo di cui al periodo precedente. In tal caso l’appaltatore non può far valere il diritto alla risoluzione del contratto.</w:t>
      </w:r>
    </w:p>
    <w:p w14:paraId="476C9AC8"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La violazione del divieto di apportare modifiche comporta, salva diversa valutazione del Responsabile del Procedimento, la rimessa in pristino, a carico dell'esecutore, dei lavori e delle opere nella situazione originaria secondo le disposizioni della Direzione dei Lavori, fermo restando che in nessun caso egli può vantare compensi, rimborsi o indennizzi per i lavori medesimi.</w:t>
      </w:r>
    </w:p>
    <w:p w14:paraId="2C7AC2D9"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 varianti alle opere in progetto saranno ammesse solo per le motivazioni e nelle forme previste dall'art. 106 del d.lgs. n. 50/2016 e </w:t>
      </w:r>
      <w:proofErr w:type="spellStart"/>
      <w:r>
        <w:rPr>
          <w:rFonts w:ascii="Tahoma" w:eastAsia="Times New Roman" w:hAnsi="Tahoma"/>
          <w:color w:val="000000"/>
          <w:sz w:val="20"/>
          <w:szCs w:val="24"/>
        </w:rPr>
        <w:t>s.m.i.</w:t>
      </w:r>
      <w:proofErr w:type="spellEnd"/>
    </w:p>
    <w:p w14:paraId="7C91D0A6" w14:textId="02CA5B02" w:rsidR="000B6E98" w:rsidRPr="00D5693E" w:rsidRDefault="008A7A17">
      <w:pPr>
        <w:spacing w:after="0"/>
        <w:ind w:firstLine="284"/>
        <w:rPr>
          <w:rFonts w:ascii="Tahoma" w:eastAsia="Times New Roman" w:hAnsi="Tahoma"/>
          <w:sz w:val="20"/>
          <w:szCs w:val="24"/>
        </w:rPr>
      </w:pPr>
      <w:r>
        <w:rPr>
          <w:rFonts w:ascii="Tahoma" w:eastAsia="Times New Roman" w:hAnsi="Tahoma"/>
          <w:color w:val="000000"/>
          <w:sz w:val="20"/>
          <w:szCs w:val="24"/>
        </w:rPr>
        <w:t xml:space="preserve">Le variazioni sono valutate ai prezzi di contratto; ove per altro debbano essere eseguite categorie di lavori </w:t>
      </w:r>
      <w:r w:rsidRPr="00D5693E">
        <w:rPr>
          <w:rFonts w:ascii="Tahoma" w:eastAsia="Times New Roman" w:hAnsi="Tahoma"/>
          <w:sz w:val="20"/>
          <w:szCs w:val="24"/>
        </w:rPr>
        <w:t xml:space="preserve">non previste in contratto o si debbano impiegare materiali per i quali non risulti fissato il prezzo contrattuale si procederà alla determinazione ed al concordamento di nuovi prezzi secondo quanto previsto all'articolo </w:t>
      </w:r>
      <w:hyperlink r:id="rId8" w:history="1">
        <w:r w:rsidRPr="00D5693E">
          <w:rPr>
            <w:rFonts w:ascii="Tahoma" w:eastAsia="Times New Roman" w:hAnsi="Tahoma"/>
            <w:sz w:val="20"/>
            <w:szCs w:val="24"/>
            <w:u w:val="single"/>
          </w:rPr>
          <w:t>"Disposizioni generali relative ai prezzi"</w:t>
        </w:r>
      </w:hyperlink>
      <w:r w:rsidRPr="00D5693E">
        <w:rPr>
          <w:rFonts w:ascii="Tahoma" w:eastAsia="Times New Roman" w:hAnsi="Tahoma"/>
          <w:sz w:val="20"/>
          <w:szCs w:val="24"/>
        </w:rPr>
        <w:t xml:space="preserve">. </w:t>
      </w:r>
    </w:p>
    <w:p w14:paraId="3E3465B2" w14:textId="77777777" w:rsidR="000B6E98" w:rsidRDefault="000B6E98">
      <w:pPr>
        <w:spacing w:after="0"/>
        <w:ind w:firstLine="284"/>
        <w:rPr>
          <w:rFonts w:ascii="Tahoma" w:eastAsia="Times New Roman" w:hAnsi="Tahoma"/>
          <w:color w:val="0000FF"/>
          <w:sz w:val="20"/>
          <w:szCs w:val="24"/>
        </w:rPr>
      </w:pPr>
    </w:p>
    <w:p w14:paraId="7B2E3122" w14:textId="77777777" w:rsidR="000B6E98" w:rsidRDefault="000B6E98">
      <w:pPr>
        <w:spacing w:after="0"/>
        <w:ind w:firstLine="284"/>
        <w:rPr>
          <w:rFonts w:ascii="Tahoma" w:eastAsia="Times New Roman" w:hAnsi="Tahoma"/>
          <w:color w:val="000000"/>
          <w:sz w:val="20"/>
          <w:szCs w:val="24"/>
        </w:rPr>
      </w:pPr>
    </w:p>
    <w:p w14:paraId="361FD7FE" w14:textId="77777777" w:rsidR="000B6E98" w:rsidRDefault="008A7A17">
      <w:pPr>
        <w:spacing w:after="0" w:line="360" w:lineRule="atLeast"/>
        <w:jc w:val="center"/>
        <w:rPr>
          <w:rFonts w:ascii="Tahoma" w:eastAsia="Times New Roman" w:hAnsi="Tahoma"/>
          <w:b/>
          <w:sz w:val="36"/>
          <w:szCs w:val="24"/>
        </w:rPr>
      </w:pPr>
      <w:r>
        <w:rPr>
          <w:sz w:val="24"/>
          <w:szCs w:val="24"/>
        </w:rPr>
        <w:br w:type="page"/>
      </w:r>
      <w:r>
        <w:rPr>
          <w:rFonts w:ascii="Times New Roman" w:eastAsia="Times New Roman" w:hAnsi="Times New Roman"/>
          <w:vanish/>
          <w:color w:val="000000"/>
          <w:sz w:val="14"/>
          <w:szCs w:val="24"/>
        </w:rPr>
        <w:lastRenderedPageBreak/>
        <w:t>#{GUID_1F48BEFB-817E-4E90-9EDE-7DD88A6F8644|LIVELLO_1|TESTO_Disposizioni particolari riguardanti l'appalto_END}&amp;</w:t>
      </w:r>
      <w:bookmarkStart w:id="8" w:name="4230"/>
      <w:bookmarkEnd w:id="8"/>
      <w:r>
        <w:rPr>
          <w:rFonts w:ascii="Tahoma" w:eastAsia="Times New Roman" w:hAnsi="Tahoma"/>
          <w:b/>
          <w:sz w:val="32"/>
          <w:szCs w:val="24"/>
        </w:rPr>
        <w:t>CAPITOLO 2</w:t>
      </w:r>
    </w:p>
    <w:p w14:paraId="7EAE01D0" w14:textId="77777777" w:rsidR="000B6E98" w:rsidRDefault="000B6E98">
      <w:pPr>
        <w:spacing w:after="0"/>
        <w:jc w:val="center"/>
        <w:rPr>
          <w:rFonts w:ascii="Tahoma" w:eastAsia="Times New Roman" w:hAnsi="Tahoma"/>
          <w:b/>
          <w:sz w:val="24"/>
          <w:szCs w:val="24"/>
        </w:rPr>
      </w:pPr>
    </w:p>
    <w:p w14:paraId="748880E5" w14:textId="77777777" w:rsidR="000B6E98" w:rsidRDefault="000B6E98">
      <w:pPr>
        <w:spacing w:after="0"/>
        <w:jc w:val="center"/>
        <w:rPr>
          <w:rFonts w:ascii="Tahoma" w:eastAsia="Times New Roman" w:hAnsi="Tahoma"/>
          <w:b/>
          <w:sz w:val="24"/>
          <w:szCs w:val="24"/>
        </w:rPr>
      </w:pPr>
    </w:p>
    <w:p w14:paraId="33C5C69B" w14:textId="77777777" w:rsidR="000B6E98" w:rsidRDefault="008A7A17">
      <w:pPr>
        <w:spacing w:after="0" w:line="360" w:lineRule="atLeast"/>
        <w:jc w:val="center"/>
        <w:rPr>
          <w:sz w:val="24"/>
          <w:szCs w:val="24"/>
        </w:rPr>
      </w:pPr>
      <w:r>
        <w:rPr>
          <w:rFonts w:ascii="Tahoma" w:eastAsia="Times New Roman" w:hAnsi="Tahoma"/>
          <w:b/>
          <w:sz w:val="24"/>
          <w:szCs w:val="24"/>
        </w:rPr>
        <w:t>DISPOSIZIONI PARTICOLARI RIGUARDANTI L'APPALTO</w:t>
      </w:r>
    </w:p>
    <w:p w14:paraId="4560F410"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#{GUID_7A4A4BA9-7ABA-4F2A-B496-479F6D8E3BC8|LIVELLO_2|TESTO_Osservanza del capitolato speciale d'appalto e di particolari disposizioni_END}&amp;</w:t>
      </w:r>
      <w:bookmarkStart w:id="9" w:name="4231"/>
      <w:bookmarkEnd w:id="9"/>
      <w:r>
        <w:rPr>
          <w:rFonts w:ascii="Tahoma" w:eastAsia="Times New Roman" w:hAnsi="Tahoma"/>
          <w:b/>
          <w:sz w:val="20"/>
          <w:szCs w:val="24"/>
        </w:rPr>
        <w:t>Art. 2.1</w:t>
      </w:r>
    </w:p>
    <w:p w14:paraId="337FD5CA"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 xml:space="preserve">OSSERVANZA DEL CAPITOLATO SPECIALE D'APPALTO E </w:t>
      </w:r>
    </w:p>
    <w:p w14:paraId="4A398744"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DI PARTICOLARI DISPOSIZIONI DI LEGGE</w:t>
      </w:r>
    </w:p>
    <w:p w14:paraId="1C07103A" w14:textId="77777777" w:rsidR="000B6E98" w:rsidRDefault="000B6E98">
      <w:pPr>
        <w:spacing w:after="0"/>
        <w:rPr>
          <w:rFonts w:ascii="Tahoma" w:eastAsia="Times New Roman" w:hAnsi="Tahoma"/>
          <w:sz w:val="20"/>
          <w:szCs w:val="24"/>
        </w:rPr>
      </w:pPr>
    </w:p>
    <w:p w14:paraId="56063059"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L'appalto è soggetto all'esatta osservanza di tutte le condizioni stabilite nel presente Capitolato Speciale d'Appalto e nel Capitolato Generale d'Appalto.</w:t>
      </w:r>
    </w:p>
    <w:p w14:paraId="4679B7C6"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L'Appaltatore è tenuto alla piena e diretta osservanza di tutte le norme vigenti derivanti sia da leggi che da decreti, circolari e regolamenti con particolare riguardo ai regolamenti edilizi, d'igiene, di polizia urbana, dei cavi stradali, alle norme sulla circolazione stradale, a quelle sulla sicurezza ed igiene del lavoro vigenti al momento dell'esecuzione delle opere (sia per quanto riguarda il personale dell'Appaltatore stesso, che di eventuali subappaltatori, cottimisti e lavoratori autonomi), alle disposizioni impartite dalle AUSL, alle norme CEI, UNI, CNR.</w:t>
      </w:r>
    </w:p>
    <w:p w14:paraId="468C00EB"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Dovranno inoltre essere osservate le disposizioni di cui al d.lgs. 9 aprile 2008, n. 81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in materia di tutela della salute e della sicurezza nei luoghi di lavoro, di segnaletica di sicurezza sul posto di lavoro, nonché le disposizioni di cui al </w:t>
      </w:r>
      <w:proofErr w:type="spellStart"/>
      <w:r>
        <w:rPr>
          <w:rFonts w:ascii="Tahoma" w:eastAsia="Times New Roman" w:hAnsi="Tahoma"/>
          <w:sz w:val="20"/>
          <w:szCs w:val="24"/>
        </w:rPr>
        <w:t>d.P.C.M.</w:t>
      </w:r>
      <w:proofErr w:type="spellEnd"/>
      <w:r>
        <w:rPr>
          <w:rFonts w:ascii="Tahoma" w:eastAsia="Times New Roman" w:hAnsi="Tahoma"/>
          <w:sz w:val="20"/>
          <w:szCs w:val="24"/>
        </w:rPr>
        <w:t xml:space="preserve"> 1 marzo 1991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riguardanti i "limiti massimi di esposizione al rumore negli ambienti abitativi e nell'ambiente esterno", alla legge 447/95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(Legge quadro sull'inquinamento acustico) e relativi decreti attuativi, al </w:t>
      </w:r>
      <w:proofErr w:type="spellStart"/>
      <w:r>
        <w:rPr>
          <w:rFonts w:ascii="Tahoma" w:eastAsia="Times New Roman" w:hAnsi="Tahoma"/>
          <w:sz w:val="20"/>
          <w:szCs w:val="24"/>
        </w:rPr>
        <w:t>d.m.</w:t>
      </w:r>
      <w:proofErr w:type="spellEnd"/>
      <w:r>
        <w:rPr>
          <w:rFonts w:ascii="Tahoma" w:eastAsia="Times New Roman" w:hAnsi="Tahoma"/>
          <w:sz w:val="20"/>
          <w:szCs w:val="24"/>
        </w:rPr>
        <w:t xml:space="preserve"> 22 gennaio 2008, n. 37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(Regolamento concernente ...</w:t>
      </w:r>
      <w:proofErr w:type="spellStart"/>
      <w:r>
        <w:rPr>
          <w:rFonts w:ascii="Tahoma" w:eastAsia="Times New Roman" w:hAnsi="Tahoma"/>
          <w:sz w:val="20"/>
          <w:szCs w:val="24"/>
        </w:rPr>
        <w:t>attivita'</w:t>
      </w:r>
      <w:proofErr w:type="spellEnd"/>
      <w:r>
        <w:rPr>
          <w:rFonts w:ascii="Tahoma" w:eastAsia="Times New Roman" w:hAnsi="Tahoma"/>
          <w:sz w:val="20"/>
          <w:szCs w:val="24"/>
        </w:rPr>
        <w:t xml:space="preserve"> di installazione degli impianti all'interno degli edifici), al d.lgs. 03 aprile 2006, n. 152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(Norme in materia ambientale) e alle altre norme vigenti in materia.</w:t>
      </w:r>
    </w:p>
    <w:p w14:paraId="040C16FC" w14:textId="77777777" w:rsidR="000B6E98" w:rsidRDefault="000B6E98">
      <w:pPr>
        <w:spacing w:after="0"/>
        <w:ind w:firstLine="284"/>
        <w:rPr>
          <w:rFonts w:ascii="Tahoma" w:eastAsia="Times New Roman" w:hAnsi="Tahoma"/>
          <w:sz w:val="20"/>
          <w:szCs w:val="24"/>
        </w:rPr>
      </w:pPr>
    </w:p>
    <w:p w14:paraId="5EDA6C54" w14:textId="77777777" w:rsidR="000B6E98" w:rsidRDefault="000B6E98">
      <w:pPr>
        <w:spacing w:after="0"/>
        <w:ind w:firstLine="284"/>
        <w:rPr>
          <w:rFonts w:ascii="Tahoma" w:eastAsia="Times New Roman" w:hAnsi="Tahoma"/>
          <w:sz w:val="20"/>
          <w:szCs w:val="24"/>
        </w:rPr>
      </w:pPr>
    </w:p>
    <w:p w14:paraId="7C7AC7DA"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#{GUID_B4FEF576-5E97-496B-B16D-90F31673E019|LIVELLO_2|TESTO_Documenti che fanno parte del contratto e discordanze_END}&amp;</w:t>
      </w:r>
      <w:bookmarkStart w:id="10" w:name="4232"/>
      <w:bookmarkEnd w:id="10"/>
      <w:r>
        <w:rPr>
          <w:rFonts w:ascii="Tahoma" w:eastAsia="Times New Roman" w:hAnsi="Tahoma"/>
          <w:b/>
          <w:sz w:val="20"/>
          <w:szCs w:val="24"/>
        </w:rPr>
        <w:t>Art. 2.2</w:t>
      </w:r>
    </w:p>
    <w:p w14:paraId="0D51E145"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 xml:space="preserve">DOCUMENTI CHE FANNO PARTE DEL CONTRATTO E DISCORDANZE </w:t>
      </w:r>
    </w:p>
    <w:p w14:paraId="193BDD46" w14:textId="77777777" w:rsidR="000B6E98" w:rsidRDefault="000B6E98">
      <w:pPr>
        <w:spacing w:after="0"/>
        <w:rPr>
          <w:rFonts w:ascii="Tahoma" w:eastAsia="Times New Roman" w:hAnsi="Tahoma"/>
          <w:sz w:val="20"/>
          <w:szCs w:val="24"/>
        </w:rPr>
      </w:pPr>
    </w:p>
    <w:p w14:paraId="28A48BAA" w14:textId="684E5C64" w:rsidR="000B6E98" w:rsidRDefault="008A7A17">
      <w:pPr>
        <w:spacing w:after="0"/>
        <w:ind w:firstLine="284"/>
        <w:rPr>
          <w:rFonts w:ascii="Tahoma" w:eastAsia="Times New Roman" w:hAnsi="Tahoma"/>
          <w:color w:val="000000"/>
          <w:sz w:val="20"/>
          <w:szCs w:val="24"/>
        </w:rPr>
      </w:pPr>
      <w:r>
        <w:rPr>
          <w:rFonts w:ascii="Tahoma" w:eastAsia="Times New Roman" w:hAnsi="Tahoma"/>
          <w:sz w:val="20"/>
          <w:szCs w:val="24"/>
        </w:rPr>
        <w:t>Sono parte integrante del contratto di appalto, oltre al presente Capitolato s</w:t>
      </w:r>
      <w:r>
        <w:rPr>
          <w:rFonts w:ascii="Tahoma" w:eastAsia="Times New Roman" w:hAnsi="Tahoma"/>
          <w:color w:val="000000"/>
          <w:sz w:val="20"/>
          <w:szCs w:val="24"/>
        </w:rPr>
        <w:t xml:space="preserve">peciale d'appalto, il Capitolato generale d'appalto, di cui al </w:t>
      </w:r>
      <w:proofErr w:type="spellStart"/>
      <w:r>
        <w:rPr>
          <w:rFonts w:ascii="Tahoma" w:eastAsia="Times New Roman" w:hAnsi="Tahoma"/>
          <w:color w:val="000000"/>
          <w:sz w:val="20"/>
          <w:szCs w:val="24"/>
        </w:rPr>
        <w:t>d.m.</w:t>
      </w:r>
      <w:proofErr w:type="spellEnd"/>
      <w:r>
        <w:rPr>
          <w:rFonts w:ascii="Tahoma" w:eastAsia="Times New Roman" w:hAnsi="Tahoma"/>
          <w:color w:val="000000"/>
          <w:sz w:val="20"/>
          <w:szCs w:val="24"/>
        </w:rPr>
        <w:t xml:space="preserve"> 145/2000 per quanto non in contrasto con il presente capitolato o non previsto da quest'ultimo, e la seguente documentazione:</w:t>
      </w:r>
    </w:p>
    <w:p w14:paraId="213B63D0" w14:textId="77777777" w:rsidR="00C1303D" w:rsidRDefault="00C1303D">
      <w:pPr>
        <w:spacing w:after="0"/>
        <w:ind w:firstLine="284"/>
        <w:rPr>
          <w:rFonts w:ascii="Tahoma" w:eastAsia="Times New Roman" w:hAnsi="Tahoma"/>
          <w:color w:val="000000"/>
          <w:sz w:val="20"/>
          <w:szCs w:val="24"/>
        </w:rPr>
      </w:pPr>
    </w:p>
    <w:p w14:paraId="4B8ECC4D" w14:textId="0ADCB394"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a)</w:t>
      </w:r>
      <w:r>
        <w:rPr>
          <w:rFonts w:ascii="Tahoma" w:eastAsia="Times New Roman" w:hAnsi="Tahoma"/>
          <w:sz w:val="20"/>
          <w:szCs w:val="24"/>
        </w:rPr>
        <w:tab/>
        <w:t>l'elenco dei prezzi unitari;</w:t>
      </w:r>
    </w:p>
    <w:p w14:paraId="4040941E"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b)</w:t>
      </w:r>
      <w:r>
        <w:rPr>
          <w:rFonts w:ascii="Tahoma" w:eastAsia="Times New Roman" w:hAnsi="Tahoma"/>
          <w:sz w:val="20"/>
          <w:szCs w:val="24"/>
        </w:rPr>
        <w:tab/>
        <w:t>il cronoprogramma;</w:t>
      </w:r>
    </w:p>
    <w:p w14:paraId="087F1D31"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c)</w:t>
      </w:r>
      <w:r>
        <w:rPr>
          <w:rFonts w:ascii="Tahoma" w:eastAsia="Times New Roman" w:hAnsi="Tahoma"/>
          <w:sz w:val="20"/>
          <w:szCs w:val="24"/>
        </w:rPr>
        <w:tab/>
        <w:t>le polizze di garanzia;</w:t>
      </w:r>
    </w:p>
    <w:p w14:paraId="0F8F8F8F"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d)</w:t>
      </w:r>
      <w:r>
        <w:rPr>
          <w:rFonts w:ascii="Tahoma" w:eastAsia="Times New Roman" w:hAnsi="Tahoma"/>
          <w:sz w:val="20"/>
          <w:szCs w:val="24"/>
        </w:rPr>
        <w:tab/>
        <w:t xml:space="preserve">il Piano di Sicurezza e di Coordinamento ed i piani di cui all'art. 100 del d.lgs. n. 81/2008 e </w:t>
      </w:r>
      <w:proofErr w:type="spellStart"/>
      <w:r>
        <w:rPr>
          <w:rFonts w:ascii="Tahoma" w:eastAsia="Times New Roman" w:hAnsi="Tahoma"/>
          <w:sz w:val="20"/>
          <w:szCs w:val="24"/>
        </w:rPr>
        <w:t>s.m.i.</w:t>
      </w:r>
      <w:proofErr w:type="spellEnd"/>
      <w:r>
        <w:rPr>
          <w:rFonts w:ascii="Tahoma" w:eastAsia="Times New Roman" w:hAnsi="Tahoma"/>
          <w:sz w:val="20"/>
          <w:szCs w:val="24"/>
        </w:rPr>
        <w:t>;</w:t>
      </w:r>
    </w:p>
    <w:p w14:paraId="6EAD5481" w14:textId="2C118ADB"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e)  i seguenti elaborati di progetto:</w:t>
      </w:r>
    </w:p>
    <w:p w14:paraId="3808B593" w14:textId="412A885B" w:rsidR="00C1303D" w:rsidRDefault="00C1303D">
      <w:pPr>
        <w:spacing w:after="0"/>
        <w:ind w:left="568" w:hanging="284"/>
        <w:rPr>
          <w:rFonts w:ascii="Tahoma" w:eastAsia="Times New Roman" w:hAnsi="Tahoma"/>
          <w:color w:val="0000FF"/>
          <w:sz w:val="20"/>
          <w:szCs w:val="24"/>
        </w:rPr>
      </w:pPr>
    </w:p>
    <w:p w14:paraId="17BDD2D8" w14:textId="77777777" w:rsidR="00C1303D" w:rsidRDefault="00C1303D">
      <w:pPr>
        <w:spacing w:after="0"/>
        <w:ind w:left="568" w:hanging="284"/>
        <w:rPr>
          <w:rFonts w:ascii="Tahoma" w:eastAsia="Times New Roman" w:hAnsi="Tahoma"/>
          <w:color w:val="0000FF"/>
          <w:sz w:val="20"/>
          <w:szCs w:val="24"/>
        </w:rPr>
      </w:pPr>
    </w:p>
    <w:tbl>
      <w:tblPr>
        <w:tblW w:w="7078" w:type="dxa"/>
        <w:tblInd w:w="567" w:type="dxa"/>
        <w:tblCellMar>
          <w:left w:w="70" w:type="dxa"/>
          <w:right w:w="70" w:type="dxa"/>
        </w:tblCellMar>
        <w:tblLook w:val="04A0" w:firstRow="1" w:lastRow="0" w:firstColumn="1" w:lastColumn="0" w:noHBand="0" w:noVBand="1"/>
      </w:tblPr>
      <w:tblGrid>
        <w:gridCol w:w="1129"/>
        <w:gridCol w:w="5949"/>
      </w:tblGrid>
      <w:tr w:rsidR="005E0D6E" w:rsidRPr="005C5E01" w14:paraId="68C3D1EA"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106A6AC2" w14:textId="7B9D408B"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G-R01</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49ECB" w14:textId="06EEC0E3"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Relazione Generale</w:t>
            </w:r>
          </w:p>
        </w:tc>
      </w:tr>
      <w:tr w:rsidR="005E0D6E" w:rsidRPr="005C5E01" w14:paraId="6EEB10DD"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355FD957" w14:textId="5AC21C31"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G-R03</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8F192" w14:textId="5D8E40FC"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Capitolato speciale di appalto - Norme generali</w:t>
            </w:r>
          </w:p>
        </w:tc>
      </w:tr>
      <w:tr w:rsidR="005E0D6E" w:rsidRPr="005C5E01" w14:paraId="1F323F39"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5D8E2082" w14:textId="63C05BD7"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G-R04</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84B5" w14:textId="3921B79F"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Capitolato speciale di appalto - Parte tecnica</w:t>
            </w:r>
          </w:p>
        </w:tc>
      </w:tr>
      <w:tr w:rsidR="005E0D6E" w:rsidRPr="005C5E01" w14:paraId="1B1D4B9E"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059D739A" w14:textId="6590315A"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G-R05</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EF5BD" w14:textId="3081FB96"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Piano di Manutenzione dell'opera</w:t>
            </w:r>
          </w:p>
        </w:tc>
      </w:tr>
      <w:tr w:rsidR="005E0D6E" w:rsidRPr="005C5E01" w14:paraId="48F8D492"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381E8E93" w14:textId="67C23943"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EA-R01</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23507" w14:textId="046880B7"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Relazione tecnica illustrativa</w:t>
            </w:r>
          </w:p>
        </w:tc>
      </w:tr>
      <w:tr w:rsidR="005E0D6E" w:rsidRPr="005C5E01" w14:paraId="196F12F7"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32F30E9B" w14:textId="211BAAF0"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EA-E01</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67051" w14:textId="075069AF"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Inquadramento urbanistico</w:t>
            </w:r>
          </w:p>
        </w:tc>
      </w:tr>
      <w:tr w:rsidR="005E0D6E" w:rsidRPr="005C5E01" w14:paraId="341113A7"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330D4B1D" w14:textId="3D798CBC"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EA-E02</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48A67" w14:textId="31841458"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 xml:space="preserve">Stato attuale - Planimetria generale </w:t>
            </w:r>
          </w:p>
        </w:tc>
      </w:tr>
      <w:tr w:rsidR="005E0D6E" w:rsidRPr="005C5E01" w14:paraId="08F9E451"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54429356" w14:textId="7B18D013"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EA-E03</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22AFC" w14:textId="20075487"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Stato attuale - sezioni</w:t>
            </w:r>
          </w:p>
        </w:tc>
      </w:tr>
      <w:tr w:rsidR="005E0D6E" w:rsidRPr="005C5E01" w14:paraId="18A8DA35"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4340D469" w14:textId="01F3698F"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EA-R02</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B851" w14:textId="191B3159"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Stato attuale - Documentazione fotografica</w:t>
            </w:r>
          </w:p>
        </w:tc>
      </w:tr>
      <w:tr w:rsidR="005E0D6E" w:rsidRPr="005C5E01" w14:paraId="71951058"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08F7CBE7" w14:textId="722541C7"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EA-E04</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74B0F" w14:textId="29219903"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Progetto - Planimetria generale</w:t>
            </w:r>
          </w:p>
        </w:tc>
      </w:tr>
      <w:tr w:rsidR="005E0D6E" w:rsidRPr="005C5E01" w14:paraId="3B7B3797"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73F60AE2" w14:textId="1A595D4B"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EA-E05</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DBB98" w14:textId="25561F28"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Progetto - sezioni</w:t>
            </w:r>
          </w:p>
        </w:tc>
      </w:tr>
      <w:tr w:rsidR="005E0D6E" w:rsidRPr="005C5E01" w14:paraId="72830B5B"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16A32DAC" w14:textId="715CC34F"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EA-E06</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05BAB" w14:textId="410C79A3"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Progetto - particolari costruttivi</w:t>
            </w:r>
          </w:p>
        </w:tc>
      </w:tr>
      <w:tr w:rsidR="005E0D6E" w:rsidRPr="005C5E01" w14:paraId="4675598A"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7EF79EDB" w14:textId="0EBDAF54"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EA-E07</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F08FD" w14:textId="0D1BCF97"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Progetto - Planimetria abbattimento barriere architettoniche</w:t>
            </w:r>
          </w:p>
        </w:tc>
      </w:tr>
      <w:tr w:rsidR="005E0D6E" w:rsidRPr="005C5E01" w14:paraId="1DE78C3C"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28E07148" w14:textId="1DFBE649"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EA-R03</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C336E" w14:textId="7C9630F0"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Espropri - Relazione</w:t>
            </w:r>
          </w:p>
        </w:tc>
      </w:tr>
      <w:tr w:rsidR="005E0D6E" w:rsidRPr="005C5E01" w14:paraId="3B8B9B11"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0E4807D5" w14:textId="63BE3DE8"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EA-E08</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A82EF" w14:textId="4566A801"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 xml:space="preserve">Espropri - Piano particellare di esproprio </w:t>
            </w:r>
          </w:p>
        </w:tc>
      </w:tr>
      <w:tr w:rsidR="005E0D6E" w:rsidRPr="005C5E01" w14:paraId="25C8C529"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35DD5040" w14:textId="1459E0C0"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lastRenderedPageBreak/>
              <w:t>EA-E09</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E6313" w14:textId="7C612535"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Planimetria di tracciamento</w:t>
            </w:r>
          </w:p>
        </w:tc>
      </w:tr>
      <w:tr w:rsidR="005E0D6E" w:rsidRPr="005C5E01" w14:paraId="4440AAE7"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23CBB84F" w14:textId="570FD5B4"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RTI</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ABE8" w14:textId="065C739B"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Relazione tecnica illustrativa</w:t>
            </w:r>
          </w:p>
        </w:tc>
      </w:tr>
      <w:tr w:rsidR="005E0D6E" w:rsidRPr="005C5E01" w14:paraId="2719DBF6" w14:textId="77777777" w:rsidTr="005E0D6E">
        <w:trPr>
          <w:trHeight w:val="300"/>
        </w:trPr>
        <w:tc>
          <w:tcPr>
            <w:tcW w:w="1129" w:type="dxa"/>
            <w:tcBorders>
              <w:top w:val="single" w:sz="4" w:space="0" w:color="auto"/>
              <w:left w:val="single" w:sz="4" w:space="0" w:color="auto"/>
              <w:bottom w:val="single" w:sz="4" w:space="0" w:color="auto"/>
              <w:right w:val="nil"/>
            </w:tcBorders>
            <w:vAlign w:val="center"/>
          </w:tcPr>
          <w:p w14:paraId="6322548D" w14:textId="15863DD3"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RF</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2C5B2" w14:textId="596A6E9D"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Relazione sulle fondazioni</w:t>
            </w:r>
          </w:p>
        </w:tc>
      </w:tr>
      <w:tr w:rsidR="005E0D6E" w:rsidRPr="005C5E01" w14:paraId="1BC0CF1E" w14:textId="77777777" w:rsidTr="005E0D6E">
        <w:trPr>
          <w:trHeight w:val="300"/>
        </w:trPr>
        <w:tc>
          <w:tcPr>
            <w:tcW w:w="1129" w:type="dxa"/>
            <w:tcBorders>
              <w:top w:val="single" w:sz="4" w:space="0" w:color="auto"/>
              <w:left w:val="single" w:sz="4" w:space="0" w:color="auto"/>
              <w:bottom w:val="single" w:sz="4" w:space="0" w:color="auto"/>
              <w:right w:val="nil"/>
            </w:tcBorders>
            <w:vAlign w:val="center"/>
          </w:tcPr>
          <w:p w14:paraId="5C875023" w14:textId="59FE7C8D"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RM</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0EF94" w14:textId="3712850F"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Relazione sui materiali</w:t>
            </w:r>
          </w:p>
        </w:tc>
      </w:tr>
      <w:tr w:rsidR="005E0D6E" w:rsidRPr="005C5E01" w14:paraId="0A99BCBF" w14:textId="77777777" w:rsidTr="005E0D6E">
        <w:trPr>
          <w:trHeight w:val="300"/>
        </w:trPr>
        <w:tc>
          <w:tcPr>
            <w:tcW w:w="1129" w:type="dxa"/>
            <w:tcBorders>
              <w:top w:val="single" w:sz="4" w:space="0" w:color="auto"/>
              <w:left w:val="single" w:sz="4" w:space="0" w:color="auto"/>
              <w:bottom w:val="single" w:sz="4" w:space="0" w:color="auto"/>
              <w:right w:val="nil"/>
            </w:tcBorders>
            <w:vAlign w:val="center"/>
          </w:tcPr>
          <w:p w14:paraId="5ED74722" w14:textId="12FD1035"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RS</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1842F" w14:textId="4E1A37B0"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Relazione sintetica sugli elementi essenziali del progetto</w:t>
            </w:r>
          </w:p>
        </w:tc>
      </w:tr>
      <w:tr w:rsidR="005E0D6E" w:rsidRPr="005C5E01" w14:paraId="3BB40E15" w14:textId="77777777" w:rsidTr="005E0D6E">
        <w:trPr>
          <w:trHeight w:val="300"/>
        </w:trPr>
        <w:tc>
          <w:tcPr>
            <w:tcW w:w="1129" w:type="dxa"/>
            <w:tcBorders>
              <w:top w:val="single" w:sz="4" w:space="0" w:color="auto"/>
              <w:left w:val="single" w:sz="4" w:space="0" w:color="auto"/>
              <w:bottom w:val="single" w:sz="4" w:space="0" w:color="auto"/>
              <w:right w:val="nil"/>
            </w:tcBorders>
            <w:vAlign w:val="center"/>
          </w:tcPr>
          <w:p w14:paraId="7BA03F54" w14:textId="116372B6"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RC</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B6471" w14:textId="03D0C849"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Relazione di calcolo</w:t>
            </w:r>
          </w:p>
        </w:tc>
      </w:tr>
      <w:tr w:rsidR="005E0D6E" w:rsidRPr="005C5E01" w14:paraId="61FACCC2" w14:textId="77777777" w:rsidTr="005E0D6E">
        <w:trPr>
          <w:trHeight w:val="300"/>
        </w:trPr>
        <w:tc>
          <w:tcPr>
            <w:tcW w:w="1129" w:type="dxa"/>
            <w:tcBorders>
              <w:top w:val="single" w:sz="4" w:space="0" w:color="auto"/>
              <w:left w:val="single" w:sz="4" w:space="0" w:color="auto"/>
              <w:bottom w:val="single" w:sz="4" w:space="0" w:color="auto"/>
              <w:right w:val="nil"/>
            </w:tcBorders>
            <w:vAlign w:val="center"/>
          </w:tcPr>
          <w:p w14:paraId="209093A5" w14:textId="2F345F19"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RG</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9C127" w14:textId="4DAA7D2A"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Relazione geotecnica</w:t>
            </w:r>
          </w:p>
        </w:tc>
      </w:tr>
      <w:tr w:rsidR="005E0D6E" w:rsidRPr="005C5E01" w14:paraId="30117FD2" w14:textId="77777777" w:rsidTr="005E0D6E">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023E2F6A" w14:textId="073117A7"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PM</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25979" w14:textId="657CDD2F"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Piano di manutenzione</w:t>
            </w:r>
          </w:p>
        </w:tc>
      </w:tr>
      <w:tr w:rsidR="005E0D6E" w:rsidRPr="005C5E01" w14:paraId="0BE6DE01" w14:textId="77777777" w:rsidTr="005E0D6E">
        <w:trPr>
          <w:trHeight w:val="300"/>
        </w:trPr>
        <w:tc>
          <w:tcPr>
            <w:tcW w:w="1129" w:type="dxa"/>
            <w:tcBorders>
              <w:top w:val="single" w:sz="4" w:space="0" w:color="auto"/>
              <w:left w:val="single" w:sz="4" w:space="0" w:color="auto"/>
              <w:bottom w:val="single" w:sz="4" w:space="0" w:color="auto"/>
              <w:right w:val="nil"/>
            </w:tcBorders>
            <w:vAlign w:val="center"/>
          </w:tcPr>
          <w:p w14:paraId="71A2A16A" w14:textId="016525C8" w:rsidR="005E0D6E" w:rsidRPr="005C5E01"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1-S</w:t>
            </w:r>
          </w:p>
        </w:tc>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8F5DC" w14:textId="598DA4CE" w:rsidR="005E0D6E" w:rsidRPr="005E0D6E" w:rsidRDefault="005E0D6E" w:rsidP="005E0D6E">
            <w:pPr>
              <w:widowControl/>
              <w:autoSpaceDE/>
              <w:autoSpaceDN/>
              <w:adjustRightInd/>
              <w:spacing w:after="0"/>
              <w:jc w:val="left"/>
              <w:rPr>
                <w:rFonts w:ascii="Tahoma" w:eastAsia="Times New Roman" w:hAnsi="Tahoma"/>
                <w:sz w:val="20"/>
                <w:szCs w:val="24"/>
              </w:rPr>
            </w:pPr>
            <w:r w:rsidRPr="005E0D6E">
              <w:rPr>
                <w:rFonts w:ascii="Tahoma" w:eastAsia="Times New Roman" w:hAnsi="Tahoma"/>
                <w:sz w:val="20"/>
                <w:szCs w:val="24"/>
              </w:rPr>
              <w:t>Grafici Muri e particolari costruttivi</w:t>
            </w:r>
          </w:p>
        </w:tc>
      </w:tr>
    </w:tbl>
    <w:p w14:paraId="3B67FF24" w14:textId="7E70E339" w:rsidR="005E0D6E" w:rsidRDefault="005E0D6E">
      <w:pPr>
        <w:spacing w:after="0"/>
        <w:ind w:left="568" w:hanging="284"/>
        <w:rPr>
          <w:rFonts w:ascii="Tahoma" w:eastAsia="Times New Roman" w:hAnsi="Tahoma"/>
          <w:sz w:val="20"/>
          <w:szCs w:val="24"/>
        </w:rPr>
      </w:pPr>
    </w:p>
    <w:p w14:paraId="4BC9F88B" w14:textId="77777777" w:rsidR="00C1303D" w:rsidRDefault="00C1303D">
      <w:pPr>
        <w:spacing w:after="0"/>
        <w:ind w:left="568" w:hanging="284"/>
        <w:rPr>
          <w:rFonts w:ascii="Tahoma" w:eastAsia="Times New Roman" w:hAnsi="Tahoma"/>
          <w:sz w:val="20"/>
          <w:szCs w:val="24"/>
        </w:rPr>
      </w:pPr>
    </w:p>
    <w:p w14:paraId="4BFFED7E"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Alcuni documenti sopra elencati possono anche non essere materialmente allegati, fatto salvo il capitolato speciale d'appalto e l'elenco prezzi unitari, purché conservati dalla stazione appaltante e controfirmati dai contraenti.</w:t>
      </w:r>
    </w:p>
    <w:p w14:paraId="3446C780"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Sono contrattualmente vincolanti per le Parti le leggi e le norme vigenti in materia di lavori pubblici e in particolare:</w:t>
      </w:r>
    </w:p>
    <w:p w14:paraId="1A605357" w14:textId="77777777" w:rsidR="000B6E98" w:rsidRDefault="008A7A17" w:rsidP="008A7A17">
      <w:pPr>
        <w:numPr>
          <w:ilvl w:val="0"/>
          <w:numId w:val="2"/>
        </w:numPr>
        <w:spacing w:after="0"/>
        <w:ind w:left="568" w:hanging="284"/>
        <w:rPr>
          <w:rFonts w:ascii="Tahoma" w:eastAsia="Times New Roman" w:hAnsi="Tahoma"/>
          <w:sz w:val="20"/>
          <w:szCs w:val="24"/>
        </w:rPr>
      </w:pPr>
      <w:r>
        <w:rPr>
          <w:rFonts w:ascii="Tahoma" w:eastAsia="Times New Roman" w:hAnsi="Tahoma"/>
          <w:sz w:val="20"/>
          <w:szCs w:val="24"/>
        </w:rPr>
        <w:t>il Codice dei contratti (d.lgs. n.50/2016);</w:t>
      </w:r>
    </w:p>
    <w:p w14:paraId="7C6A0246" w14:textId="77777777" w:rsidR="000B6E98" w:rsidRDefault="008A7A17" w:rsidP="008A7A17">
      <w:pPr>
        <w:numPr>
          <w:ilvl w:val="0"/>
          <w:numId w:val="2"/>
        </w:numPr>
        <w:spacing w:after="0"/>
        <w:ind w:left="568" w:hanging="284"/>
        <w:rPr>
          <w:rFonts w:ascii="Tahoma" w:eastAsia="Times New Roman" w:hAnsi="Tahoma"/>
          <w:sz w:val="20"/>
          <w:szCs w:val="24"/>
        </w:rPr>
      </w:pPr>
      <w:r>
        <w:rPr>
          <w:rFonts w:ascii="Tahoma" w:eastAsia="Times New Roman" w:hAnsi="Tahoma"/>
          <w:sz w:val="20"/>
          <w:szCs w:val="24"/>
        </w:rPr>
        <w:t>il d.P.R. n.207/2010, per gli articoli non abrogati;</w:t>
      </w:r>
      <w:r>
        <w:rPr>
          <w:rFonts w:ascii="Tahoma" w:eastAsia="Times New Roman" w:hAnsi="Tahoma"/>
          <w:sz w:val="20"/>
          <w:szCs w:val="24"/>
        </w:rPr>
        <w:tab/>
      </w:r>
    </w:p>
    <w:p w14:paraId="09E63730" w14:textId="38BBB6D4" w:rsidR="000B6E98" w:rsidRDefault="008A7A17" w:rsidP="008A7A17">
      <w:pPr>
        <w:numPr>
          <w:ilvl w:val="0"/>
          <w:numId w:val="1"/>
        </w:numPr>
        <w:spacing w:after="0"/>
        <w:ind w:left="568" w:hanging="284"/>
        <w:rPr>
          <w:rFonts w:ascii="Tahoma" w:eastAsia="Times New Roman" w:hAnsi="Tahoma"/>
          <w:sz w:val="20"/>
          <w:szCs w:val="24"/>
        </w:rPr>
      </w:pPr>
      <w:r>
        <w:rPr>
          <w:rFonts w:ascii="Tahoma" w:eastAsia="Times New Roman" w:hAnsi="Tahoma"/>
          <w:sz w:val="20"/>
          <w:szCs w:val="24"/>
        </w:rPr>
        <w:t>le leggi, i decreti, i regolamenti e le circolari ministeriali emanate e vigenti alla data di esecuzione dei lavori nonch</w:t>
      </w:r>
      <w:r w:rsidR="00525AA3">
        <w:rPr>
          <w:rFonts w:ascii="Tahoma" w:eastAsia="Times New Roman" w:hAnsi="Tahoma"/>
          <w:sz w:val="20"/>
          <w:szCs w:val="24"/>
        </w:rPr>
        <w:t>é</w:t>
      </w:r>
      <w:r>
        <w:rPr>
          <w:rFonts w:ascii="Tahoma" w:eastAsia="Times New Roman" w:hAnsi="Tahoma"/>
          <w:sz w:val="20"/>
          <w:szCs w:val="24"/>
        </w:rPr>
        <w:t xml:space="preserve"> le norme vincolanti in specifici ambiti territoriali, quali la Regione, Provincia e Comune in cui si eseguono le opere oggetto dell'appalto;</w:t>
      </w:r>
    </w:p>
    <w:p w14:paraId="5FDFD45F" w14:textId="1461A388" w:rsidR="000B6E98" w:rsidRDefault="008A7A17" w:rsidP="008A7A17">
      <w:pPr>
        <w:numPr>
          <w:ilvl w:val="0"/>
          <w:numId w:val="1"/>
        </w:numPr>
        <w:spacing w:after="0"/>
        <w:ind w:left="568" w:hanging="284"/>
        <w:rPr>
          <w:rFonts w:ascii="Tahoma" w:eastAsia="Times New Roman" w:hAnsi="Tahoma"/>
          <w:sz w:val="20"/>
          <w:szCs w:val="24"/>
        </w:rPr>
      </w:pPr>
      <w:r>
        <w:rPr>
          <w:rFonts w:ascii="Tahoma" w:eastAsia="Times New Roman" w:hAnsi="Tahoma"/>
          <w:sz w:val="20"/>
          <w:szCs w:val="24"/>
        </w:rPr>
        <w:t>delibere, pareri e determinazioni emanate dall'Autorità Nazionale Anti</w:t>
      </w:r>
      <w:r w:rsidR="00525AA3">
        <w:rPr>
          <w:rFonts w:ascii="Tahoma" w:eastAsia="Times New Roman" w:hAnsi="Tahoma"/>
          <w:sz w:val="20"/>
          <w:szCs w:val="24"/>
        </w:rPr>
        <w:t xml:space="preserve"> </w:t>
      </w:r>
      <w:r>
        <w:rPr>
          <w:rFonts w:ascii="Tahoma" w:eastAsia="Times New Roman" w:hAnsi="Tahoma"/>
          <w:sz w:val="20"/>
          <w:szCs w:val="24"/>
        </w:rPr>
        <w:t>Corruzione (ANAC);</w:t>
      </w:r>
    </w:p>
    <w:p w14:paraId="28E33999" w14:textId="77777777" w:rsidR="000B6E98" w:rsidRDefault="008A7A17" w:rsidP="008A7A17">
      <w:pPr>
        <w:numPr>
          <w:ilvl w:val="0"/>
          <w:numId w:val="1"/>
        </w:numPr>
        <w:spacing w:after="0"/>
        <w:ind w:left="568" w:hanging="284"/>
        <w:rPr>
          <w:rFonts w:ascii="Tahoma" w:eastAsia="Times New Roman" w:hAnsi="Tahoma"/>
          <w:sz w:val="20"/>
          <w:szCs w:val="24"/>
        </w:rPr>
      </w:pPr>
      <w:r>
        <w:rPr>
          <w:rFonts w:ascii="Tahoma" w:eastAsia="Times New Roman" w:hAnsi="Tahoma"/>
          <w:sz w:val="20"/>
          <w:szCs w:val="24"/>
        </w:rPr>
        <w:t xml:space="preserve">le norme tecniche emanate da C.N.R., U.N.I., C.E.I. </w:t>
      </w:r>
    </w:p>
    <w:p w14:paraId="30256A71"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Qualora uno stesso atto contrattuale dovesse riportare delle disposizioni di carattere discordante, l'appaltatore ne farà oggetto d'immediata segnalazione scritta alla stazione appaltante per i conseguenti provvedimenti di modifica.</w:t>
      </w:r>
    </w:p>
    <w:p w14:paraId="26712BF2" w14:textId="77777777" w:rsidR="000B6E98" w:rsidRPr="009E1175" w:rsidRDefault="008A7A17">
      <w:pPr>
        <w:spacing w:after="0"/>
        <w:ind w:firstLine="284"/>
        <w:rPr>
          <w:rFonts w:ascii="Tahoma" w:eastAsia="Times New Roman" w:hAnsi="Tahoma"/>
          <w:sz w:val="20"/>
          <w:szCs w:val="24"/>
        </w:rPr>
      </w:pPr>
      <w:r w:rsidRPr="009E1175">
        <w:rPr>
          <w:rFonts w:ascii="Tahoma" w:eastAsia="Times New Roman" w:hAnsi="Tahoma"/>
          <w:sz w:val="20"/>
          <w:szCs w:val="24"/>
        </w:rPr>
        <w:t>In caso di discordanza tra i vari elaborati di progetto vale la soluzione più aderente alle finalità per le quali il lavoro è stato progettato e comunque quella meglio rispondente ai criteri di ragionevolezza e di buona tecnica esecutiva.</w:t>
      </w:r>
    </w:p>
    <w:p w14:paraId="253BC9BA" w14:textId="728E1F9E" w:rsidR="000B6E98" w:rsidRDefault="008A7A17">
      <w:pPr>
        <w:spacing w:after="0"/>
        <w:ind w:firstLine="284"/>
        <w:rPr>
          <w:rFonts w:ascii="Tahoma" w:eastAsia="Times New Roman" w:hAnsi="Tahoma"/>
          <w:sz w:val="20"/>
          <w:szCs w:val="24"/>
        </w:rPr>
      </w:pPr>
      <w:r>
        <w:rPr>
          <w:rFonts w:ascii="Tahoma" w:eastAsia="Times New Roman" w:hAnsi="Tahoma"/>
          <w:sz w:val="20"/>
          <w:szCs w:val="24"/>
        </w:rPr>
        <w:t>Nel caso si riscontrassero disposizioni discordanti tra i diversi atti di contratto, fermo restando quanto stabilito nella seconda parte del precedente capoverso, l'appaltatore rispetterà, nell'ordine, quelle indicate dagli atti seguenti: contratto - capitolato speciale d'appalto - elenco prezzi - disegni.</w:t>
      </w:r>
    </w:p>
    <w:p w14:paraId="01B698B9" w14:textId="00CB5AF2" w:rsidR="000B6E98" w:rsidRDefault="008A7A17">
      <w:pPr>
        <w:spacing w:after="0"/>
        <w:ind w:firstLine="284"/>
        <w:rPr>
          <w:rFonts w:ascii="Tahoma" w:eastAsia="Times New Roman" w:hAnsi="Tahoma"/>
          <w:sz w:val="20"/>
          <w:szCs w:val="24"/>
        </w:rPr>
      </w:pPr>
      <w:r>
        <w:rPr>
          <w:rFonts w:ascii="Tahoma" w:eastAsia="Times New Roman" w:hAnsi="Tahoma"/>
          <w:color w:val="000000"/>
          <w:sz w:val="20"/>
          <w:szCs w:val="24"/>
        </w:rPr>
        <w:t>Nel caso di discordanze tra le descrizioni riportate in elenco prezzi unitari e quelle brevi riportate nel computo metrico estimativo, se presenti, è da intendersi prevalente quanto prescritto nell'elenco prezzi, anche in relazione al fatto che tale elaborato avrà valenza contrattuale in sede di stipula, diventando allegato al contratto.</w:t>
      </w:r>
    </w:p>
    <w:p w14:paraId="550DB4DE"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Qualora gli atti contrattuali prevedessero delle soluzioni alternative, resta espressamente stabilito che la scelta spetterà, di norma e salvo diversa specifica, alla Direzione dei lavori.</w:t>
      </w:r>
    </w:p>
    <w:p w14:paraId="09E08351"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L'appaltatore dovrà comunque rispettare i minimi inderogabili fissati dal presente Capitolato avendo gli stessi, per esplicita statuizione, carattere di prevalenza rispetto alle diverse o minori prescrizioni riportate negli altri atti contrattuali.</w:t>
      </w:r>
    </w:p>
    <w:p w14:paraId="051A7CAB" w14:textId="7B00A422" w:rsidR="000B6E98" w:rsidRDefault="000B6E98">
      <w:pPr>
        <w:spacing w:after="0"/>
        <w:ind w:firstLine="284"/>
        <w:rPr>
          <w:rFonts w:ascii="Tahoma" w:eastAsia="Times New Roman" w:hAnsi="Tahoma"/>
          <w:sz w:val="20"/>
          <w:szCs w:val="24"/>
        </w:rPr>
      </w:pPr>
    </w:p>
    <w:p w14:paraId="62A59C25" w14:textId="77777777" w:rsidR="00331EBA" w:rsidRDefault="00331EBA">
      <w:pPr>
        <w:spacing w:after="0"/>
        <w:ind w:firstLine="284"/>
        <w:rPr>
          <w:rFonts w:ascii="Tahoma" w:eastAsia="Times New Roman" w:hAnsi="Tahoma"/>
          <w:sz w:val="20"/>
          <w:szCs w:val="24"/>
        </w:rPr>
      </w:pPr>
    </w:p>
    <w:p w14:paraId="642D4F1C"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#{GUID_376E1917-CD88-47EC-BCAC-74D99C9A98C9|LIVELLO_2|TESTO_Qualificazione dell'Appaltatore_END}&amp;</w:t>
      </w:r>
      <w:bookmarkStart w:id="11" w:name="4233"/>
      <w:bookmarkEnd w:id="11"/>
      <w:r>
        <w:rPr>
          <w:rFonts w:ascii="Tahoma" w:eastAsia="Times New Roman" w:hAnsi="Tahoma"/>
          <w:b/>
          <w:sz w:val="20"/>
          <w:szCs w:val="24"/>
        </w:rPr>
        <w:t>Art. 2.3</w:t>
      </w:r>
    </w:p>
    <w:p w14:paraId="3940DEB5" w14:textId="77777777" w:rsidR="000B6E98" w:rsidRPr="00331EBA" w:rsidRDefault="008A7A17">
      <w:pPr>
        <w:spacing w:after="0"/>
        <w:jc w:val="center"/>
        <w:rPr>
          <w:rFonts w:ascii="Tahoma" w:eastAsia="Times New Roman" w:hAnsi="Tahoma"/>
          <w:b/>
          <w:sz w:val="20"/>
          <w:szCs w:val="24"/>
        </w:rPr>
      </w:pPr>
      <w:r w:rsidRPr="00331EBA">
        <w:rPr>
          <w:rFonts w:ascii="Tahoma" w:eastAsia="Times New Roman" w:hAnsi="Tahoma"/>
          <w:b/>
          <w:sz w:val="20"/>
          <w:szCs w:val="24"/>
        </w:rPr>
        <w:t>QUALIFICAZIONE DELL'APPALTATORE</w:t>
      </w:r>
    </w:p>
    <w:p w14:paraId="08AC910F" w14:textId="77777777" w:rsidR="000B6E98" w:rsidRDefault="000B6E98">
      <w:pPr>
        <w:spacing w:after="0"/>
        <w:rPr>
          <w:rFonts w:ascii="Tahoma" w:eastAsia="Times New Roman" w:hAnsi="Tahoma"/>
          <w:sz w:val="20"/>
          <w:szCs w:val="24"/>
        </w:rPr>
      </w:pPr>
    </w:p>
    <w:p w14:paraId="5F45B4FA" w14:textId="1E50C9A2"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Per i lavori indicati dal presente Capitolato è richiesta la qualificazione dell'Appaltatore per le seguenti categorie e classifiche, così come richiesto </w:t>
      </w:r>
      <w:r>
        <w:rPr>
          <w:rFonts w:ascii="Tahoma" w:eastAsia="Times New Roman" w:hAnsi="Tahoma"/>
          <w:color w:val="000000"/>
          <w:sz w:val="20"/>
          <w:szCs w:val="24"/>
        </w:rPr>
        <w:t>dal bando di gara, dall'avviso o dall'invito a partecipare</w:t>
      </w:r>
      <w:r>
        <w:rPr>
          <w:rFonts w:ascii="Tahoma" w:eastAsia="Times New Roman" w:hAnsi="Tahoma"/>
          <w:sz w:val="20"/>
          <w:szCs w:val="24"/>
        </w:rPr>
        <w:t xml:space="preserve"> redatto dalla Stazione Appaltante e disciplinato dal Codice Appalti e dalla norma vigente.</w:t>
      </w:r>
    </w:p>
    <w:p w14:paraId="1C541D3A" w14:textId="61F1F796" w:rsidR="00C1303D" w:rsidRDefault="00C1303D">
      <w:pPr>
        <w:spacing w:after="0"/>
        <w:ind w:firstLine="284"/>
        <w:rPr>
          <w:rFonts w:ascii="Tahoma" w:eastAsia="Times New Roman" w:hAnsi="Tahoma"/>
          <w:sz w:val="20"/>
          <w:szCs w:val="24"/>
        </w:rPr>
      </w:pPr>
    </w:p>
    <w:p w14:paraId="1AB41434" w14:textId="0977D926" w:rsidR="00C1303D" w:rsidRDefault="00C1303D">
      <w:pPr>
        <w:spacing w:after="0"/>
        <w:ind w:firstLine="284"/>
        <w:rPr>
          <w:rFonts w:ascii="Tahoma" w:eastAsia="Times New Roman" w:hAnsi="Tahoma"/>
          <w:sz w:val="20"/>
          <w:szCs w:val="24"/>
        </w:rPr>
      </w:pPr>
    </w:p>
    <w:p w14:paraId="55D23A81" w14:textId="7D1B4D70" w:rsidR="00C1303D" w:rsidRDefault="00C1303D">
      <w:pPr>
        <w:spacing w:after="0"/>
        <w:ind w:firstLine="284"/>
        <w:rPr>
          <w:rFonts w:ascii="Tahoma" w:eastAsia="Times New Roman" w:hAnsi="Tahoma"/>
          <w:sz w:val="20"/>
          <w:szCs w:val="24"/>
        </w:rPr>
      </w:pPr>
    </w:p>
    <w:p w14:paraId="1B76B514" w14:textId="340D8F9E" w:rsidR="00C1303D" w:rsidRDefault="00C1303D">
      <w:pPr>
        <w:spacing w:after="0"/>
        <w:ind w:firstLine="284"/>
        <w:rPr>
          <w:rFonts w:ascii="Tahoma" w:eastAsia="Times New Roman" w:hAnsi="Tahoma"/>
          <w:sz w:val="20"/>
          <w:szCs w:val="24"/>
        </w:rPr>
      </w:pPr>
    </w:p>
    <w:p w14:paraId="074B6197" w14:textId="71EB9261" w:rsidR="00C1303D" w:rsidRDefault="00C1303D">
      <w:pPr>
        <w:spacing w:after="0"/>
        <w:ind w:firstLine="284"/>
        <w:rPr>
          <w:rFonts w:ascii="Tahoma" w:eastAsia="Times New Roman" w:hAnsi="Tahoma"/>
          <w:sz w:val="20"/>
          <w:szCs w:val="24"/>
        </w:rPr>
      </w:pPr>
    </w:p>
    <w:p w14:paraId="755B79BD" w14:textId="77777777" w:rsidR="00C1303D" w:rsidRDefault="00C1303D">
      <w:pPr>
        <w:spacing w:after="0"/>
        <w:ind w:firstLine="284"/>
        <w:rPr>
          <w:rFonts w:ascii="Tahoma" w:eastAsia="Times New Roman" w:hAnsi="Tahoma"/>
          <w:sz w:val="20"/>
          <w:szCs w:val="24"/>
        </w:rPr>
      </w:pPr>
    </w:p>
    <w:p w14:paraId="6BB6DA02" w14:textId="60D65F02" w:rsidR="00C1303D" w:rsidRDefault="00C1303D">
      <w:pPr>
        <w:spacing w:after="0"/>
        <w:ind w:firstLine="284"/>
        <w:rPr>
          <w:rFonts w:ascii="Tahoma" w:eastAsia="Times New Roman" w:hAnsi="Tahoma"/>
          <w:sz w:val="20"/>
          <w:szCs w:val="24"/>
        </w:rPr>
      </w:pPr>
    </w:p>
    <w:tbl>
      <w:tblPr>
        <w:tblW w:w="10206" w:type="dxa"/>
        <w:tblInd w:w="-287" w:type="dxa"/>
        <w:tblLayout w:type="fixed"/>
        <w:tblCellMar>
          <w:left w:w="60" w:type="dxa"/>
          <w:right w:w="60" w:type="dxa"/>
        </w:tblCellMar>
        <w:tblLook w:val="0000" w:firstRow="0" w:lastRow="0" w:firstColumn="0" w:lastColumn="0" w:noHBand="0" w:noVBand="0"/>
      </w:tblPr>
      <w:tblGrid>
        <w:gridCol w:w="696"/>
        <w:gridCol w:w="1856"/>
        <w:gridCol w:w="1276"/>
        <w:gridCol w:w="1274"/>
        <w:gridCol w:w="1277"/>
        <w:gridCol w:w="1276"/>
        <w:gridCol w:w="1843"/>
        <w:gridCol w:w="708"/>
      </w:tblGrid>
      <w:tr w:rsidR="00C1303D" w14:paraId="6951A8DF" w14:textId="77777777" w:rsidTr="0077098E">
        <w:trPr>
          <w:trHeight w:hRule="exact" w:val="546"/>
        </w:trPr>
        <w:tc>
          <w:tcPr>
            <w:tcW w:w="696"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6D534759" w14:textId="77777777" w:rsidR="00C1303D" w:rsidRPr="0002086D" w:rsidRDefault="00C1303D" w:rsidP="0077098E">
            <w:pPr>
              <w:jc w:val="center"/>
              <w:rPr>
                <w:rFonts w:ascii="Tahoma" w:hAnsi="Tahoma"/>
                <w:b/>
                <w:sz w:val="18"/>
                <w:szCs w:val="18"/>
              </w:rPr>
            </w:pPr>
            <w:r w:rsidRPr="0002086D">
              <w:rPr>
                <w:rFonts w:ascii="Tahoma" w:hAnsi="Tahoma"/>
                <w:b/>
                <w:color w:val="FFFFFF"/>
                <w:sz w:val="18"/>
                <w:szCs w:val="18"/>
              </w:rPr>
              <w:lastRenderedPageBreak/>
              <w:t>Cod.</w:t>
            </w:r>
          </w:p>
        </w:tc>
        <w:tc>
          <w:tcPr>
            <w:tcW w:w="1856" w:type="dxa"/>
            <w:vMerge w:val="restart"/>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2EE518FE" w14:textId="77777777" w:rsidR="00C1303D" w:rsidRPr="0002086D" w:rsidRDefault="00C1303D" w:rsidP="0077098E">
            <w:pPr>
              <w:jc w:val="center"/>
              <w:rPr>
                <w:rFonts w:ascii="Tahoma" w:hAnsi="Tahoma"/>
                <w:b/>
                <w:sz w:val="18"/>
                <w:szCs w:val="18"/>
              </w:rPr>
            </w:pPr>
            <w:r w:rsidRPr="0002086D">
              <w:rPr>
                <w:rFonts w:ascii="Tahoma" w:hAnsi="Tahoma"/>
                <w:b/>
                <w:color w:val="FFFFFF"/>
                <w:sz w:val="18"/>
                <w:szCs w:val="18"/>
              </w:rPr>
              <w:t>Descrizione</w:t>
            </w:r>
          </w:p>
        </w:tc>
        <w:tc>
          <w:tcPr>
            <w:tcW w:w="3827" w:type="dxa"/>
            <w:gridSpan w:val="3"/>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25FCA543" w14:textId="77777777" w:rsidR="00C1303D" w:rsidRPr="0002086D" w:rsidRDefault="00C1303D" w:rsidP="0077098E">
            <w:pPr>
              <w:jc w:val="center"/>
              <w:rPr>
                <w:rFonts w:ascii="Tahoma" w:hAnsi="Tahoma"/>
                <w:b/>
                <w:color w:val="FFFFFF"/>
                <w:sz w:val="18"/>
                <w:szCs w:val="18"/>
              </w:rPr>
            </w:pPr>
            <w:r w:rsidRPr="0002086D">
              <w:rPr>
                <w:rFonts w:ascii="Tahoma" w:hAnsi="Tahoma"/>
                <w:b/>
                <w:color w:val="FFFFFF"/>
                <w:sz w:val="18"/>
                <w:szCs w:val="18"/>
              </w:rPr>
              <w:t>Importo (Euro)</w:t>
            </w:r>
          </w:p>
        </w:tc>
        <w:tc>
          <w:tcPr>
            <w:tcW w:w="1276" w:type="dxa"/>
            <w:vMerge w:val="restart"/>
            <w:tcBorders>
              <w:top w:val="single" w:sz="2" w:space="0" w:color="auto"/>
              <w:left w:val="single" w:sz="2" w:space="0" w:color="auto"/>
              <w:right w:val="single" w:sz="2" w:space="0" w:color="auto"/>
            </w:tcBorders>
            <w:shd w:val="clear" w:color="auto" w:fill="4F81BD"/>
            <w:vAlign w:val="center"/>
          </w:tcPr>
          <w:p w14:paraId="685CBEC6" w14:textId="77777777" w:rsidR="00C1303D" w:rsidRPr="0002086D" w:rsidRDefault="00C1303D" w:rsidP="0077098E">
            <w:pPr>
              <w:jc w:val="center"/>
              <w:rPr>
                <w:rFonts w:ascii="Tahoma" w:hAnsi="Tahoma"/>
                <w:b/>
                <w:color w:val="FFFFFF"/>
                <w:sz w:val="18"/>
                <w:szCs w:val="18"/>
              </w:rPr>
            </w:pPr>
            <w:r>
              <w:rPr>
                <w:rFonts w:ascii="Tahoma" w:hAnsi="Tahoma"/>
                <w:b/>
                <w:color w:val="FFFFFF"/>
                <w:sz w:val="18"/>
                <w:szCs w:val="18"/>
              </w:rPr>
              <w:t>Classifica SOA</w:t>
            </w:r>
          </w:p>
        </w:tc>
        <w:tc>
          <w:tcPr>
            <w:tcW w:w="1843" w:type="dxa"/>
            <w:vMerge w:val="restart"/>
            <w:tcBorders>
              <w:top w:val="single" w:sz="2" w:space="0" w:color="auto"/>
              <w:left w:val="single" w:sz="2" w:space="0" w:color="auto"/>
              <w:right w:val="single" w:sz="2" w:space="0" w:color="auto"/>
            </w:tcBorders>
            <w:shd w:val="clear" w:color="auto" w:fill="4F81BD"/>
            <w:vAlign w:val="center"/>
          </w:tcPr>
          <w:p w14:paraId="490F9E0D" w14:textId="77777777" w:rsidR="00C1303D" w:rsidRPr="0002086D" w:rsidRDefault="00C1303D" w:rsidP="0077098E">
            <w:pPr>
              <w:jc w:val="center"/>
              <w:rPr>
                <w:rFonts w:ascii="Tahoma" w:hAnsi="Tahoma"/>
                <w:b/>
                <w:color w:val="FFFFFF"/>
                <w:sz w:val="18"/>
                <w:szCs w:val="18"/>
              </w:rPr>
            </w:pPr>
            <w:r>
              <w:rPr>
                <w:rFonts w:ascii="Tahoma" w:hAnsi="Tahoma"/>
                <w:b/>
                <w:color w:val="FFFFFF"/>
                <w:sz w:val="18"/>
                <w:szCs w:val="18"/>
              </w:rPr>
              <w:t>Tipologia</w:t>
            </w:r>
          </w:p>
        </w:tc>
        <w:tc>
          <w:tcPr>
            <w:tcW w:w="708" w:type="dxa"/>
            <w:vMerge w:val="restart"/>
            <w:tcBorders>
              <w:top w:val="single" w:sz="2" w:space="0" w:color="auto"/>
              <w:left w:val="single" w:sz="2" w:space="0" w:color="auto"/>
              <w:right w:val="single" w:sz="2" w:space="0" w:color="auto"/>
            </w:tcBorders>
            <w:shd w:val="clear" w:color="auto" w:fill="4F81BD"/>
            <w:vAlign w:val="center"/>
          </w:tcPr>
          <w:p w14:paraId="772F36AE" w14:textId="77777777" w:rsidR="00C1303D" w:rsidRPr="0002086D" w:rsidRDefault="00C1303D" w:rsidP="0077098E">
            <w:pPr>
              <w:jc w:val="center"/>
              <w:rPr>
                <w:rFonts w:ascii="Tahoma" w:hAnsi="Tahoma"/>
                <w:b/>
                <w:color w:val="FFFFFF"/>
                <w:sz w:val="18"/>
                <w:szCs w:val="18"/>
              </w:rPr>
            </w:pPr>
            <w:r>
              <w:rPr>
                <w:rFonts w:ascii="Tahoma" w:hAnsi="Tahoma"/>
                <w:b/>
                <w:color w:val="FFFFFF"/>
                <w:sz w:val="18"/>
                <w:szCs w:val="18"/>
              </w:rPr>
              <w:t>%</w:t>
            </w:r>
          </w:p>
        </w:tc>
      </w:tr>
      <w:tr w:rsidR="00C1303D" w14:paraId="05E59CFC" w14:textId="77777777" w:rsidTr="0077098E">
        <w:trPr>
          <w:trHeight w:hRule="exact" w:val="723"/>
        </w:trPr>
        <w:tc>
          <w:tcPr>
            <w:tcW w:w="696"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7CC84FFF" w14:textId="77777777" w:rsidR="00C1303D" w:rsidRPr="0002086D" w:rsidRDefault="00C1303D" w:rsidP="0077098E">
            <w:pPr>
              <w:jc w:val="center"/>
              <w:rPr>
                <w:rFonts w:ascii="Tahoma" w:hAnsi="Tahoma"/>
                <w:b/>
                <w:sz w:val="18"/>
                <w:szCs w:val="18"/>
              </w:rPr>
            </w:pPr>
          </w:p>
        </w:tc>
        <w:tc>
          <w:tcPr>
            <w:tcW w:w="1856" w:type="dxa"/>
            <w:vMerge/>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2BB1D370" w14:textId="77777777" w:rsidR="00C1303D" w:rsidRPr="0002086D" w:rsidRDefault="00C1303D" w:rsidP="0077098E">
            <w:pPr>
              <w:jc w:val="center"/>
              <w:rPr>
                <w:rFonts w:ascii="Tahoma" w:hAnsi="Tahoma"/>
                <w:b/>
                <w:sz w:val="18"/>
                <w:szCs w:val="18"/>
              </w:rPr>
            </w:pPr>
          </w:p>
        </w:tc>
        <w:tc>
          <w:tcPr>
            <w:tcW w:w="1276"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60093572" w14:textId="77777777" w:rsidR="00C1303D" w:rsidRPr="0002086D" w:rsidRDefault="00C1303D" w:rsidP="0077098E">
            <w:pPr>
              <w:jc w:val="center"/>
              <w:rPr>
                <w:rFonts w:ascii="Tahoma" w:hAnsi="Tahoma"/>
                <w:b/>
                <w:color w:val="FFFFFF"/>
                <w:sz w:val="18"/>
                <w:szCs w:val="18"/>
              </w:rPr>
            </w:pPr>
            <w:r w:rsidRPr="0002086D">
              <w:rPr>
                <w:rFonts w:ascii="Tahoma" w:hAnsi="Tahoma"/>
                <w:b/>
                <w:color w:val="FFFFFF"/>
                <w:sz w:val="18"/>
                <w:szCs w:val="18"/>
              </w:rPr>
              <w:t>Importo</w:t>
            </w:r>
          </w:p>
        </w:tc>
        <w:tc>
          <w:tcPr>
            <w:tcW w:w="1274"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5C54345F" w14:textId="77777777" w:rsidR="00C1303D" w:rsidRPr="0002086D" w:rsidRDefault="00C1303D" w:rsidP="0077098E">
            <w:pPr>
              <w:jc w:val="center"/>
              <w:rPr>
                <w:rFonts w:ascii="Tahoma" w:hAnsi="Tahoma"/>
                <w:b/>
                <w:color w:val="FFFFFF"/>
                <w:sz w:val="18"/>
                <w:szCs w:val="18"/>
              </w:rPr>
            </w:pPr>
            <w:r w:rsidRPr="0002086D">
              <w:rPr>
                <w:rFonts w:ascii="Tahoma" w:hAnsi="Tahoma"/>
                <w:b/>
                <w:color w:val="FFFFFF"/>
                <w:sz w:val="18"/>
                <w:szCs w:val="18"/>
              </w:rPr>
              <w:t>Costi della sicurezza</w:t>
            </w:r>
          </w:p>
        </w:tc>
        <w:tc>
          <w:tcPr>
            <w:tcW w:w="1277" w:type="dxa"/>
            <w:tcBorders>
              <w:top w:val="single" w:sz="2" w:space="0" w:color="auto"/>
              <w:left w:val="single" w:sz="2" w:space="0" w:color="auto"/>
              <w:bottom w:val="single" w:sz="2" w:space="0" w:color="auto"/>
              <w:right w:val="single" w:sz="2" w:space="0" w:color="auto"/>
            </w:tcBorders>
            <w:shd w:val="clear" w:color="auto" w:fill="4F81BD"/>
            <w:tcMar>
              <w:top w:w="0" w:type="dxa"/>
              <w:left w:w="65" w:type="dxa"/>
              <w:bottom w:w="0" w:type="dxa"/>
              <w:right w:w="65" w:type="dxa"/>
            </w:tcMar>
            <w:vAlign w:val="center"/>
          </w:tcPr>
          <w:p w14:paraId="256A182D" w14:textId="77777777" w:rsidR="00C1303D" w:rsidRPr="0002086D" w:rsidRDefault="00C1303D" w:rsidP="0077098E">
            <w:pPr>
              <w:jc w:val="center"/>
              <w:rPr>
                <w:rFonts w:ascii="Tahoma" w:hAnsi="Tahoma"/>
                <w:b/>
                <w:color w:val="FFFFFF"/>
                <w:sz w:val="18"/>
                <w:szCs w:val="18"/>
              </w:rPr>
            </w:pPr>
            <w:r>
              <w:rPr>
                <w:rFonts w:ascii="Tahoma" w:hAnsi="Tahoma"/>
                <w:b/>
                <w:color w:val="FFFFFF"/>
                <w:sz w:val="18"/>
                <w:szCs w:val="18"/>
              </w:rPr>
              <w:t>Importo totale</w:t>
            </w:r>
          </w:p>
        </w:tc>
        <w:tc>
          <w:tcPr>
            <w:tcW w:w="1276" w:type="dxa"/>
            <w:vMerge/>
            <w:tcBorders>
              <w:left w:val="single" w:sz="2" w:space="0" w:color="auto"/>
              <w:bottom w:val="single" w:sz="2" w:space="0" w:color="auto"/>
              <w:right w:val="single" w:sz="2" w:space="0" w:color="auto"/>
            </w:tcBorders>
            <w:shd w:val="clear" w:color="auto" w:fill="4F81BD"/>
            <w:vAlign w:val="center"/>
          </w:tcPr>
          <w:p w14:paraId="722E2CE5" w14:textId="77777777" w:rsidR="00C1303D" w:rsidRPr="0002086D" w:rsidRDefault="00C1303D" w:rsidP="0077098E">
            <w:pPr>
              <w:jc w:val="center"/>
              <w:rPr>
                <w:rFonts w:ascii="Tahoma" w:hAnsi="Tahoma"/>
                <w:b/>
                <w:color w:val="FFFFFF"/>
                <w:sz w:val="18"/>
                <w:szCs w:val="18"/>
              </w:rPr>
            </w:pPr>
          </w:p>
        </w:tc>
        <w:tc>
          <w:tcPr>
            <w:tcW w:w="1843" w:type="dxa"/>
            <w:vMerge/>
            <w:tcBorders>
              <w:left w:val="single" w:sz="2" w:space="0" w:color="auto"/>
              <w:bottom w:val="single" w:sz="2" w:space="0" w:color="auto"/>
              <w:right w:val="single" w:sz="2" w:space="0" w:color="auto"/>
            </w:tcBorders>
            <w:shd w:val="clear" w:color="auto" w:fill="4F81BD"/>
            <w:vAlign w:val="center"/>
          </w:tcPr>
          <w:p w14:paraId="707D3005" w14:textId="77777777" w:rsidR="00C1303D" w:rsidRPr="0002086D" w:rsidRDefault="00C1303D" w:rsidP="0077098E">
            <w:pPr>
              <w:jc w:val="center"/>
              <w:rPr>
                <w:rFonts w:ascii="Tahoma" w:hAnsi="Tahoma"/>
                <w:b/>
                <w:color w:val="FFFFFF"/>
                <w:sz w:val="18"/>
                <w:szCs w:val="18"/>
              </w:rPr>
            </w:pPr>
          </w:p>
        </w:tc>
        <w:tc>
          <w:tcPr>
            <w:tcW w:w="708" w:type="dxa"/>
            <w:vMerge/>
            <w:tcBorders>
              <w:left w:val="single" w:sz="2" w:space="0" w:color="auto"/>
              <w:bottom w:val="single" w:sz="2" w:space="0" w:color="auto"/>
              <w:right w:val="single" w:sz="2" w:space="0" w:color="auto"/>
            </w:tcBorders>
            <w:shd w:val="clear" w:color="auto" w:fill="4F81BD"/>
            <w:vAlign w:val="center"/>
          </w:tcPr>
          <w:p w14:paraId="0DA82023" w14:textId="77777777" w:rsidR="00C1303D" w:rsidRPr="0002086D" w:rsidRDefault="00C1303D" w:rsidP="0077098E">
            <w:pPr>
              <w:jc w:val="center"/>
              <w:rPr>
                <w:rFonts w:ascii="Tahoma" w:hAnsi="Tahoma"/>
                <w:b/>
                <w:color w:val="FFFFFF"/>
                <w:sz w:val="18"/>
                <w:szCs w:val="18"/>
              </w:rPr>
            </w:pPr>
          </w:p>
        </w:tc>
      </w:tr>
      <w:tr w:rsidR="00C1303D" w:rsidRPr="0002086D" w14:paraId="1FA8C6C8" w14:textId="77777777" w:rsidTr="0077098E">
        <w:trPr>
          <w:trHeight w:val="2500"/>
        </w:trPr>
        <w:tc>
          <w:tcPr>
            <w:tcW w:w="696"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54C420D9" w14:textId="7E721479" w:rsidR="00C1303D" w:rsidRPr="0002086D" w:rsidRDefault="00C1303D" w:rsidP="0077098E">
            <w:pPr>
              <w:jc w:val="center"/>
              <w:rPr>
                <w:rFonts w:ascii="Tahoma" w:hAnsi="Tahoma"/>
                <w:b/>
                <w:sz w:val="18"/>
                <w:szCs w:val="18"/>
              </w:rPr>
            </w:pPr>
            <w:r w:rsidRPr="0002086D">
              <w:rPr>
                <w:rFonts w:ascii="Tahoma" w:hAnsi="Tahoma"/>
                <w:b/>
                <w:sz w:val="18"/>
                <w:szCs w:val="18"/>
              </w:rPr>
              <w:t>O</w:t>
            </w:r>
            <w:r>
              <w:rPr>
                <w:rFonts w:ascii="Tahoma" w:hAnsi="Tahoma"/>
                <w:b/>
                <w:sz w:val="18"/>
                <w:szCs w:val="18"/>
              </w:rPr>
              <w:t>G1</w:t>
            </w:r>
          </w:p>
        </w:tc>
        <w:tc>
          <w:tcPr>
            <w:tcW w:w="1856"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032D129B" w14:textId="16AE46BE" w:rsidR="00C1303D" w:rsidRPr="003C191E" w:rsidRDefault="00C1303D" w:rsidP="0077098E">
            <w:pPr>
              <w:rPr>
                <w:rFonts w:ascii="Tahoma" w:hAnsi="Tahoma"/>
                <w:sz w:val="18"/>
                <w:szCs w:val="18"/>
              </w:rPr>
            </w:pPr>
            <w:r w:rsidRPr="001E06B9">
              <w:rPr>
                <w:rFonts w:ascii="Tahoma" w:eastAsia="Times New Roman" w:hAnsi="Tahoma"/>
                <w:sz w:val="20"/>
                <w:szCs w:val="24"/>
              </w:rPr>
              <w:t>EDIFICI CIVILIE E INDUSTRIALI</w:t>
            </w:r>
          </w:p>
        </w:tc>
        <w:tc>
          <w:tcPr>
            <w:tcW w:w="1276"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32F7BC1" w14:textId="5641E364" w:rsidR="00C1303D" w:rsidRPr="0002086D" w:rsidRDefault="00C1303D" w:rsidP="0077098E">
            <w:pPr>
              <w:jc w:val="center"/>
              <w:rPr>
                <w:rFonts w:ascii="Tahoma" w:hAnsi="Tahoma"/>
                <w:sz w:val="18"/>
                <w:szCs w:val="18"/>
              </w:rPr>
            </w:pPr>
            <w:r>
              <w:rPr>
                <w:rFonts w:ascii="Tahoma" w:hAnsi="Tahoma"/>
                <w:sz w:val="18"/>
                <w:szCs w:val="18"/>
              </w:rPr>
              <w:t>65</w:t>
            </w:r>
            <w:r w:rsidRPr="0002086D">
              <w:rPr>
                <w:rFonts w:ascii="Tahoma" w:hAnsi="Tahoma"/>
                <w:sz w:val="18"/>
                <w:szCs w:val="18"/>
              </w:rPr>
              <w:t>.</w:t>
            </w:r>
            <w:r>
              <w:rPr>
                <w:rFonts w:ascii="Tahoma" w:hAnsi="Tahoma"/>
                <w:sz w:val="18"/>
                <w:szCs w:val="18"/>
              </w:rPr>
              <w:t>250</w:t>
            </w:r>
            <w:r w:rsidRPr="0002086D">
              <w:rPr>
                <w:rFonts w:ascii="Tahoma" w:hAnsi="Tahoma"/>
                <w:sz w:val="18"/>
                <w:szCs w:val="18"/>
              </w:rPr>
              <w:t>,</w:t>
            </w:r>
            <w:r>
              <w:rPr>
                <w:rFonts w:ascii="Tahoma" w:hAnsi="Tahoma"/>
                <w:sz w:val="18"/>
                <w:szCs w:val="18"/>
              </w:rPr>
              <w:t>21</w:t>
            </w:r>
          </w:p>
        </w:tc>
        <w:tc>
          <w:tcPr>
            <w:tcW w:w="1274"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FAB84D6" w14:textId="5C34E678" w:rsidR="00C1303D" w:rsidRPr="0002086D" w:rsidRDefault="00C1303D" w:rsidP="0077098E">
            <w:pPr>
              <w:jc w:val="center"/>
              <w:rPr>
                <w:rFonts w:ascii="Tahoma" w:hAnsi="Tahoma"/>
                <w:sz w:val="18"/>
                <w:szCs w:val="18"/>
              </w:rPr>
            </w:pPr>
            <w:r>
              <w:rPr>
                <w:rFonts w:ascii="Tahoma" w:hAnsi="Tahoma"/>
                <w:sz w:val="18"/>
                <w:szCs w:val="18"/>
              </w:rPr>
              <w:t>2.294</w:t>
            </w:r>
            <w:r>
              <w:rPr>
                <w:rFonts w:ascii="Tahoma" w:hAnsi="Tahoma"/>
                <w:sz w:val="18"/>
                <w:szCs w:val="18"/>
              </w:rPr>
              <w:t>,</w:t>
            </w:r>
            <w:r>
              <w:rPr>
                <w:rFonts w:ascii="Tahoma" w:hAnsi="Tahoma"/>
                <w:sz w:val="18"/>
                <w:szCs w:val="18"/>
              </w:rPr>
              <w:t>78</w:t>
            </w:r>
          </w:p>
        </w:tc>
        <w:tc>
          <w:tcPr>
            <w:tcW w:w="1277" w:type="dxa"/>
            <w:tcBorders>
              <w:top w:val="single" w:sz="2" w:space="0" w:color="auto"/>
              <w:left w:val="single" w:sz="2" w:space="0" w:color="auto"/>
              <w:bottom w:val="single" w:sz="2" w:space="0" w:color="auto"/>
              <w:right w:val="single" w:sz="2" w:space="0" w:color="auto"/>
            </w:tcBorders>
            <w:tcMar>
              <w:top w:w="0" w:type="dxa"/>
              <w:left w:w="65" w:type="dxa"/>
              <w:bottom w:w="0" w:type="dxa"/>
              <w:right w:w="65" w:type="dxa"/>
            </w:tcMar>
            <w:vAlign w:val="center"/>
          </w:tcPr>
          <w:p w14:paraId="721401E5" w14:textId="5FE6BD31" w:rsidR="00C1303D" w:rsidRPr="0002086D" w:rsidRDefault="00C1303D" w:rsidP="0077098E">
            <w:pPr>
              <w:jc w:val="center"/>
              <w:rPr>
                <w:rFonts w:ascii="Tahoma" w:hAnsi="Tahoma"/>
                <w:sz w:val="18"/>
                <w:szCs w:val="18"/>
              </w:rPr>
            </w:pPr>
            <w:r>
              <w:rPr>
                <w:rFonts w:ascii="Tahoma" w:hAnsi="Tahoma"/>
                <w:sz w:val="18"/>
                <w:szCs w:val="18"/>
              </w:rPr>
              <w:t>67</w:t>
            </w:r>
            <w:r w:rsidRPr="0002086D">
              <w:rPr>
                <w:rFonts w:ascii="Tahoma" w:hAnsi="Tahoma"/>
                <w:sz w:val="18"/>
                <w:szCs w:val="18"/>
              </w:rPr>
              <w:t>.</w:t>
            </w:r>
            <w:r>
              <w:rPr>
                <w:rFonts w:ascii="Tahoma" w:hAnsi="Tahoma"/>
                <w:sz w:val="18"/>
                <w:szCs w:val="18"/>
              </w:rPr>
              <w:t>544</w:t>
            </w:r>
            <w:r w:rsidRPr="0002086D">
              <w:rPr>
                <w:rFonts w:ascii="Tahoma" w:hAnsi="Tahoma"/>
                <w:sz w:val="18"/>
                <w:szCs w:val="18"/>
              </w:rPr>
              <w:t>,</w:t>
            </w:r>
            <w:r>
              <w:rPr>
                <w:rFonts w:ascii="Tahoma" w:hAnsi="Tahoma"/>
                <w:sz w:val="18"/>
                <w:szCs w:val="18"/>
              </w:rPr>
              <w:t>99</w:t>
            </w:r>
          </w:p>
        </w:tc>
        <w:tc>
          <w:tcPr>
            <w:tcW w:w="1276" w:type="dxa"/>
            <w:tcBorders>
              <w:top w:val="single" w:sz="2" w:space="0" w:color="auto"/>
              <w:left w:val="single" w:sz="2" w:space="0" w:color="auto"/>
              <w:bottom w:val="single" w:sz="2" w:space="0" w:color="auto"/>
              <w:right w:val="single" w:sz="2" w:space="0" w:color="auto"/>
            </w:tcBorders>
            <w:vAlign w:val="center"/>
          </w:tcPr>
          <w:p w14:paraId="0499ADA6" w14:textId="77777777" w:rsidR="00C1303D" w:rsidRDefault="00C1303D" w:rsidP="0077098E">
            <w:pPr>
              <w:jc w:val="center"/>
              <w:rPr>
                <w:rFonts w:ascii="Tahoma" w:hAnsi="Tahoma"/>
                <w:sz w:val="18"/>
                <w:szCs w:val="18"/>
              </w:rPr>
            </w:pPr>
            <w:r>
              <w:rPr>
                <w:rFonts w:ascii="Tahoma" w:hAnsi="Tahoma"/>
                <w:sz w:val="18"/>
                <w:szCs w:val="18"/>
              </w:rPr>
              <w:t>I°</w:t>
            </w:r>
          </w:p>
          <w:p w14:paraId="16A76BBC" w14:textId="5A3DD41F" w:rsidR="00C1303D" w:rsidRPr="0002086D" w:rsidRDefault="00C1303D" w:rsidP="0077098E">
            <w:pPr>
              <w:jc w:val="center"/>
              <w:rPr>
                <w:rFonts w:ascii="Tahoma" w:hAnsi="Tahoma"/>
                <w:sz w:val="18"/>
                <w:szCs w:val="18"/>
              </w:rPr>
            </w:pPr>
            <w:r>
              <w:rPr>
                <w:rFonts w:ascii="Tahoma" w:hAnsi="Tahoma"/>
                <w:sz w:val="18"/>
                <w:szCs w:val="18"/>
              </w:rPr>
              <w:t xml:space="preserve">Non </w:t>
            </w:r>
            <w:r>
              <w:rPr>
                <w:rFonts w:ascii="Tahoma" w:hAnsi="Tahoma"/>
                <w:sz w:val="18"/>
                <w:szCs w:val="18"/>
              </w:rPr>
              <w:t>obbligatoria</w:t>
            </w:r>
          </w:p>
        </w:tc>
        <w:tc>
          <w:tcPr>
            <w:tcW w:w="1843" w:type="dxa"/>
            <w:tcBorders>
              <w:top w:val="single" w:sz="2" w:space="0" w:color="auto"/>
              <w:left w:val="single" w:sz="2" w:space="0" w:color="auto"/>
              <w:bottom w:val="single" w:sz="2" w:space="0" w:color="auto"/>
              <w:right w:val="single" w:sz="2" w:space="0" w:color="auto"/>
            </w:tcBorders>
            <w:vAlign w:val="center"/>
          </w:tcPr>
          <w:p w14:paraId="2FDCC824" w14:textId="77777777" w:rsidR="00C1303D" w:rsidRDefault="00C1303D" w:rsidP="0077098E">
            <w:pPr>
              <w:jc w:val="center"/>
              <w:rPr>
                <w:rFonts w:ascii="Tahoma" w:hAnsi="Tahoma"/>
                <w:sz w:val="18"/>
                <w:szCs w:val="18"/>
              </w:rPr>
            </w:pPr>
            <w:r>
              <w:rPr>
                <w:rFonts w:ascii="Tahoma" w:hAnsi="Tahoma"/>
                <w:sz w:val="18"/>
                <w:szCs w:val="18"/>
              </w:rPr>
              <w:t>Categoria prevalente</w:t>
            </w:r>
          </w:p>
          <w:p w14:paraId="43F6D370" w14:textId="77777777" w:rsidR="00C1303D" w:rsidRDefault="00C1303D" w:rsidP="0077098E">
            <w:pPr>
              <w:jc w:val="center"/>
              <w:rPr>
                <w:rFonts w:ascii="Tahoma" w:hAnsi="Tahoma"/>
                <w:sz w:val="18"/>
                <w:szCs w:val="18"/>
              </w:rPr>
            </w:pPr>
          </w:p>
          <w:p w14:paraId="6F1A38AA" w14:textId="77777777" w:rsidR="00C1303D" w:rsidRDefault="00C1303D" w:rsidP="0077098E">
            <w:pPr>
              <w:jc w:val="center"/>
              <w:rPr>
                <w:rFonts w:ascii="Tahoma" w:hAnsi="Tahoma"/>
                <w:sz w:val="18"/>
                <w:szCs w:val="18"/>
              </w:rPr>
            </w:pPr>
            <w:r>
              <w:rPr>
                <w:rFonts w:ascii="Tahoma" w:hAnsi="Tahoma"/>
                <w:sz w:val="18"/>
                <w:szCs w:val="18"/>
              </w:rPr>
              <w:t>Subappaltabile max al 49%</w:t>
            </w:r>
          </w:p>
          <w:p w14:paraId="5BFCCED0" w14:textId="77777777" w:rsidR="00C1303D" w:rsidRDefault="00C1303D" w:rsidP="0077098E">
            <w:pPr>
              <w:jc w:val="center"/>
              <w:rPr>
                <w:rFonts w:ascii="Tahoma" w:hAnsi="Tahoma"/>
                <w:sz w:val="18"/>
                <w:szCs w:val="18"/>
              </w:rPr>
            </w:pPr>
          </w:p>
          <w:p w14:paraId="0C96E18D" w14:textId="5B4017DD" w:rsidR="00C1303D" w:rsidRPr="0002086D" w:rsidRDefault="00C1303D" w:rsidP="0077098E">
            <w:pPr>
              <w:jc w:val="center"/>
              <w:rPr>
                <w:rFonts w:ascii="Tahoma" w:hAnsi="Tahoma"/>
                <w:sz w:val="18"/>
                <w:szCs w:val="18"/>
              </w:rPr>
            </w:pPr>
            <w:r>
              <w:rPr>
                <w:rFonts w:ascii="Tahoma" w:hAnsi="Tahoma"/>
                <w:sz w:val="18"/>
                <w:szCs w:val="18"/>
              </w:rPr>
              <w:t>Avvalimento consentito</w:t>
            </w:r>
          </w:p>
        </w:tc>
        <w:tc>
          <w:tcPr>
            <w:tcW w:w="708" w:type="dxa"/>
            <w:tcBorders>
              <w:top w:val="single" w:sz="2" w:space="0" w:color="auto"/>
              <w:left w:val="single" w:sz="2" w:space="0" w:color="auto"/>
              <w:bottom w:val="single" w:sz="2" w:space="0" w:color="auto"/>
              <w:right w:val="single" w:sz="2" w:space="0" w:color="auto"/>
            </w:tcBorders>
            <w:vAlign w:val="center"/>
          </w:tcPr>
          <w:p w14:paraId="1357857D" w14:textId="2FCDD667" w:rsidR="00C1303D" w:rsidRPr="0002086D" w:rsidRDefault="00C1303D" w:rsidP="0077098E">
            <w:pPr>
              <w:jc w:val="center"/>
              <w:rPr>
                <w:rFonts w:ascii="Tahoma" w:hAnsi="Tahoma"/>
                <w:sz w:val="18"/>
                <w:szCs w:val="18"/>
              </w:rPr>
            </w:pPr>
            <w:r>
              <w:rPr>
                <w:rFonts w:ascii="Tahoma" w:hAnsi="Tahoma"/>
                <w:sz w:val="18"/>
                <w:szCs w:val="18"/>
              </w:rPr>
              <w:t>100</w:t>
            </w:r>
          </w:p>
        </w:tc>
      </w:tr>
    </w:tbl>
    <w:p w14:paraId="1B07B94E" w14:textId="125C9631" w:rsidR="00C1303D" w:rsidRDefault="00C1303D">
      <w:pPr>
        <w:spacing w:after="0"/>
        <w:ind w:firstLine="284"/>
        <w:rPr>
          <w:rFonts w:ascii="Tahoma" w:eastAsia="Times New Roman" w:hAnsi="Tahoma"/>
          <w:sz w:val="20"/>
          <w:szCs w:val="24"/>
        </w:rPr>
      </w:pPr>
    </w:p>
    <w:p w14:paraId="04FA99C4" w14:textId="1CE99E04" w:rsidR="00C1303D" w:rsidRDefault="00C1303D">
      <w:pPr>
        <w:spacing w:after="0"/>
        <w:ind w:firstLine="284"/>
        <w:rPr>
          <w:rFonts w:ascii="Tahoma" w:eastAsia="Times New Roman" w:hAnsi="Tahoma"/>
          <w:sz w:val="20"/>
          <w:szCs w:val="24"/>
        </w:rPr>
      </w:pPr>
    </w:p>
    <w:p w14:paraId="495FC091" w14:textId="796B4E98" w:rsidR="00C1303D" w:rsidRDefault="00C1303D">
      <w:pPr>
        <w:spacing w:after="0"/>
        <w:ind w:firstLine="284"/>
        <w:rPr>
          <w:rFonts w:ascii="Tahoma" w:eastAsia="Times New Roman" w:hAnsi="Tahoma"/>
          <w:sz w:val="20"/>
          <w:szCs w:val="24"/>
        </w:rPr>
      </w:pPr>
    </w:p>
    <w:p w14:paraId="06BAC1B1" w14:textId="06B06B4E"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Nel caso l'Appaltatore concorrente voglia soddisfare la richiesta relativa al possesso dei requisiti di carattere economico, finanziario, tecnico e professionale di cui all'articolo 83, comma 1, lettere b) e c) del </w:t>
      </w:r>
      <w:proofErr w:type="spellStart"/>
      <w:r w:rsidR="00525AA3">
        <w:rPr>
          <w:rFonts w:ascii="Tahoma" w:eastAsia="Times New Roman" w:hAnsi="Tahoma"/>
          <w:sz w:val="20"/>
          <w:szCs w:val="24"/>
        </w:rPr>
        <w:t>D</w:t>
      </w:r>
      <w:r>
        <w:rPr>
          <w:rFonts w:ascii="Tahoma" w:eastAsia="Times New Roman" w:hAnsi="Tahoma"/>
          <w:sz w:val="20"/>
          <w:szCs w:val="24"/>
        </w:rPr>
        <w:t>.</w:t>
      </w:r>
      <w:r w:rsidR="00525AA3">
        <w:rPr>
          <w:rFonts w:ascii="Tahoma" w:eastAsia="Times New Roman" w:hAnsi="Tahoma"/>
          <w:sz w:val="20"/>
          <w:szCs w:val="24"/>
        </w:rPr>
        <w:t>L</w:t>
      </w:r>
      <w:r>
        <w:rPr>
          <w:rFonts w:ascii="Tahoma" w:eastAsia="Times New Roman" w:hAnsi="Tahoma"/>
          <w:sz w:val="20"/>
          <w:szCs w:val="24"/>
        </w:rPr>
        <w:t>gs</w:t>
      </w:r>
      <w:proofErr w:type="spellEnd"/>
      <w:r>
        <w:rPr>
          <w:rFonts w:ascii="Tahoma" w:eastAsia="Times New Roman" w:hAnsi="Tahoma"/>
          <w:sz w:val="20"/>
          <w:szCs w:val="24"/>
        </w:rPr>
        <w:t xml:space="preserve"> 50/2016, può avvalersi delle capacità di altri soggetti, anche partecipanti al raggruppamento, a prescindere dalla natura giuridica dei suoi legami con questi ultimi. </w:t>
      </w:r>
    </w:p>
    <w:p w14:paraId="45A56277" w14:textId="6895C7B4" w:rsidR="000B6E98" w:rsidRDefault="008A7A17">
      <w:pPr>
        <w:spacing w:after="0"/>
        <w:ind w:firstLine="284"/>
        <w:rPr>
          <w:rFonts w:ascii="Tahoma" w:eastAsia="Times New Roman" w:hAnsi="Tahoma"/>
          <w:sz w:val="20"/>
          <w:szCs w:val="24"/>
        </w:rPr>
      </w:pPr>
      <w:r>
        <w:rPr>
          <w:rFonts w:ascii="Tahoma" w:eastAsia="Times New Roman" w:hAnsi="Tahoma"/>
          <w:sz w:val="20"/>
          <w:szCs w:val="24"/>
        </w:rPr>
        <w:t>L'Appaltatore concorrente che, ai sensi dell'articolo 89 del citato Codice dei contratti, vuole avvalersi delle capacità di altri soggetti, allegherà oltre all'eventuale attestazione SOA dell'impresa ausiliaria, una dichiarazione sottoscritta dalla stessa attestante il possesso da parte di quest'ultima dei requisiti generali di cui all'articolo 80, nonch</w:t>
      </w:r>
      <w:r w:rsidR="00525AA3">
        <w:rPr>
          <w:rFonts w:ascii="Tahoma" w:eastAsia="Times New Roman" w:hAnsi="Tahoma"/>
          <w:sz w:val="20"/>
          <w:szCs w:val="24"/>
        </w:rPr>
        <w:t>é</w:t>
      </w:r>
      <w:r>
        <w:rPr>
          <w:rFonts w:ascii="Tahoma" w:eastAsia="Times New Roman" w:hAnsi="Tahoma"/>
          <w:sz w:val="20"/>
          <w:szCs w:val="24"/>
        </w:rPr>
        <w:t xml:space="preserve"> il possesso dei requisiti tecnici e delle risorse oggetto di </w:t>
      </w:r>
      <w:r>
        <w:rPr>
          <w:rFonts w:ascii="Tahoma" w:eastAsia="Times New Roman" w:hAnsi="Tahoma"/>
          <w:b/>
          <w:sz w:val="20"/>
          <w:szCs w:val="24"/>
        </w:rPr>
        <w:t>avvalimento</w:t>
      </w:r>
      <w:r>
        <w:rPr>
          <w:rFonts w:ascii="Tahoma" w:eastAsia="Times New Roman" w:hAnsi="Tahoma"/>
          <w:sz w:val="20"/>
          <w:szCs w:val="24"/>
        </w:rPr>
        <w:t xml:space="preserve">. </w:t>
      </w:r>
    </w:p>
    <w:p w14:paraId="74BF4DC9"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concorrente dimostrerà alla stazione appaltante che dispone dei mezzi necessari mediante presentazione di una dichiarazione sottoscritta dall'impresa ausiliaria con cui quest'ultima si obbliga verso il concorrente e verso la stazione appaltante a mettere a disposizione per tutta la durata dell'appalto le risorse necessarie di cui è carente il concorrente. </w:t>
      </w:r>
    </w:p>
    <w:p w14:paraId="6A182110"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Nel caso di dichiarazioni mendaci, ferma restando l'applicazione dell'articolo 80 del Codice dei contratti nei confronti dei sottoscrittori, la stazione appaltante escluderà il concorrente ed escuterà la garanzia.</w:t>
      </w:r>
    </w:p>
    <w:p w14:paraId="3AB9453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L'Appaltatore concorrente allega, altresì, alla domanda di partecipazione in originale o copia autentica il contratto in virtù del quale l'impresa ausiliaria si obbliga nei confronti del concorrente a fornire i requisiti e a mettere a disposizione le risorse necessarie per tutta la durata dell'appalto. A tal fine, il contratto di avvalimento contiene, a pena di nullità, la specificazione dei requisiti forniti e delle risorse messe a disposizione dall'impresa ausiliaria.</w:t>
      </w:r>
    </w:p>
    <w:p w14:paraId="70A05598" w14:textId="77777777" w:rsidR="000B6E98" w:rsidRDefault="000B6E98">
      <w:pPr>
        <w:spacing w:after="0"/>
        <w:ind w:firstLine="284"/>
        <w:rPr>
          <w:rFonts w:ascii="Tahoma" w:eastAsia="Times New Roman" w:hAnsi="Tahoma"/>
          <w:sz w:val="20"/>
          <w:szCs w:val="24"/>
        </w:rPr>
      </w:pPr>
    </w:p>
    <w:p w14:paraId="52009E88" w14:textId="77777777" w:rsidR="000B6E98" w:rsidRDefault="000B6E98">
      <w:pPr>
        <w:spacing w:after="0"/>
        <w:ind w:firstLine="284"/>
        <w:rPr>
          <w:rFonts w:ascii="Tahoma" w:eastAsia="Times New Roman" w:hAnsi="Tahoma"/>
          <w:sz w:val="20"/>
          <w:szCs w:val="24"/>
        </w:rPr>
      </w:pPr>
    </w:p>
    <w:p w14:paraId="7CCE9A0C" w14:textId="77777777" w:rsidR="000B6E98" w:rsidRDefault="008A7A17">
      <w:pPr>
        <w:spacing w:after="0"/>
        <w:jc w:val="center"/>
        <w:rPr>
          <w:rFonts w:ascii="Tahoma" w:eastAsia="Times New Roman" w:hAnsi="Tahoma"/>
          <w:b/>
          <w:color w:val="000000"/>
          <w:sz w:val="20"/>
          <w:szCs w:val="24"/>
        </w:rPr>
      </w:pPr>
      <w:r>
        <w:rPr>
          <w:rFonts w:ascii="Times New Roman" w:eastAsia="Times New Roman" w:hAnsi="Times New Roman"/>
          <w:vanish/>
          <w:color w:val="000000"/>
          <w:sz w:val="14"/>
          <w:szCs w:val="24"/>
        </w:rPr>
        <w:t>#{GUID_0CF2433A-9E8B-4B29-BE15-AA8EAD07C030|LIVELLO_2|TESTO_Fallimento dell'Appaltatore_END}&amp;</w:t>
      </w:r>
      <w:bookmarkStart w:id="12" w:name="4234"/>
      <w:bookmarkEnd w:id="12"/>
      <w:r>
        <w:rPr>
          <w:rFonts w:ascii="Tahoma" w:eastAsia="Times New Roman" w:hAnsi="Tahoma"/>
          <w:b/>
          <w:color w:val="000000"/>
          <w:sz w:val="20"/>
          <w:szCs w:val="24"/>
        </w:rPr>
        <w:t>Art. 2.4</w:t>
      </w:r>
    </w:p>
    <w:p w14:paraId="1CF8CBFA" w14:textId="77777777" w:rsidR="000B6E98" w:rsidRDefault="008A7A17">
      <w:pPr>
        <w:spacing w:after="0"/>
        <w:jc w:val="center"/>
        <w:rPr>
          <w:rFonts w:ascii="Tahoma" w:eastAsia="Times New Roman" w:hAnsi="Tahoma"/>
          <w:b/>
          <w:color w:val="000000"/>
          <w:sz w:val="20"/>
          <w:szCs w:val="24"/>
        </w:rPr>
      </w:pPr>
      <w:r>
        <w:rPr>
          <w:rFonts w:ascii="Tahoma" w:eastAsia="Times New Roman" w:hAnsi="Tahoma"/>
          <w:b/>
          <w:color w:val="000000"/>
          <w:sz w:val="20"/>
          <w:szCs w:val="24"/>
        </w:rPr>
        <w:t>FALLIMENTO DELL'APPALTATORE</w:t>
      </w:r>
    </w:p>
    <w:p w14:paraId="0FB5F4FD" w14:textId="77777777" w:rsidR="000B6E98" w:rsidRDefault="000B6E98">
      <w:pPr>
        <w:spacing w:after="0"/>
        <w:ind w:firstLine="284"/>
        <w:rPr>
          <w:rFonts w:ascii="Tahoma" w:eastAsia="Times New Roman" w:hAnsi="Tahoma"/>
          <w:color w:val="000000"/>
          <w:sz w:val="20"/>
          <w:szCs w:val="24"/>
        </w:rPr>
      </w:pPr>
    </w:p>
    <w:p w14:paraId="5284461B"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La stazione appaltante, in caso di fallimento, di liquidazione coatta e concordato preventivo, ovvero di risoluzione del contratto ai sensi dell’articolo 108 del d.lgs. n.50/2016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xml:space="preserve"> ovvero di recesso dal contratto ai sensi dell'articolo 88, comma 4-ter, del decreto legislativo 6 settembre 2011, n. 159, ovvero in caso di dichiarazione giudiziale di inefficacia del contratto, interpella progressivamente i soggetti che hanno partecipato all'originaria procedura di gara, risultanti dalla relativa graduatoria, al fine di stipulare un nuovo contratto per l'affidamento dell'esecuzione o del completamento dei lavori, servizi o forniture. L'affidamento avverrà alle medesime condizioni già proposte dall'originario aggiudicatario in sede in offerta.</w:t>
      </w:r>
    </w:p>
    <w:p w14:paraId="37825C7D" w14:textId="4602AAB3" w:rsidR="000B6E98" w:rsidRDefault="008A7A17">
      <w:pPr>
        <w:spacing w:after="0"/>
        <w:ind w:firstLine="284"/>
        <w:rPr>
          <w:rFonts w:ascii="Tahoma" w:eastAsia="Times New Roman" w:hAnsi="Tahoma"/>
          <w:color w:val="FF0000"/>
          <w:sz w:val="20"/>
          <w:szCs w:val="24"/>
        </w:rPr>
      </w:pPr>
      <w:r>
        <w:rPr>
          <w:rFonts w:ascii="Tahoma" w:eastAsia="Times New Roman" w:hAnsi="Tahoma"/>
          <w:color w:val="000000"/>
          <w:sz w:val="20"/>
          <w:szCs w:val="24"/>
        </w:rPr>
        <w:t xml:space="preserve">Il curatore della procedura di fallimento, autorizzato all’esercizio provvisorio dell’impresa, potrà eseguire i contratti già stipulati dall’impresa fallita con l’autorizzazione del giudice delegato, fermo restando le condizioni dettate dall'articolo 110 del d.lgs. n.50/2016 e </w:t>
      </w:r>
      <w:proofErr w:type="spellStart"/>
      <w:proofErr w:type="gramStart"/>
      <w:r>
        <w:rPr>
          <w:rFonts w:ascii="Tahoma" w:eastAsia="Times New Roman" w:hAnsi="Tahoma"/>
          <w:color w:val="000000"/>
          <w:sz w:val="20"/>
          <w:szCs w:val="24"/>
        </w:rPr>
        <w:t>s.m.i.</w:t>
      </w:r>
      <w:proofErr w:type="spellEnd"/>
      <w:r w:rsidR="00525AA3">
        <w:rPr>
          <w:rFonts w:ascii="Tahoma" w:eastAsia="Times New Roman" w:hAnsi="Tahoma"/>
          <w:color w:val="000000"/>
          <w:sz w:val="20"/>
          <w:szCs w:val="24"/>
        </w:rPr>
        <w:t>.</w:t>
      </w:r>
      <w:proofErr w:type="gramEnd"/>
    </w:p>
    <w:p w14:paraId="1F2309B8" w14:textId="77777777" w:rsidR="000B6E98" w:rsidRDefault="000B6E98">
      <w:pPr>
        <w:spacing w:after="0"/>
        <w:ind w:firstLine="284"/>
        <w:rPr>
          <w:rFonts w:ascii="Tahoma" w:eastAsia="Times New Roman" w:hAnsi="Tahoma"/>
          <w:color w:val="FF0000"/>
          <w:sz w:val="20"/>
          <w:szCs w:val="24"/>
        </w:rPr>
      </w:pPr>
    </w:p>
    <w:p w14:paraId="1E38974F" w14:textId="77777777" w:rsidR="000B6E98" w:rsidRDefault="000B6E98">
      <w:pPr>
        <w:spacing w:after="0"/>
        <w:ind w:firstLine="284"/>
        <w:rPr>
          <w:rFonts w:ascii="Tahoma" w:eastAsia="Times New Roman" w:hAnsi="Tahoma"/>
          <w:color w:val="000000"/>
          <w:sz w:val="20"/>
          <w:szCs w:val="24"/>
        </w:rPr>
      </w:pPr>
    </w:p>
    <w:p w14:paraId="7C1185C4"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#{GUID_D5DBF946-D65D-4658-877B-80B146AB278B|LIVELLO_2|TESTO_Risoluzione del contratto_END}&amp;</w:t>
      </w:r>
      <w:bookmarkStart w:id="13" w:name="4235"/>
      <w:bookmarkEnd w:id="13"/>
      <w:r>
        <w:rPr>
          <w:rFonts w:ascii="Tahoma" w:eastAsia="Times New Roman" w:hAnsi="Tahoma"/>
          <w:b/>
          <w:sz w:val="20"/>
          <w:szCs w:val="24"/>
        </w:rPr>
        <w:t>Art. 2.5</w:t>
      </w:r>
    </w:p>
    <w:p w14:paraId="4745A8C3" w14:textId="77777777" w:rsidR="000B6E98" w:rsidRDefault="008A7A17">
      <w:pPr>
        <w:spacing w:after="0"/>
        <w:jc w:val="center"/>
        <w:rPr>
          <w:rFonts w:ascii="Tahoma" w:eastAsia="Times New Roman" w:hAnsi="Tahoma"/>
          <w:sz w:val="20"/>
          <w:szCs w:val="24"/>
        </w:rPr>
      </w:pPr>
      <w:r>
        <w:rPr>
          <w:rFonts w:ascii="Tahoma" w:eastAsia="Times New Roman" w:hAnsi="Tahoma"/>
          <w:b/>
          <w:sz w:val="20"/>
          <w:szCs w:val="24"/>
        </w:rPr>
        <w:t>RISOLUZIONE DEL CONTRATTO</w:t>
      </w:r>
    </w:p>
    <w:p w14:paraId="566824B8" w14:textId="77777777" w:rsidR="000B6E98" w:rsidRDefault="000B6E98">
      <w:pPr>
        <w:spacing w:after="0"/>
        <w:jc w:val="left"/>
        <w:rPr>
          <w:rFonts w:ascii="Tahoma" w:eastAsia="Times New Roman" w:hAnsi="Tahoma"/>
          <w:color w:val="000000"/>
          <w:sz w:val="20"/>
          <w:szCs w:val="24"/>
        </w:rPr>
      </w:pPr>
    </w:p>
    <w:p w14:paraId="7455858D" w14:textId="11AD7232"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Qualora risulti che un operatore economico, si trovi, a causa di atti compiuti o omessi prima o nel corso della procedura di aggiudicazione, in una delle situazioni di cui ai commi 1, 2, 4 e 5 dell'articolo 80 del d.lgs. </w:t>
      </w:r>
      <w:r>
        <w:rPr>
          <w:rFonts w:ascii="Tahoma" w:eastAsia="Times New Roman" w:hAnsi="Tahoma"/>
          <w:color w:val="000000"/>
          <w:sz w:val="20"/>
          <w:szCs w:val="24"/>
        </w:rPr>
        <w:lastRenderedPageBreak/>
        <w:t xml:space="preserve">n.50/2016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xml:space="preserve">, le stazioni appaltanti possono escludere un operatore in qualunque momento della procedura ed hanno facoltà di risolvere il contratto con l'esecutore per le motivazioni e con le procedure di cui all'art. 108 del d.lgs. n. 50/2016 e </w:t>
      </w:r>
      <w:proofErr w:type="spellStart"/>
      <w:proofErr w:type="gramStart"/>
      <w:r>
        <w:rPr>
          <w:rFonts w:ascii="Tahoma" w:eastAsia="Times New Roman" w:hAnsi="Tahoma"/>
          <w:color w:val="000000"/>
          <w:sz w:val="20"/>
          <w:szCs w:val="24"/>
        </w:rPr>
        <w:t>s.m.i.</w:t>
      </w:r>
      <w:proofErr w:type="spellEnd"/>
      <w:r w:rsidR="00525AA3">
        <w:rPr>
          <w:rFonts w:ascii="Tahoma" w:eastAsia="Times New Roman" w:hAnsi="Tahoma"/>
          <w:color w:val="000000"/>
          <w:sz w:val="20"/>
          <w:szCs w:val="24"/>
        </w:rPr>
        <w:t>.</w:t>
      </w:r>
      <w:proofErr w:type="gramEnd"/>
    </w:p>
    <w:p w14:paraId="0FF162D8"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In particolare si procederà in tal senso se una o più delle seguenti condizioni sono soddisfatte:</w:t>
      </w:r>
    </w:p>
    <w:p w14:paraId="3A69AC3F" w14:textId="77777777" w:rsidR="000B6E98" w:rsidRDefault="008A7A17">
      <w:pPr>
        <w:widowControl/>
        <w:spacing w:after="0"/>
        <w:ind w:firstLine="284"/>
        <w:rPr>
          <w:rFonts w:ascii="Tahoma" w:eastAsia="Times New Roman" w:hAnsi="Tahoma"/>
          <w:sz w:val="20"/>
          <w:szCs w:val="24"/>
        </w:rPr>
      </w:pPr>
      <w:r>
        <w:rPr>
          <w:rFonts w:ascii="Tahoma" w:eastAsia="Times New Roman" w:hAnsi="Tahoma"/>
          <w:color w:val="000000"/>
          <w:sz w:val="20"/>
          <w:szCs w:val="24"/>
        </w:rPr>
        <w:t>a) il contratto ha subito una modi</w:t>
      </w:r>
      <w:r>
        <w:rPr>
          <w:rFonts w:ascii="Tahoma" w:eastAsia="Times New Roman" w:hAnsi="Tahoma"/>
          <w:sz w:val="20"/>
          <w:szCs w:val="24"/>
        </w:rPr>
        <w:t xml:space="preserve">fica sostanziale che avrebbe richiesto una nuova procedura di appalto ai sensi dell’articolo 106 </w:t>
      </w:r>
      <w:r>
        <w:rPr>
          <w:rFonts w:ascii="Tahoma" w:eastAsia="Times New Roman" w:hAnsi="Tahoma"/>
          <w:color w:val="000000"/>
          <w:sz w:val="20"/>
          <w:szCs w:val="24"/>
        </w:rPr>
        <w:t xml:space="preserve">del d.lgs. n.50/2016 e </w:t>
      </w:r>
      <w:proofErr w:type="spellStart"/>
      <w:r>
        <w:rPr>
          <w:rFonts w:ascii="Tahoma" w:eastAsia="Times New Roman" w:hAnsi="Tahoma"/>
          <w:color w:val="000000"/>
          <w:sz w:val="20"/>
          <w:szCs w:val="24"/>
        </w:rPr>
        <w:t>s.m.i.</w:t>
      </w:r>
      <w:proofErr w:type="spellEnd"/>
      <w:r>
        <w:rPr>
          <w:rFonts w:ascii="Tahoma" w:eastAsia="Times New Roman" w:hAnsi="Tahoma"/>
          <w:sz w:val="20"/>
          <w:szCs w:val="24"/>
        </w:rPr>
        <w:t>;</w:t>
      </w:r>
    </w:p>
    <w:p w14:paraId="0301B413" w14:textId="77777777" w:rsidR="000B6E98" w:rsidRDefault="008A7A17">
      <w:pPr>
        <w:widowControl/>
        <w:spacing w:after="0"/>
        <w:ind w:firstLine="284"/>
        <w:rPr>
          <w:rFonts w:ascii="Tahoma" w:eastAsia="Times New Roman" w:hAnsi="Tahoma"/>
          <w:sz w:val="20"/>
          <w:szCs w:val="24"/>
        </w:rPr>
      </w:pPr>
      <w:r>
        <w:rPr>
          <w:rFonts w:ascii="Tahoma" w:eastAsia="Times New Roman" w:hAnsi="Tahoma"/>
          <w:sz w:val="20"/>
          <w:szCs w:val="24"/>
        </w:rPr>
        <w:t>b) con riferimento alle modifiche di cui all’articolo 106, comma 1, lettere b) e c) del Codice, nel caso in cui risulti impraticabile per motivi economici o tecnici quali il rispetto dei requisiti di intercambiabilità o interoperabilità tra apparecchiature, servizi o impianti esistenti forniti nell'ambito dell'appalto iniziale e comporti per l'amministrazione aggiudicatrice o l’ente aggiudicatore notevoli disguidi o una consistente duplicazione dei costi, siano state superate le soglie di cui al comma 7 del predetto articolo:</w:t>
      </w:r>
    </w:p>
    <w:p w14:paraId="7365DF71" w14:textId="77777777" w:rsidR="000B6E98" w:rsidRDefault="008A7A17">
      <w:pPr>
        <w:widowControl/>
        <w:spacing w:after="0"/>
        <w:ind w:firstLine="284"/>
        <w:rPr>
          <w:rFonts w:ascii="Tahoma" w:eastAsia="Times New Roman" w:hAnsi="Tahoma"/>
          <w:sz w:val="20"/>
          <w:szCs w:val="24"/>
        </w:rPr>
      </w:pPr>
      <w:r>
        <w:rPr>
          <w:rFonts w:ascii="Tahoma" w:eastAsia="Times New Roman" w:hAnsi="Tahoma"/>
          <w:sz w:val="20"/>
          <w:szCs w:val="24"/>
        </w:rPr>
        <w:t xml:space="preserve">- con riferimento a modifiche non “sostanziali” sono state superate eventuali soglie stabilite dall'amministrazione aggiudicatrice ai sensi dell’articolo 106, comma 1, lettera e); </w:t>
      </w:r>
    </w:p>
    <w:p w14:paraId="2639E824" w14:textId="77777777" w:rsidR="000B6E98" w:rsidRDefault="008A7A17">
      <w:pPr>
        <w:widowControl/>
        <w:spacing w:after="0"/>
        <w:ind w:firstLine="284"/>
        <w:rPr>
          <w:rFonts w:ascii="Tahoma" w:eastAsia="Times New Roman" w:hAnsi="Tahoma"/>
          <w:sz w:val="20"/>
          <w:szCs w:val="24"/>
        </w:rPr>
      </w:pPr>
      <w:r>
        <w:rPr>
          <w:rFonts w:ascii="Tahoma" w:eastAsia="Times New Roman" w:hAnsi="Tahoma"/>
          <w:sz w:val="20"/>
          <w:szCs w:val="24"/>
        </w:rPr>
        <w:t>- con riferimento alle modifiche dovute a causa di errori o di omissioni del progetto esecutivo che pregiudicano, in tutto o in parte, la realizzazione dell’opera o la sua utilizzazione, sono state superate le soglie di cui al comma 2, lettere a) e b) dell’articolo 106;</w:t>
      </w:r>
    </w:p>
    <w:p w14:paraId="168B81D3" w14:textId="77777777" w:rsidR="000B6E98" w:rsidRDefault="008A7A17">
      <w:pPr>
        <w:widowControl/>
        <w:spacing w:after="0"/>
        <w:ind w:firstLine="284"/>
        <w:rPr>
          <w:rFonts w:ascii="Tahoma" w:eastAsia="Times New Roman" w:hAnsi="Tahoma"/>
          <w:sz w:val="20"/>
          <w:szCs w:val="24"/>
        </w:rPr>
      </w:pPr>
      <w:r>
        <w:rPr>
          <w:rFonts w:ascii="Tahoma" w:eastAsia="Times New Roman" w:hAnsi="Tahoma"/>
          <w:sz w:val="20"/>
          <w:szCs w:val="24"/>
        </w:rPr>
        <w:t xml:space="preserve">c) l'aggiudicatario si è trovato, al momento dell'aggiudicazione dell'appalto in una delle situazioni di esclusione di cui all’articolo 80, comma 1 </w:t>
      </w:r>
      <w:r>
        <w:rPr>
          <w:rFonts w:ascii="Tahoma" w:eastAsia="Times New Roman" w:hAnsi="Tahoma"/>
          <w:color w:val="000000"/>
          <w:sz w:val="20"/>
          <w:szCs w:val="24"/>
        </w:rPr>
        <w:t xml:space="preserve">del d.lgs. n.50/2016 e </w:t>
      </w:r>
      <w:proofErr w:type="spellStart"/>
      <w:r>
        <w:rPr>
          <w:rFonts w:ascii="Tahoma" w:eastAsia="Times New Roman" w:hAnsi="Tahoma"/>
          <w:color w:val="000000"/>
          <w:sz w:val="20"/>
          <w:szCs w:val="24"/>
        </w:rPr>
        <w:t>s.m.i</w:t>
      </w:r>
      <w:r>
        <w:rPr>
          <w:rFonts w:ascii="Tahoma" w:eastAsia="Times New Roman" w:hAnsi="Tahoma"/>
          <w:sz w:val="20"/>
          <w:szCs w:val="24"/>
        </w:rPr>
        <w:t>.</w:t>
      </w:r>
      <w:proofErr w:type="spellEnd"/>
      <w:r>
        <w:rPr>
          <w:rFonts w:ascii="Tahoma" w:eastAsia="Times New Roman" w:hAnsi="Tahoma"/>
          <w:sz w:val="20"/>
          <w:szCs w:val="24"/>
        </w:rPr>
        <w:t>, sia per quanto riguarda i settori ordinari, sia per quanto riguarda le concessioni e avrebbe dovuto pertanto essere escluso dalla procedura di appalto o di aggiudicazione della concessione, ovvero ancora per quanto riguarda i settori speciali avrebbe dovuto essere escluso a norma dell'articolo 136, comma 1;</w:t>
      </w:r>
    </w:p>
    <w:p w14:paraId="01003FD7" w14:textId="77777777" w:rsidR="000B6E98" w:rsidRDefault="008A7A17">
      <w:pPr>
        <w:widowControl/>
        <w:spacing w:after="0"/>
        <w:ind w:firstLine="284"/>
        <w:rPr>
          <w:rFonts w:ascii="Tahoma" w:eastAsia="Times New Roman" w:hAnsi="Tahoma"/>
          <w:sz w:val="20"/>
          <w:szCs w:val="24"/>
        </w:rPr>
      </w:pPr>
      <w:r>
        <w:rPr>
          <w:rFonts w:ascii="Tahoma" w:eastAsia="Times New Roman" w:hAnsi="Tahoma"/>
          <w:sz w:val="20"/>
          <w:szCs w:val="24"/>
        </w:rPr>
        <w:t>d) l'appalto non avrebbe dovuto essere aggiudicato in considerazione di una grave violazione degli obblighi derivanti dai trattati, come riconosciuto dalla Corte di giustizia dell'Unione europea in un procedimento ai sensi dell'articolo 258 TFUE.</w:t>
      </w:r>
    </w:p>
    <w:p w14:paraId="019DD9D3" w14:textId="77777777" w:rsidR="000B6E98" w:rsidRDefault="008A7A17">
      <w:pPr>
        <w:widowControl/>
        <w:spacing w:after="0"/>
        <w:ind w:firstLine="284"/>
        <w:rPr>
          <w:rFonts w:ascii="Tahoma" w:eastAsia="Times New Roman" w:hAnsi="Tahoma"/>
          <w:sz w:val="20"/>
          <w:szCs w:val="24"/>
        </w:rPr>
      </w:pPr>
      <w:r>
        <w:rPr>
          <w:rFonts w:ascii="Tahoma" w:eastAsia="Times New Roman" w:hAnsi="Tahoma"/>
          <w:sz w:val="20"/>
          <w:szCs w:val="24"/>
        </w:rPr>
        <w:t>Ulteriori motivazioni per le quali la Stazione Appaltante ha facoltà di risolvere il contratto con l'esecutore, sono:</w:t>
      </w:r>
    </w:p>
    <w:p w14:paraId="1FBA2868" w14:textId="77777777" w:rsidR="000B6E98" w:rsidRDefault="008A7A17">
      <w:pPr>
        <w:widowControl/>
        <w:spacing w:after="0"/>
        <w:ind w:firstLine="284"/>
        <w:rPr>
          <w:rFonts w:ascii="Tahoma" w:eastAsia="Times New Roman" w:hAnsi="Tahoma"/>
          <w:sz w:val="20"/>
          <w:szCs w:val="24"/>
        </w:rPr>
      </w:pPr>
      <w:r>
        <w:rPr>
          <w:rFonts w:ascii="Tahoma" w:eastAsia="Times New Roman" w:hAnsi="Tahoma"/>
          <w:sz w:val="20"/>
          <w:szCs w:val="24"/>
        </w:rPr>
        <w:t xml:space="preserve">a) l'inadempimento accertato alle norme di legge sulla prevenzione degli infortuni, sicurezza sul lavoro e assicurazioni obbligatorie del personale ai sensi dell'articolo 92 </w:t>
      </w:r>
      <w:r>
        <w:rPr>
          <w:rFonts w:ascii="Tahoma" w:eastAsia="Times New Roman" w:hAnsi="Tahoma"/>
          <w:color w:val="000000"/>
          <w:sz w:val="20"/>
          <w:szCs w:val="24"/>
        </w:rPr>
        <w:t xml:space="preserve">del d.lgs. n.81/2008 e </w:t>
      </w:r>
      <w:proofErr w:type="spellStart"/>
      <w:r>
        <w:rPr>
          <w:rFonts w:ascii="Tahoma" w:eastAsia="Times New Roman" w:hAnsi="Tahoma"/>
          <w:color w:val="000000"/>
          <w:sz w:val="20"/>
          <w:szCs w:val="24"/>
        </w:rPr>
        <w:t>s.m.i.</w:t>
      </w:r>
      <w:proofErr w:type="spellEnd"/>
      <w:r>
        <w:rPr>
          <w:rFonts w:ascii="Tahoma" w:eastAsia="Times New Roman" w:hAnsi="Tahoma"/>
          <w:sz w:val="20"/>
          <w:szCs w:val="24"/>
        </w:rPr>
        <w:t>;</w:t>
      </w:r>
    </w:p>
    <w:p w14:paraId="43ACD7F6" w14:textId="77777777" w:rsidR="000B6E98" w:rsidRDefault="008A7A17">
      <w:pPr>
        <w:widowControl/>
        <w:spacing w:after="0"/>
        <w:ind w:firstLine="284"/>
        <w:rPr>
          <w:rFonts w:ascii="Tahoma" w:eastAsia="Times New Roman" w:hAnsi="Tahoma"/>
          <w:sz w:val="20"/>
          <w:szCs w:val="24"/>
        </w:rPr>
      </w:pPr>
      <w:r>
        <w:rPr>
          <w:rFonts w:ascii="Tahoma" w:eastAsia="Times New Roman" w:hAnsi="Tahoma"/>
          <w:sz w:val="20"/>
          <w:szCs w:val="24"/>
        </w:rPr>
        <w:t>b) il subappalto abusivo, associazione in partecipazione, cessione anche parziale del contratto o violazione delle norme regolanti il subappalto.</w:t>
      </w:r>
    </w:p>
    <w:p w14:paraId="58E5D01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Le stazioni appaltanti dovranno risolvere il contratto qualora:</w:t>
      </w:r>
    </w:p>
    <w:p w14:paraId="036C20A7"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a) nei confronti dell'esecutore sia intervenuta la decadenza dell'attestazione di qualificazione per aver prodotto falsa documentazione o dichiarazioni mendaci;</w:t>
      </w:r>
    </w:p>
    <w:p w14:paraId="662D5F89"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b) nei confronti dell'esecutore sia intervenuto un provvedimento definitivo che dispone l'applicazione di una o più misure di prevenzione di cui al codice delle leggi antimafia e delle relative misure di prevenzione, ovvero sia intervenuta sentenza di condanna passata in giudicato per i reati di cui all’articolo 80 </w:t>
      </w:r>
      <w:r>
        <w:rPr>
          <w:rFonts w:ascii="Tahoma" w:eastAsia="Times New Roman" w:hAnsi="Tahoma"/>
          <w:color w:val="000000"/>
          <w:sz w:val="20"/>
          <w:szCs w:val="24"/>
        </w:rPr>
        <w:t xml:space="preserve">del d.lgs. n.50/2016 e </w:t>
      </w:r>
      <w:proofErr w:type="spellStart"/>
      <w:proofErr w:type="gramStart"/>
      <w:r>
        <w:rPr>
          <w:rFonts w:ascii="Tahoma" w:eastAsia="Times New Roman" w:hAnsi="Tahoma"/>
          <w:color w:val="000000"/>
          <w:sz w:val="20"/>
          <w:szCs w:val="24"/>
        </w:rPr>
        <w:t>s.m.i.</w:t>
      </w:r>
      <w:proofErr w:type="spellEnd"/>
      <w:r>
        <w:rPr>
          <w:rFonts w:ascii="Tahoma" w:eastAsia="Times New Roman" w:hAnsi="Tahoma"/>
          <w:sz w:val="20"/>
          <w:szCs w:val="24"/>
        </w:rPr>
        <w:t>.</w:t>
      </w:r>
      <w:proofErr w:type="gramEnd"/>
    </w:p>
    <w:p w14:paraId="75B705CD" w14:textId="77777777" w:rsidR="000B6E98" w:rsidRDefault="000B6E98">
      <w:pPr>
        <w:spacing w:after="0"/>
        <w:ind w:firstLine="284"/>
        <w:rPr>
          <w:rFonts w:ascii="Tahoma" w:eastAsia="Times New Roman" w:hAnsi="Tahoma"/>
          <w:sz w:val="20"/>
          <w:szCs w:val="24"/>
        </w:rPr>
      </w:pPr>
    </w:p>
    <w:p w14:paraId="09666D0E"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Fermo restando quanto previsto in materia di informativa antimafia dagli articoli 88, comma 4-ter e 92, comma 4, del decreto legislativo 6 settembre 2011, n. 159, la stazione appaltante può recedere dal contratto in qualunque tempo previo il pagamento dei lavori eseguiti nonché del valore dei materiali utili esistenti in cantiere nel caso di lavoro, oltre al decimo dell’importo delle opere, dei servizi o delle forniture non eseguite.</w:t>
      </w:r>
    </w:p>
    <w:p w14:paraId="397274FF"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Il direttore dei lavori o il responsabile dell’esecuzione del contratto, se nominato, quando accerta un grave inadempimento alle obbligazioni contrattuali da parte dell’esecutore, tale da comprometterne la buona riuscita delle prestazioni, invia al responsabile del procedimento una relazione particolareggiata, corredata dei documenti necessari, indicando la stima dei lavori eseguiti regolarmente, il cui importo può essere riconosciuto all'esecutore. Egli formula, altresì, la contestazione degli addebiti all'esecutore, assegnando un termine non inferiore a quindici giorni per la presentazione delle proprie controdeduzioni al responsabile del procedimento. Acquisite e valutate negativamente le predette controdeduzioni, ovvero scaduto il termine senza che l'esecutore abbia risposto, la stazione appaltante su proposta del responsabile del procedimento dichiara risolto il contratto.</w:t>
      </w:r>
    </w:p>
    <w:p w14:paraId="76FF3C57"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Qualora l'esecuzione delle prestazioni ritardi per negligenza dell'esecutore rispetto alle previsioni del contratto, il direttore dei lavori o il responsabile unico dell’esecuzione del contratto, se nominato, gli assegna un termine, che, salvo i casi d'urgenza, non può essere inferiore a dieci giorni, entro i quali l’esecutore deve eseguire le prestazioni. Scaduto il termine assegnato, e redatto processo verbale in contraddittorio con l’esecutore, qualora l’inadempimento permanga, la stazione appaltante risolve il contratto, fermo restando il pagamento delle penali.</w:t>
      </w:r>
    </w:p>
    <w:p w14:paraId="38BAD06A" w14:textId="77777777" w:rsidR="000B6E98" w:rsidRDefault="000B6E98">
      <w:pPr>
        <w:spacing w:after="0"/>
        <w:ind w:firstLine="284"/>
        <w:rPr>
          <w:rFonts w:ascii="Tahoma" w:eastAsia="Times New Roman" w:hAnsi="Tahoma"/>
          <w:color w:val="000000"/>
          <w:sz w:val="20"/>
          <w:szCs w:val="24"/>
        </w:rPr>
      </w:pPr>
    </w:p>
    <w:p w14:paraId="71DA4141" w14:textId="77777777" w:rsidR="000B6E98" w:rsidRDefault="008A7A17">
      <w:pPr>
        <w:spacing w:after="0"/>
        <w:ind w:firstLine="284"/>
        <w:rPr>
          <w:rFonts w:ascii="Tahoma" w:eastAsia="Times New Roman" w:hAnsi="Tahoma"/>
          <w:color w:val="000000"/>
          <w:sz w:val="20"/>
          <w:szCs w:val="24"/>
        </w:rPr>
      </w:pPr>
      <w:r w:rsidRPr="00256776">
        <w:rPr>
          <w:rFonts w:ascii="Tahoma" w:eastAsia="Times New Roman" w:hAnsi="Tahoma"/>
          <w:bCs/>
          <w:sz w:val="20"/>
          <w:szCs w:val="24"/>
        </w:rPr>
        <w:t>Nel caso in cui la prosecuzione</w:t>
      </w:r>
      <w:r w:rsidRPr="00256776">
        <w:rPr>
          <w:rFonts w:ascii="Tahoma" w:eastAsia="Times New Roman" w:hAnsi="Tahoma"/>
          <w:sz w:val="20"/>
          <w:szCs w:val="24"/>
        </w:rPr>
        <w:t xml:space="preserve"> </w:t>
      </w:r>
      <w:r>
        <w:rPr>
          <w:rFonts w:ascii="Tahoma" w:eastAsia="Times New Roman" w:hAnsi="Tahoma"/>
          <w:color w:val="000000"/>
          <w:sz w:val="20"/>
          <w:szCs w:val="24"/>
        </w:rPr>
        <w:t xml:space="preserve">dei lavori, per qualsiasi motivo, ivi incluse la crisi o l’insolvenza dell’esecutore anche in caso di concordato con continuità aziendale ovvero di autorizzazione all’esercizio provvisorio </w:t>
      </w:r>
      <w:r>
        <w:rPr>
          <w:rFonts w:ascii="Tahoma" w:eastAsia="Times New Roman" w:hAnsi="Tahoma"/>
          <w:color w:val="000000"/>
          <w:sz w:val="20"/>
          <w:szCs w:val="24"/>
        </w:rPr>
        <w:lastRenderedPageBreak/>
        <w:t>dell’impresa, non possa procedere con il soggetto designato, né, in caso di esecutore plurisoggettivo, con altra impresa del raggruppamento designato, ove in possesso dei requisiti adeguati ai lavori ancora da realizzare, la stazione appaltante, previo parere del collegio consultivo tecnico, salvo che per gravi motivi tecnici ed economici sia comunque, anche in base al citato parere, possibile o preferibile proseguire con il medesimo soggetto, dichiara senza indugio, in deroga alla procedura di cui all’articolo 108, commi 3 e 4, del decreto legislativo 18 aprile 2016, n. 50, la risoluzione del contratto, che opera di diritto, e provvede secondo una delle seguenti alternative modalità:</w:t>
      </w:r>
    </w:p>
    <w:p w14:paraId="5D065725"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a) procede all’esecuzione in via diretta dei lavori, anche avvalendosi, nei casi consentiti dalla legge, previa convenzione, di altri enti o società pubbliche nell’ambito del quadro economico dell’opera;</w:t>
      </w:r>
    </w:p>
    <w:p w14:paraId="5749FC15"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b) interpella progressivamente i soggetti che hanno partecipato alla originaria procedura di gara come risultanti dalla relativa graduatoria, al fine di stipulare un nuovo contratto per l’affidamento del completamento dei lavori, se tecnicamente ed economicamente possibile e alle condizioni proposte dall’operatore economico interpellato;</w:t>
      </w:r>
    </w:p>
    <w:p w14:paraId="4C58A312"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c) indìce una nuova procedura per l’affidamento del completamento dell’opera;</w:t>
      </w:r>
    </w:p>
    <w:p w14:paraId="7F74C386"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d) propone alle autorità governative la nomina di un commissario straordinario per lo svolgimento delle attività necessarie al completamento dell’opera ai sensi dell’articolo 4 del decreto-legge 18 aprile 2019, n. 32, convertito, con modificazioni, dalla legge 14 giugno 2019, n. 55. Al fine di salvaguardare i livelli occupazionali e contrattuali originariamente previsti, l’impresa subentrante, ove possibile e compatibilmente con la sua organizzazione, prosegue i lavori anche con i lavoratori dipendenti del precedente esecutore se privi di occupazione.</w:t>
      </w:r>
    </w:p>
    <w:p w14:paraId="3D7DF1A7" w14:textId="68972E11" w:rsidR="000B6E98" w:rsidRDefault="008A7A17">
      <w:pPr>
        <w:spacing w:after="0"/>
        <w:ind w:firstLine="284"/>
        <w:rPr>
          <w:rFonts w:ascii="Tahoma" w:eastAsia="Times New Roman" w:hAnsi="Tahoma"/>
          <w:color w:val="FF0000"/>
          <w:sz w:val="20"/>
          <w:szCs w:val="24"/>
        </w:rPr>
      </w:pPr>
      <w:r>
        <w:rPr>
          <w:rFonts w:ascii="Tahoma" w:eastAsia="Times New Roman" w:hAnsi="Tahoma"/>
          <w:color w:val="000000"/>
          <w:sz w:val="20"/>
          <w:szCs w:val="24"/>
        </w:rPr>
        <w:t xml:space="preserve">Le </w:t>
      </w:r>
      <w:r w:rsidRPr="00256776">
        <w:rPr>
          <w:rFonts w:ascii="Tahoma" w:eastAsia="Times New Roman" w:hAnsi="Tahoma"/>
          <w:sz w:val="20"/>
          <w:szCs w:val="24"/>
        </w:rPr>
        <w:t>disposizioni di cui ai periodi precedenti si applicano anche in caso di ritardo dell'avvio o dell'esecuzione dei lavori, non giustificato dalle esigenze descritte all'articolo</w:t>
      </w:r>
      <w:r w:rsidR="00256776" w:rsidRPr="00256776">
        <w:rPr>
          <w:rFonts w:ascii="Tahoma" w:eastAsia="Times New Roman" w:hAnsi="Tahoma"/>
          <w:sz w:val="20"/>
          <w:szCs w:val="24"/>
        </w:rPr>
        <w:t xml:space="preserve"> </w:t>
      </w:r>
      <w:hyperlink r:id="rId9" w:history="1">
        <w:r w:rsidRPr="00256776">
          <w:rPr>
            <w:rFonts w:ascii="Tahoma" w:eastAsia="Times New Roman" w:hAnsi="Tahoma"/>
            <w:sz w:val="20"/>
            <w:szCs w:val="24"/>
            <w:u w:val="single"/>
          </w:rPr>
          <w:t>"Programma di esecuzione dei lavori - Sospensioni"</w:t>
        </w:r>
      </w:hyperlink>
      <w:r w:rsidRPr="00256776">
        <w:rPr>
          <w:rFonts w:ascii="Tahoma" w:eastAsia="Times New Roman" w:hAnsi="Tahoma"/>
          <w:sz w:val="20"/>
          <w:szCs w:val="24"/>
        </w:rPr>
        <w:t xml:space="preserve">, nella sua compiuta realizzazione per un numero di giorni pari o superiore a un decimo del tempo previsto o stabilito per la realizzazione </w:t>
      </w:r>
      <w:r>
        <w:rPr>
          <w:rFonts w:ascii="Tahoma" w:eastAsia="Times New Roman" w:hAnsi="Tahoma"/>
          <w:color w:val="000000"/>
          <w:sz w:val="20"/>
          <w:szCs w:val="24"/>
        </w:rPr>
        <w:t>dell'opera e, comunque, pari ad almeno trenta giorni per ogni anno previsto o stabilito per la realizzazione dell'opera.</w:t>
      </w:r>
    </w:p>
    <w:p w14:paraId="23AC64D1" w14:textId="77777777" w:rsidR="000B6E98" w:rsidRDefault="000B6E98">
      <w:pPr>
        <w:spacing w:after="0"/>
        <w:ind w:firstLine="284"/>
        <w:rPr>
          <w:rFonts w:ascii="Tahoma" w:eastAsia="Times New Roman" w:hAnsi="Tahoma"/>
          <w:color w:val="000000"/>
          <w:sz w:val="20"/>
          <w:szCs w:val="24"/>
        </w:rPr>
      </w:pPr>
    </w:p>
    <w:p w14:paraId="27A474E7"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Nel caso di risoluzione del contratto l'esecutore ha diritto soltanto al pagamento delle prestazioni relative ai lavori, servizi o forniture regolarmente eseguiti, decurtato degli oneri aggiuntivi derivanti dallo scioglimento del contratto.</w:t>
      </w:r>
    </w:p>
    <w:p w14:paraId="6B2586A0"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Nei casi di risoluzione del contratto di appalto dichiarata dalla stazione appaltante l'esecutore dovrà provvedere al ripiegamento dei cantieri già allestiti e allo sgombero delle aree di lavoro e relative pertinenze nel termine a tale fine assegnato dalla stessa stazione appaltante; in caso di mancato rispetto del termine assegnato, la stazione appaltante provvede d'ufficio addebitando all'esecutore i relativi oneri e spese.</w:t>
      </w:r>
    </w:p>
    <w:p w14:paraId="19AA979F"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Nei casi di risoluzione del contratto dichiarata dalla Stazione appaltante la comunicazione della decisione assunta sarà inviata all'esecutore nelle forme previste dal Codice, anche mediante posta elettronica certificata (PEC), con la contestuale indicazione della data alla quale avrà luogo l'accertamento dello stato di consistenza dei lavori. </w:t>
      </w:r>
    </w:p>
    <w:p w14:paraId="40876D07"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In contraddittorio fra la Direzione lavori e l'esecutore o suo rappresentante oppure, in mancanza di questi, alla presenza di due testimoni, si procederà quindi alla redazione del verbale di stato di consistenza dei lavori, all'inventario dei materiali, delle attrezzature e dei mezzi d’opera esistenti in cantiere, nonché, all’accertamento di quali materiali, attrezzature e mezzi d’opera debbano essere mantenuti a disposizione della Stazione appaltante per l’eventuale riutilizzo.</w:t>
      </w:r>
    </w:p>
    <w:p w14:paraId="266E7D36" w14:textId="77777777" w:rsidR="000B6E98" w:rsidRDefault="000B6E98">
      <w:pPr>
        <w:spacing w:after="0"/>
        <w:ind w:firstLine="284"/>
        <w:rPr>
          <w:rFonts w:ascii="Tahoma" w:eastAsia="Times New Roman" w:hAnsi="Tahoma"/>
          <w:color w:val="000000"/>
          <w:sz w:val="20"/>
          <w:szCs w:val="24"/>
        </w:rPr>
      </w:pPr>
    </w:p>
    <w:p w14:paraId="77C64805" w14:textId="77777777" w:rsidR="000B6E98" w:rsidRDefault="000B6E98">
      <w:pPr>
        <w:spacing w:after="0"/>
        <w:ind w:firstLine="284"/>
        <w:rPr>
          <w:rFonts w:ascii="Tahoma" w:eastAsia="Times New Roman" w:hAnsi="Tahoma"/>
          <w:color w:val="000000"/>
          <w:sz w:val="20"/>
          <w:szCs w:val="24"/>
        </w:rPr>
      </w:pPr>
    </w:p>
    <w:p w14:paraId="0CC5EBFE"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#{GUID_6026CFF8-BC7F-4983-9667-BDFF7BF35773|LIVELLO_2|TESTO_Garanzia provvisoria_END}&amp;</w:t>
      </w:r>
      <w:bookmarkStart w:id="14" w:name="4236"/>
      <w:bookmarkEnd w:id="14"/>
      <w:r>
        <w:rPr>
          <w:rFonts w:ascii="Tahoma" w:eastAsia="Times New Roman" w:hAnsi="Tahoma"/>
          <w:b/>
          <w:sz w:val="20"/>
          <w:szCs w:val="24"/>
        </w:rPr>
        <w:t>Art. 2.6</w:t>
      </w:r>
    </w:p>
    <w:p w14:paraId="1FFB32A3"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GARANZIA PROVVISORIA</w:t>
      </w:r>
    </w:p>
    <w:p w14:paraId="02D25602" w14:textId="77777777" w:rsidR="000B6E98" w:rsidRDefault="000B6E98">
      <w:pPr>
        <w:spacing w:after="0"/>
        <w:rPr>
          <w:rFonts w:ascii="Tahoma" w:eastAsia="Times New Roman" w:hAnsi="Tahoma"/>
          <w:sz w:val="20"/>
          <w:szCs w:val="24"/>
        </w:rPr>
      </w:pPr>
    </w:p>
    <w:p w14:paraId="5A3A4671"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 garanzia provvisoria, ai sensi di quanto disposto dall'</w:t>
      </w:r>
      <w:r>
        <w:rPr>
          <w:rFonts w:ascii="Tahoma" w:eastAsia="Times New Roman" w:hAnsi="Tahoma"/>
          <w:color w:val="000000"/>
          <w:sz w:val="20"/>
          <w:szCs w:val="24"/>
        </w:rPr>
        <w:t xml:space="preserve">art. 93 del d.lgs. n. 50/2016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xml:space="preserve">, </w:t>
      </w:r>
      <w:r>
        <w:rPr>
          <w:rFonts w:ascii="Tahoma" w:eastAsia="Times New Roman" w:hAnsi="Tahoma"/>
          <w:sz w:val="20"/>
          <w:szCs w:val="24"/>
        </w:rPr>
        <w:t>copre la mancata sottoscrizione del contratto dopo l’aggiudicazion</w:t>
      </w:r>
      <w:r>
        <w:rPr>
          <w:rFonts w:ascii="Tahoma" w:eastAsia="Times New Roman" w:hAnsi="Tahoma"/>
          <w:color w:val="000000"/>
          <w:sz w:val="20"/>
          <w:szCs w:val="24"/>
        </w:rPr>
        <w:t>e, dovuta ad ogni fatto riconducibile all'affidatario o all'adozione di informazione antimafia interdittiva emessa ai sensi degli articoli 84 e 91 del decreto legislativo 6 settembre 2011, n. 159</w:t>
      </w:r>
      <w:r>
        <w:rPr>
          <w:rFonts w:ascii="Tahoma" w:eastAsia="Times New Roman" w:hAnsi="Tahoma"/>
          <w:sz w:val="20"/>
          <w:szCs w:val="24"/>
        </w:rPr>
        <w:t xml:space="preserve"> ed è svincolata automaticamente al momento della sottoscrizione del contratto.</w:t>
      </w:r>
    </w:p>
    <w:p w14:paraId="08AD5458"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sz w:val="20"/>
          <w:szCs w:val="24"/>
        </w:rPr>
        <w:t>La garanzia provvisoria è pari al 2 per cento del prezzo base indicato nel bando o nell'invito, sotto forma di cauzio</w:t>
      </w:r>
      <w:r>
        <w:rPr>
          <w:rFonts w:ascii="Tahoma" w:eastAsia="Times New Roman" w:hAnsi="Tahoma"/>
          <w:color w:val="000000"/>
          <w:sz w:val="20"/>
          <w:szCs w:val="24"/>
        </w:rPr>
        <w:t xml:space="preserve">ne (in contanti, con bonifico, in assegni circolari o in titoli del debito pubblico garantiti dallo Stato) o </w:t>
      </w:r>
      <w:r>
        <w:rPr>
          <w:rFonts w:ascii="Tahoma" w:eastAsia="Times New Roman" w:hAnsi="Tahoma"/>
          <w:sz w:val="20"/>
          <w:szCs w:val="24"/>
        </w:rPr>
        <w:t>di fideiussione, a scelta dell'offerente. Al fine di rendere l’importo della garanzia proporzionato e adeguato alla natura delle prestazioni oggetto del contratto e al grado di rischio ad esso connesso, la stazione appaltante può motivatamente ridurre l’importo della cauzione sino all’1 per cento ovvero incrementarlo sino al 4 per cento.</w:t>
      </w:r>
      <w:r>
        <w:rPr>
          <w:rFonts w:ascii="Tahoma" w:eastAsia="Times New Roman" w:hAnsi="Tahoma"/>
          <w:color w:val="000000"/>
          <w:sz w:val="20"/>
          <w:szCs w:val="24"/>
        </w:rPr>
        <w:t xml:space="preserve"> Nei casi degli affidamenti diretti di cui all'articolo 36, comma 2, lettera a) del Codice, è facoltà della stazione appaltante non richiedere tali garanzie.</w:t>
      </w:r>
    </w:p>
    <w:p w14:paraId="7C895EAD"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Nel caso di procedure di gara realizzate in forma aggregata da centrali di committenza, l'importo della garanzia è fissato nel bando o nell'invito nella misura massima del 2 per cento del prezzo base.</w:t>
      </w:r>
    </w:p>
    <w:p w14:paraId="3D020138" w14:textId="77777777" w:rsidR="000B6E98" w:rsidRDefault="008A7A17">
      <w:pPr>
        <w:spacing w:after="0"/>
        <w:ind w:firstLine="284"/>
        <w:rPr>
          <w:rFonts w:ascii="Tahoma" w:eastAsia="Times New Roman" w:hAnsi="Tahoma"/>
          <w:sz w:val="20"/>
          <w:szCs w:val="24"/>
        </w:rPr>
      </w:pPr>
      <w:r>
        <w:rPr>
          <w:rFonts w:ascii="Tahoma" w:eastAsia="Times New Roman" w:hAnsi="Tahoma"/>
          <w:color w:val="000000"/>
          <w:sz w:val="20"/>
          <w:szCs w:val="24"/>
        </w:rPr>
        <w:lastRenderedPageBreak/>
        <w:t xml:space="preserve">Tale garanzia provvisoria potrà essere prestata anche a mezzo di fidejussione bancaria od assicurativa, e dovrà coprire un arco temporale almeno di 180 giorni decorrenti dalla presentazione dell'offerta e prevedere l'impegno del </w:t>
      </w:r>
      <w:proofErr w:type="spellStart"/>
      <w:r>
        <w:rPr>
          <w:rFonts w:ascii="Tahoma" w:eastAsia="Times New Roman" w:hAnsi="Tahoma"/>
          <w:color w:val="000000"/>
          <w:sz w:val="20"/>
          <w:szCs w:val="24"/>
        </w:rPr>
        <w:t>fidejussore</w:t>
      </w:r>
      <w:proofErr w:type="spellEnd"/>
      <w:r>
        <w:rPr>
          <w:rFonts w:ascii="Tahoma" w:eastAsia="Times New Roman" w:hAnsi="Tahoma"/>
          <w:color w:val="000000"/>
          <w:sz w:val="20"/>
          <w:szCs w:val="24"/>
        </w:rPr>
        <w:t xml:space="preserve">, in caso di aggiudicazione, a prestare anche la cauzione definitiva. </w:t>
      </w:r>
      <w:r>
        <w:rPr>
          <w:rFonts w:ascii="Tahoma" w:eastAsia="Times New Roman" w:hAnsi="Tahoma"/>
          <w:sz w:val="20"/>
          <w:szCs w:val="24"/>
        </w:rPr>
        <w:t xml:space="preserve">Il bando o l'invito possono richiedere una garanzia con termine di validità maggiore o minore, in relazione alla durata presumibile del procedimento, e possono altresì prescrivere che l'offerta sia corredata dall'impegno del garante a rinnovare la garanzia, su richiesta della stazione appaltante nel corso della procedura, per la durata indicata nel bando, nel caso in cui al momento della sua scadenza non sia ancora intervenuta l'aggiudicazione. </w:t>
      </w:r>
    </w:p>
    <w:p w14:paraId="10F58A41"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Salvo nel caso di microimprese, piccole e medie imprese e di raggruppamenti di operatori economici o consorzi ordinari costituiti esclusivamente da microimprese, piccole e medie imprese, l'offerta dovrà essere corredata, a pena di esclusione, dall'impegno di un fideiussore, anche diverso da quello che ha rilasciato la garanzia provvisoria, a rilasciare la garanzia fideiussoria per l'esecuzione del contratto, di cui agli articoli 103 e 104, qualora l'offerente risultasse affidatario.</w:t>
      </w:r>
    </w:p>
    <w:p w14:paraId="36C588F9"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La fidejussione bancaria o assicurativa di cui sopra dovrà prevedere espressamente la rinuncia al beneficio della preventiva escussione del debitore principale, la rinuncia all'eccezione di cui all'articolo 1957, comma 2, del codice civile e la sua operatività entro 15 giorni a semplice richiesta scritta della Stazione Appaltante.</w:t>
      </w:r>
    </w:p>
    <w:p w14:paraId="53249C7C"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L'importo della garanzia e del suo eventuale rinnovo, nei contratti relativi a lavori, è ridotto secondo le modalità indicate dall'articolo 93 comma 7 del Codice, per gli operatori economici in possesso delle certificazioni alle norme europee della serie UNI CEI ISO 9000, la registrazione al sistema comunitario di ecogestione e audit (EMAS), la certificazione ambientale ai sensi della norma UNI EN ISO 14001 o che sviluppano un inventario di gas ad effetto serra ai sensi della norma UNI EN ISO 14064-1 o un'impronta climatica (carbon footprint) di prodotto ai sensi della norma UNI ISO/TS 14067. La stessa riduzione è applicata nei confronti delle microimprese, piccole e medie imprese e dei raggruppamenti di operatori economici o consorzi ordinari costituiti esclusivamente da microimprese, piccole e medie imprese. In caso di avvalimento del sistema di qualità ai sensi dell’articolo 89 del D. Lgs. 50/2016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per beneficiare della riduzione di cui ai periodi precedenti, il requisito deve essere espressamente oggetto del contratto di avvalimento con l’impresa ausiliaria.</w:t>
      </w:r>
    </w:p>
    <w:p w14:paraId="3E942DB1"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Per fruire delle citate riduzioni l'operatore economico dovrà segnalare, in sede di offerta, il possesso dei relativi requisiti e lo documenta nei modi prescritti dalle norme vigenti.</w:t>
      </w:r>
    </w:p>
    <w:p w14:paraId="55A9C7AD" w14:textId="77777777" w:rsidR="000B6E98" w:rsidRDefault="000B6E98">
      <w:pPr>
        <w:spacing w:after="0"/>
        <w:ind w:firstLine="284"/>
        <w:rPr>
          <w:rFonts w:ascii="Tahoma" w:eastAsia="Times New Roman" w:hAnsi="Tahoma"/>
          <w:color w:val="000000"/>
          <w:sz w:val="20"/>
          <w:szCs w:val="24"/>
        </w:rPr>
      </w:pPr>
    </w:p>
    <w:p w14:paraId="6D5E12A9" w14:textId="77777777" w:rsidR="000B6E98" w:rsidRDefault="008A7A17">
      <w:pPr>
        <w:spacing w:after="0"/>
        <w:ind w:firstLine="284"/>
        <w:rPr>
          <w:rFonts w:ascii="Tahoma" w:eastAsia="Times New Roman" w:hAnsi="Tahoma"/>
          <w:color w:val="000000"/>
          <w:sz w:val="20"/>
          <w:szCs w:val="24"/>
        </w:rPr>
      </w:pPr>
      <w:r w:rsidRPr="00256776">
        <w:rPr>
          <w:rFonts w:ascii="Tahoma" w:eastAsia="Times New Roman" w:hAnsi="Tahoma"/>
          <w:sz w:val="20"/>
          <w:szCs w:val="24"/>
        </w:rPr>
        <w:t>Per le modalità di "</w:t>
      </w:r>
      <w:r w:rsidRPr="00256776">
        <w:rPr>
          <w:rFonts w:ascii="Tahoma" w:eastAsia="Times New Roman" w:hAnsi="Tahoma"/>
          <w:bCs/>
          <w:sz w:val="20"/>
          <w:szCs w:val="24"/>
        </w:rPr>
        <w:t>affidamento</w:t>
      </w:r>
      <w:r w:rsidRPr="00256776">
        <w:rPr>
          <w:rFonts w:ascii="Tahoma" w:eastAsia="Times New Roman" w:hAnsi="Tahoma"/>
          <w:sz w:val="20"/>
          <w:szCs w:val="24"/>
        </w:rPr>
        <w:t xml:space="preserve"> diretto" e "procedura negoziata, senza bando", di cui all'articolo 1 del decreto-legge 16 luglio 2020, n. 76, la stazione </w:t>
      </w:r>
      <w:r>
        <w:rPr>
          <w:rFonts w:ascii="Tahoma" w:eastAsia="Times New Roman" w:hAnsi="Tahoma"/>
          <w:color w:val="000000"/>
          <w:sz w:val="20"/>
          <w:szCs w:val="24"/>
        </w:rPr>
        <w:t>appaltante non richiede le garanzie provvisorie di cui sopra, salvo che, in considerazione della tipologia e specificità della singola procedura, ricorrano particolari esigenze che ne giustifichino la richiesta, che la stazione appaltante indica nell’avviso di indizione della gara o in altro atto equivalente. Nel caso in cui sia richiesta la garanzia provvisoria, il relativo ammontare è dimezzato rispetto a quello sopra previsto.</w:t>
      </w:r>
    </w:p>
    <w:p w14:paraId="4CFEBCED" w14:textId="77777777" w:rsidR="000B6E98" w:rsidRDefault="000B6E98">
      <w:pPr>
        <w:spacing w:after="0"/>
        <w:ind w:firstLine="284"/>
        <w:rPr>
          <w:rFonts w:ascii="Tahoma" w:eastAsia="Times New Roman" w:hAnsi="Tahoma"/>
          <w:color w:val="000000"/>
          <w:sz w:val="20"/>
          <w:szCs w:val="24"/>
        </w:rPr>
      </w:pPr>
    </w:p>
    <w:p w14:paraId="63A2C0B7" w14:textId="77777777" w:rsidR="000B6E98" w:rsidRDefault="000B6E98">
      <w:pPr>
        <w:spacing w:after="0"/>
        <w:ind w:firstLine="284"/>
        <w:rPr>
          <w:rFonts w:ascii="Tahoma" w:eastAsia="Times New Roman" w:hAnsi="Tahoma"/>
          <w:color w:val="000000"/>
          <w:sz w:val="20"/>
          <w:szCs w:val="24"/>
        </w:rPr>
      </w:pPr>
    </w:p>
    <w:p w14:paraId="75C8068B"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#{GUID_5CCC6863-99E0-4973-BF49-78E7DA0E759D|LIVELLO_2|TESTO_Garanzia definitiva_END}&amp;</w:t>
      </w:r>
      <w:bookmarkStart w:id="15" w:name="4237"/>
      <w:bookmarkEnd w:id="15"/>
      <w:r>
        <w:rPr>
          <w:rFonts w:ascii="Tahoma" w:eastAsia="Times New Roman" w:hAnsi="Tahoma"/>
          <w:b/>
          <w:sz w:val="20"/>
          <w:szCs w:val="24"/>
        </w:rPr>
        <w:t>Art. 2.7</w:t>
      </w:r>
    </w:p>
    <w:p w14:paraId="15AFE913"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GARANZIA DEFINITIVA</w:t>
      </w:r>
    </w:p>
    <w:p w14:paraId="188D4B02" w14:textId="77777777" w:rsidR="000B6E98" w:rsidRDefault="000B6E98">
      <w:pPr>
        <w:spacing w:after="0"/>
        <w:rPr>
          <w:rFonts w:ascii="Tahoma" w:eastAsia="Times New Roman" w:hAnsi="Tahoma"/>
          <w:sz w:val="20"/>
          <w:szCs w:val="24"/>
        </w:rPr>
      </w:pPr>
    </w:p>
    <w:p w14:paraId="7F833BAD"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L’appaltatore per la sottoscrizione del contratto deve costituire una garanzia definitiva a sua scelta sotto forma di cauzione o fideiussione con le modalità di cui all’articolo 93, commi 2 e 3 e 103 del d.lgs. n.50/2016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xml:space="preserve">, pari al 10 per cento dell'importo contrattuale. Nel caso di procedure di gara realizzate in forma aggregata da centrali di committenza, l'importo della garanzia è indicato nella misura massima del 10 per cento dell’importo contrattuale. </w:t>
      </w:r>
    </w:p>
    <w:p w14:paraId="689565A3"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Al fine di salvaguardare l'interesse pubblico alla conclusione del contratto nei termini e nei modi programmati in caso di aggiudicazione con ribassi superiori al dieci per cento la garanzia da costituire è aumentata di tanti punti percentuali quanti sono quelli eccedenti il 10 per cento. Ove il ribasso sia superiore al venti per cento, l’aumento è di due punti percentuali per ogni punto di ribasso superiore al venti per cento. La cauzione è prestata a garanzia dell’adempimento di tutte le obbligazioni del contratto e del risarcimento dei danni derivanti dall'eventuale inadempimento delle obbligazioni stesse, nonché a garanzia del rimborso delle somme pagate in più all’esecutore rispetto alle risultanze della liquidazione finale, salva comunque la risarcibilità del maggior danno verso l’appaltatore. </w:t>
      </w:r>
    </w:p>
    <w:p w14:paraId="46691FEA"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La garanzia cessa di avere effetto solo alla data di emissione del certificato di collaudo provvisorio o del certificato di regolare esecuzione. La stazione appaltante può richiedere al soggetto aggiudicatario la reintegrazione della garanzia ove questa sia venuta meno in tutto o in parte; in caso di inottemperanza, la reintegrazione si effettua a valere sui ratei di prezzo da corrispondere all’esecutore.</w:t>
      </w:r>
    </w:p>
    <w:p w14:paraId="49FA3DF5"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L'importo della garanzia nei contratti relativi a lavori, è ridotto secondo le modalità indicate dall'articolo 93 comma 7 del Codice, per gli operatori economici in possesso delle certificazioni alle norme europee della serie UNI CEI ISO 9000, la registrazione al sistema comunitario di ecogestione e audit (EMAS), la certificazione ambientale ai sensi della norma UNI EN ISO 14001 o che sviluppano un inventario di gas ad effetto serra ai </w:t>
      </w:r>
      <w:r>
        <w:rPr>
          <w:rFonts w:ascii="Tahoma" w:eastAsia="Times New Roman" w:hAnsi="Tahoma"/>
          <w:color w:val="000000"/>
          <w:sz w:val="20"/>
          <w:szCs w:val="24"/>
        </w:rPr>
        <w:lastRenderedPageBreak/>
        <w:t xml:space="preserve">sensi della norma UNI EN ISO 14064-1 o un'impronta climatica (carbon footprint) di prodotto ai sensi della norma UNI ISO/TS 14067. La stessa riduzione è applicata nei confronti delle microimprese, piccole e medie imprese e dei raggruppamenti di operatori economici o consorzi ordinari costituiti esclusivamente da microimprese, piccole e medie imprese. In caso di avvalimento del sistema di qualità ai sensi dell’articolo 89 del D. Lgs. 50/2016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per beneficiare della riduzione di cui ai periodi precedenti, il requisito deve essere espressamente oggetto del contratto di avvalimento con l’impresa ausiliaria.</w:t>
      </w:r>
    </w:p>
    <w:p w14:paraId="2027B3B3"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La garanzia definitiva è progressivamente svincolata a misura dell'avanzamento dell'esecuzione, nel limite massimo dell’80 per cento dell'iniziale importo garantito. L’ammontare residuo della cauzione definitiva deve permanere fino alla data di emissione del certificato di collaudo provvisorio o del certificato di regolare esecuzione, o comunque fino a dodici mesi dalla data di ultimazione dei lavori risultante dal relativo certificato.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Lo svincolo è automatico, senza necessità di nulla osta del committente, con la sola condizione della preventiva consegna all'istituto garante, da parte dell'appaltatore o del concessionario, degli stati di avanzamento dei lavori o di analogo documento, in originale o in copia autentica, attestanti l'avvenuta esecuzione. Sono nulle le pattuizioni contrarie o in deroga. Il mancato svincolo nei quindici giorni dalla consegna degli stati di avanzamento o della documentazione analoga costituisce inadempimento del garante nei confronti dell'impresa per la quale la garanzia è prestata.</w:t>
      </w:r>
    </w:p>
    <w:p w14:paraId="2E25AFBF"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w:t>
      </w:r>
    </w:p>
    <w:p w14:paraId="76D4046E"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Le stazioni appaltanti hanno il diritto di valersi della cauzione fideiussoria per l'eventuale maggiore spesa sostenuta per il completamento dei lavori nel caso di risoluzione del contratto disposta in danno dell'esecutore. Le stazioni appaltanti hanno inoltre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in cantiere.</w:t>
      </w:r>
    </w:p>
    <w:p w14:paraId="3EBAEC31"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Le stazioni appaltanti possono incamerare la garanzia per provvedere al pagamento di quanto dovuto dal soggetto aggiudicatario per le inadempienze derivanti dalla inosservanza di norme e prescrizioni dei contratti collettivi, delle leggi e dei regolamenti sulla tutela, protezione, assicurazione, assistenza e sicurezza fisica dei lavoratori addetti all’esecuzione dell’appalto.</w:t>
      </w:r>
    </w:p>
    <w:p w14:paraId="2403F3F0"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In caso di raggruppamenti temporanei le garanzie fideiussorie e le garanzie assicurative sono presentate, su mandato irrevocabile, dalla mandataria in nome e per conto di tutti i concorrenti ferma restando la responsabilità solidale tra le imprese.</w:t>
      </w:r>
    </w:p>
    <w:p w14:paraId="46B1F363"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La mancata costituzione della garanzia definitiva di cui all'articolo 103 comma 1 del d.lgs. n.50/2016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xml:space="preserve"> determina la decadenza dell'affidamento e l'acquisizione della cauzione provvisoria presentata in sede di offerta da parte della stazione appaltante, che aggiudica l'appalto o la concessione al concorrente che segue nella graduatoria.</w:t>
      </w:r>
    </w:p>
    <w:p w14:paraId="33D2F575" w14:textId="77777777" w:rsidR="000B6E98" w:rsidRDefault="008A7A17">
      <w:pPr>
        <w:spacing w:after="0"/>
        <w:ind w:firstLine="284"/>
        <w:rPr>
          <w:rFonts w:ascii="Tahoma" w:eastAsia="Times New Roman" w:hAnsi="Tahoma"/>
          <w:color w:val="000000"/>
          <w:sz w:val="20"/>
          <w:szCs w:val="24"/>
        </w:rPr>
      </w:pPr>
      <w:proofErr w:type="gramStart"/>
      <w:r>
        <w:rPr>
          <w:rFonts w:ascii="Tahoma" w:eastAsia="Times New Roman" w:hAnsi="Tahoma"/>
          <w:color w:val="000000"/>
          <w:sz w:val="20"/>
          <w:szCs w:val="24"/>
        </w:rPr>
        <w:t>E’</w:t>
      </w:r>
      <w:proofErr w:type="gramEnd"/>
      <w:r>
        <w:rPr>
          <w:rFonts w:ascii="Tahoma" w:eastAsia="Times New Roman" w:hAnsi="Tahoma"/>
          <w:color w:val="000000"/>
          <w:sz w:val="20"/>
          <w:szCs w:val="24"/>
        </w:rPr>
        <w:t xml:space="preserve"> facoltà dell’amministrazione in casi specifici non richiedere la garanzia per gli appalti da eseguirsi da operatori economici di comprovata solidità </w:t>
      </w:r>
      <w:proofErr w:type="spellStart"/>
      <w:r>
        <w:rPr>
          <w:rFonts w:ascii="Tahoma" w:eastAsia="Times New Roman" w:hAnsi="Tahoma"/>
          <w:color w:val="000000"/>
          <w:sz w:val="20"/>
          <w:szCs w:val="24"/>
        </w:rPr>
        <w:t>nonchè</w:t>
      </w:r>
      <w:proofErr w:type="spellEnd"/>
      <w:r>
        <w:rPr>
          <w:rFonts w:ascii="Tahoma" w:eastAsia="Times New Roman" w:hAnsi="Tahoma"/>
          <w:color w:val="000000"/>
          <w:sz w:val="20"/>
          <w:szCs w:val="24"/>
        </w:rPr>
        <w:t xml:space="preserve"> nel caso degli affidamenti diretti di cui all'articolo 36, comma 2, lettera a) del Codice Appalti. L’esonero dalla prestazione della garanzia deve essere adeguatamente motivato ed è subordinato ad un miglioramento del prezzo di aggiudicazione.</w:t>
      </w:r>
    </w:p>
    <w:p w14:paraId="3F1F50D6" w14:textId="77777777" w:rsidR="000B6E98" w:rsidRDefault="000B6E98">
      <w:pPr>
        <w:spacing w:after="0"/>
        <w:ind w:firstLine="284"/>
        <w:rPr>
          <w:rFonts w:ascii="Tahoma" w:eastAsia="Times New Roman" w:hAnsi="Tahoma"/>
          <w:color w:val="000000"/>
          <w:sz w:val="20"/>
          <w:szCs w:val="24"/>
        </w:rPr>
      </w:pPr>
    </w:p>
    <w:p w14:paraId="2F6CF896" w14:textId="77777777" w:rsidR="000B6E98" w:rsidRDefault="000B6E98">
      <w:pPr>
        <w:spacing w:after="0"/>
        <w:ind w:firstLine="284"/>
        <w:rPr>
          <w:rFonts w:ascii="Tahoma" w:eastAsia="Times New Roman" w:hAnsi="Tahoma"/>
          <w:color w:val="000000"/>
          <w:sz w:val="20"/>
          <w:szCs w:val="24"/>
        </w:rPr>
      </w:pPr>
    </w:p>
    <w:p w14:paraId="028959FA"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#{GUID_BF2F0AFF-C5B6-4660-A1D2-478002530A7E|LIVELLO_2|TESTO_Coperture assicurative_END}&amp;</w:t>
      </w:r>
      <w:bookmarkStart w:id="16" w:name="4238"/>
      <w:bookmarkEnd w:id="16"/>
      <w:r>
        <w:rPr>
          <w:rFonts w:ascii="Tahoma" w:eastAsia="Times New Roman" w:hAnsi="Tahoma"/>
          <w:b/>
          <w:sz w:val="20"/>
          <w:szCs w:val="24"/>
        </w:rPr>
        <w:t>Art. 2.8</w:t>
      </w:r>
    </w:p>
    <w:p w14:paraId="6A4D8A3C"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COPERTURE ASSICURATIVE</w:t>
      </w:r>
    </w:p>
    <w:p w14:paraId="3BBD0567" w14:textId="77777777" w:rsidR="000B6E98" w:rsidRDefault="000B6E98">
      <w:pPr>
        <w:spacing w:after="0"/>
        <w:ind w:firstLine="284"/>
        <w:rPr>
          <w:rFonts w:ascii="Tahoma" w:eastAsia="Times New Roman" w:hAnsi="Tahoma"/>
          <w:sz w:val="20"/>
          <w:szCs w:val="24"/>
        </w:rPr>
      </w:pPr>
    </w:p>
    <w:p w14:paraId="5D851696"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A norma dell'art. 103, comma 7, del d.lgs. n. 50/2016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l'Appaltatore è obbligato a costituire e consegnare alla stazione appaltante almeno dieci giorni prima della consegna dei lavori anche una polizza di assicurazione che copra i danni subiti dalle stazioni appaltanti a causa del danneggiamento o della distruzione totale o parziale di impianti ed opere, anche preesistenti, verificatisi nel corso dell'esecuzione dei lavori. </w:t>
      </w:r>
    </w:p>
    <w:p w14:paraId="55C04DFC"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L’importo della somma da assicurare è</w:t>
      </w:r>
      <w:r>
        <w:rPr>
          <w:rFonts w:ascii="Tahoma" w:eastAsia="Times New Roman" w:hAnsi="Tahoma"/>
          <w:color w:val="000000"/>
          <w:sz w:val="20"/>
          <w:szCs w:val="24"/>
        </w:rPr>
        <w:t xml:space="preserve"> individuato da quello di contratto.</w:t>
      </w:r>
      <w:r>
        <w:rPr>
          <w:rFonts w:ascii="Tahoma" w:eastAsia="Times New Roman" w:hAnsi="Tahoma"/>
          <w:sz w:val="20"/>
          <w:szCs w:val="24"/>
        </w:rPr>
        <w:t xml:space="preserve"> </w:t>
      </w:r>
    </w:p>
    <w:p w14:paraId="4D7CA00D"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Tale polizza deve assicurare la stazione appaltante contro la responsabilità civile per danni causati a terzi nel corso dell’esecuzione dei lavori il cui massimale è pari al cinque per cento della somma assicurata per le opere con un minimo di 500.000 euro ed un massimo di 5.000.000 di euro. La copertura assicurativa decorre dalla data di consegna dei lavori e cessa alla data di emissione del certificato di collaudo provvisorio o del certificato di regolare esecuzione o comunque decorsi dodici mesi dalla data di ultimazione dei lavori risultante </w:t>
      </w:r>
      <w:r>
        <w:rPr>
          <w:rFonts w:ascii="Tahoma" w:eastAsia="Times New Roman" w:hAnsi="Tahoma"/>
          <w:sz w:val="20"/>
          <w:szCs w:val="24"/>
        </w:rPr>
        <w:lastRenderedPageBreak/>
        <w:t xml:space="preserve">dal relativo certificato. Qualora sia previsto un periodo di garanzia, la polizza assicurativa è sostituita da una polizza che tenga indenni le stazioni appaltanti da tutti i rischi connessi all'utilizzo delle lavorazioni in garanzia o agli interventi per la loro eventuale sostituzione o rifacimento. </w:t>
      </w:r>
    </w:p>
    <w:p w14:paraId="4114F4F4"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Per i lavori di importo superiore al doppio della soglia di cui all’articolo 35 del Codice (periodicamente rideterminate con provvedimento della Commissione europea), il titolare del contratto per la liquidazione della rata di saldo è obbligato a stipulare, con decorrenza dalla data di emissione del certificato di collaudo provvisorio o del certificato di regolare esecuzione o comunque decorsi dodici mesi dalla data di ultimazione dei lavori risultante dal relativo certificato, una polizza indennitaria decennale a copertura dei rischi di rovina totale o parziale dell'opera, ovvero dei rischi derivanti da gravi difetti costruttivi. La polizza deve contenere la previsione del pagam</w:t>
      </w:r>
      <w:r>
        <w:rPr>
          <w:rFonts w:ascii="Tahoma" w:eastAsia="Times New Roman" w:hAnsi="Tahoma"/>
          <w:color w:val="000000"/>
          <w:sz w:val="20"/>
          <w:szCs w:val="24"/>
        </w:rPr>
        <w:t>ento dell'indennizzo contrattualmente dovuto in f</w:t>
      </w:r>
      <w:r>
        <w:rPr>
          <w:rFonts w:ascii="Tahoma" w:eastAsia="Times New Roman" w:hAnsi="Tahoma"/>
          <w:sz w:val="20"/>
          <w:szCs w:val="24"/>
        </w:rPr>
        <w:t>avore del committente non appena questi lo richieda, anche in pendenza dell'accertamento della responsabilità e senza che occorrano consensi ed autorizzazioni di qualunque specie. Il limite di indennizzo della polizza decennale non deve essere inferiore al venti per cento del valore dell'opera realizzata e non superiore al 40 per cento, nel rispetto del principio di proporzionalità avuto riguardo alla natura dell’opera. L’esecutore dei lavori è altresì obbligato a stipulare, una polizza di assicurazione della responsabilità civile per danni cagionati a terzi, con decorrenza dalla data di emissione del certificato di collaudo provvisorio o del certificato di regolare esecuzione e per la durata di dieci anni e con un indennizzo pari al 5 per cento del valore dell’opera realizzata con un minimo di 500.000 euro ed un massimo di 5.000.000 di euro.</w:t>
      </w:r>
    </w:p>
    <w:p w14:paraId="5C061380"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 garanzia è prestata per un massimale assicurato non inferiore a </w:t>
      </w:r>
      <w:r>
        <w:rPr>
          <w:rFonts w:ascii="Tahoma" w:eastAsia="Times New Roman" w:hAnsi="Tahoma"/>
          <w:color w:val="000000"/>
          <w:sz w:val="20"/>
          <w:szCs w:val="24"/>
        </w:rPr>
        <w:t>quello di contratto.</w:t>
      </w:r>
      <w:r>
        <w:rPr>
          <w:rFonts w:ascii="Tahoma" w:eastAsia="Times New Roman" w:hAnsi="Tahoma"/>
          <w:sz w:val="20"/>
          <w:szCs w:val="24"/>
        </w:rPr>
        <w:t xml:space="preserve"> </w:t>
      </w:r>
    </w:p>
    <w:p w14:paraId="7026EDB0" w14:textId="77777777" w:rsidR="000B6E98" w:rsidRDefault="008A7A17">
      <w:pPr>
        <w:spacing w:after="0"/>
        <w:ind w:firstLine="284"/>
        <w:rPr>
          <w:rFonts w:ascii="Tahoma" w:eastAsia="Times New Roman" w:hAnsi="Tahoma"/>
          <w:sz w:val="20"/>
          <w:szCs w:val="24"/>
        </w:rPr>
      </w:pPr>
      <w:r>
        <w:rPr>
          <w:rFonts w:ascii="Tahoma" w:eastAsia="Times New Roman" w:hAnsi="Tahoma"/>
          <w:color w:val="000000"/>
          <w:sz w:val="20"/>
          <w:szCs w:val="24"/>
        </w:rPr>
        <w:t>Le garanzie fideiussorie e le polizze assicurative di cui sopra devono essere conformi agli schemi tipo approvati con decreto del Ministro</w:t>
      </w:r>
      <w:r>
        <w:rPr>
          <w:rFonts w:ascii="Tahoma" w:eastAsia="Times New Roman" w:hAnsi="Tahoma"/>
          <w:sz w:val="20"/>
          <w:szCs w:val="24"/>
        </w:rPr>
        <w:t xml:space="preserve"> dello sviluppo economico di concerto con il Ministro delle infrastrutture e dei trasporti e previamente concordato con le banche e le assicurazioni o loro rappresentanze.</w:t>
      </w:r>
    </w:p>
    <w:p w14:paraId="20797120" w14:textId="77777777" w:rsidR="000B6E98" w:rsidRDefault="000B6E98">
      <w:pPr>
        <w:spacing w:after="0"/>
        <w:ind w:firstLine="284"/>
        <w:rPr>
          <w:rFonts w:ascii="Tahoma" w:eastAsia="Times New Roman" w:hAnsi="Tahoma"/>
          <w:sz w:val="20"/>
          <w:szCs w:val="24"/>
        </w:rPr>
      </w:pPr>
    </w:p>
    <w:p w14:paraId="6DF59996" w14:textId="77777777" w:rsidR="000B6E98" w:rsidRDefault="000B6E98">
      <w:pPr>
        <w:spacing w:after="0"/>
        <w:ind w:firstLine="284"/>
        <w:rPr>
          <w:rFonts w:ascii="Tahoma" w:eastAsia="Times New Roman" w:hAnsi="Tahoma"/>
          <w:sz w:val="20"/>
          <w:szCs w:val="24"/>
        </w:rPr>
      </w:pPr>
    </w:p>
    <w:p w14:paraId="0211FBD8"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#{GUID_5799F5E2-7599-4AEE-A0C2-8224B6D5CA3D|LIVELLO_2|TESTO_Disciplina del subappalto_END}&amp;</w:t>
      </w:r>
      <w:bookmarkStart w:id="17" w:name="4239"/>
      <w:bookmarkEnd w:id="17"/>
      <w:r>
        <w:rPr>
          <w:rFonts w:ascii="Tahoma" w:eastAsia="Times New Roman" w:hAnsi="Tahoma"/>
          <w:b/>
          <w:sz w:val="20"/>
          <w:szCs w:val="24"/>
        </w:rPr>
        <w:t>Art. 2.9</w:t>
      </w:r>
    </w:p>
    <w:p w14:paraId="06F733C3"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DISCIPLINA DEL SUBAPPALTO</w:t>
      </w:r>
    </w:p>
    <w:p w14:paraId="54896C59" w14:textId="77777777" w:rsidR="000B6E98" w:rsidRDefault="000B6E98">
      <w:pPr>
        <w:spacing w:after="0"/>
        <w:rPr>
          <w:rFonts w:ascii="Tahoma" w:eastAsia="Times New Roman" w:hAnsi="Tahoma"/>
          <w:sz w:val="20"/>
          <w:szCs w:val="24"/>
        </w:rPr>
      </w:pPr>
    </w:p>
    <w:p w14:paraId="370E7F1F" w14:textId="77777777" w:rsidR="000B6E98" w:rsidRDefault="008A7A17">
      <w:pPr>
        <w:ind w:firstLine="284"/>
        <w:rPr>
          <w:rFonts w:ascii="Tahoma" w:eastAsia="Times New Roman" w:hAnsi="Tahoma"/>
          <w:sz w:val="20"/>
          <w:szCs w:val="24"/>
        </w:rPr>
      </w:pPr>
      <w:r>
        <w:rPr>
          <w:rFonts w:ascii="Tahoma" w:eastAsia="Times New Roman" w:hAnsi="Tahoma"/>
          <w:sz w:val="20"/>
          <w:szCs w:val="24"/>
        </w:rPr>
        <w:t xml:space="preserve">L'affidamento in subappalto è subordinato al rispetto delle disposizioni di cui all'art. 105 del d.lgs. n. 50/2016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e deve essere sempre autorizzato dalla Stazione Appaltante.</w:t>
      </w:r>
    </w:p>
    <w:p w14:paraId="422F88ED" w14:textId="77777777" w:rsidR="000B6E98" w:rsidRPr="00AB093B" w:rsidRDefault="008A7A17">
      <w:pPr>
        <w:ind w:firstLine="284"/>
        <w:rPr>
          <w:rFonts w:ascii="Tahoma" w:eastAsia="Times New Roman" w:hAnsi="Tahoma"/>
          <w:sz w:val="20"/>
          <w:szCs w:val="24"/>
        </w:rPr>
      </w:pPr>
      <w:r w:rsidRPr="00AB093B">
        <w:rPr>
          <w:rFonts w:ascii="Tahoma" w:eastAsia="Times New Roman" w:hAnsi="Tahoma"/>
          <w:sz w:val="20"/>
          <w:szCs w:val="24"/>
        </w:rPr>
        <w:t xml:space="preserve">A pena di nullità, fatto salvo quanto previsto dall'art. 106, comma 1, lettera d), il contratto non può essere ceduto, non può essere affidata a terzi l'integrale esecuzione delle prestazioni o lavorazioni oggetto del contratto di appalto, nonché la prevalente esecuzione delle lavorazioni relative al complesso delle categorie prevalenti e dei contratti ad alta intensità di manodopera. È ammesso il subappalto secondo le disposizioni del presente </w:t>
      </w:r>
      <w:proofErr w:type="gramStart"/>
      <w:r w:rsidRPr="00AB093B">
        <w:rPr>
          <w:rFonts w:ascii="Tahoma" w:eastAsia="Times New Roman" w:hAnsi="Tahoma"/>
          <w:sz w:val="20"/>
          <w:szCs w:val="24"/>
        </w:rPr>
        <w:t>articolo.</w:t>
      </w:r>
      <w:r w:rsidRPr="00AB093B">
        <w:rPr>
          <w:rFonts w:ascii="Tahoma" w:eastAsia="Times New Roman" w:hAnsi="Tahoma"/>
          <w:b/>
          <w:sz w:val="20"/>
          <w:szCs w:val="24"/>
          <w:vertAlign w:val="superscript"/>
        </w:rPr>
        <w:t>(</w:t>
      </w:r>
      <w:proofErr w:type="gramEnd"/>
      <w:r w:rsidRPr="00AB093B">
        <w:rPr>
          <w:rFonts w:ascii="Tahoma" w:eastAsia="Times New Roman" w:hAnsi="Tahoma"/>
          <w:b/>
          <w:sz w:val="20"/>
          <w:szCs w:val="24"/>
          <w:vertAlign w:val="superscript"/>
        </w:rPr>
        <w:t>1)</w:t>
      </w:r>
      <w:r w:rsidRPr="00AB093B">
        <w:rPr>
          <w:rFonts w:ascii="Tahoma" w:eastAsia="Times New Roman" w:hAnsi="Tahoma"/>
          <w:sz w:val="20"/>
          <w:szCs w:val="24"/>
        </w:rPr>
        <w:t xml:space="preserve"> </w:t>
      </w:r>
    </w:p>
    <w:p w14:paraId="34A4BC92" w14:textId="77777777" w:rsidR="000B6E98" w:rsidRPr="00AB093B" w:rsidRDefault="008A7A17">
      <w:pPr>
        <w:ind w:firstLine="284"/>
        <w:rPr>
          <w:rFonts w:ascii="Tahoma" w:eastAsia="Times New Roman" w:hAnsi="Tahoma"/>
          <w:b/>
          <w:sz w:val="20"/>
          <w:szCs w:val="24"/>
        </w:rPr>
      </w:pPr>
      <w:r w:rsidRPr="00AB093B">
        <w:rPr>
          <w:rFonts w:ascii="Tahoma" w:eastAsia="Times New Roman" w:hAnsi="Tahoma"/>
          <w:sz w:val="20"/>
          <w:szCs w:val="24"/>
        </w:rPr>
        <w:t>Il subappalto è il contratto con il quale l’appaltatore affida a terzi l’esecuzione di parte delle prestazioni o lavorazioni oggetto del contratto di appalto. Costituisce comunque subappalto qualsiasi contratto avente ad oggetto attività del contratto di appalto ovunque espletate che richiedono l'impiego di manodopera quali le forniture con posa in opera e i noli a caldo, se singolarmente di importo superiore al 2 per cento dell'importo delle prestazioni affidate o di importo superiore a 100.000 euro e qualora l'incidenza del costo della manodopera e del personale sia superiore al 50 per cento dell'importo del contratto.</w:t>
      </w:r>
    </w:p>
    <w:p w14:paraId="2EE30A07" w14:textId="77777777" w:rsidR="000B6E98" w:rsidRPr="00AB093B" w:rsidRDefault="008A7A17">
      <w:pPr>
        <w:ind w:firstLine="284"/>
        <w:rPr>
          <w:rFonts w:ascii="Tahoma" w:eastAsia="Times New Roman" w:hAnsi="Tahoma"/>
          <w:sz w:val="20"/>
          <w:szCs w:val="24"/>
        </w:rPr>
      </w:pPr>
      <w:r w:rsidRPr="00AB093B">
        <w:rPr>
          <w:rFonts w:ascii="Tahoma" w:eastAsia="Times New Roman" w:hAnsi="Tahoma"/>
          <w:sz w:val="20"/>
          <w:szCs w:val="24"/>
        </w:rPr>
        <w:t xml:space="preserve">Nel rispetto dei principi dettati dall'ordinamento </w:t>
      </w:r>
      <w:proofErr w:type="spellStart"/>
      <w:r w:rsidRPr="00AB093B">
        <w:rPr>
          <w:rFonts w:ascii="Tahoma" w:eastAsia="Times New Roman" w:hAnsi="Tahoma"/>
          <w:sz w:val="20"/>
          <w:szCs w:val="24"/>
        </w:rPr>
        <w:t>eurounitario</w:t>
      </w:r>
      <w:proofErr w:type="spellEnd"/>
      <w:r w:rsidRPr="00AB093B">
        <w:rPr>
          <w:rFonts w:ascii="Tahoma" w:eastAsia="Times New Roman" w:hAnsi="Tahoma"/>
          <w:sz w:val="20"/>
          <w:szCs w:val="24"/>
        </w:rPr>
        <w:t xml:space="preserve"> di libertà di stabilimento (art. 49 TFUE), di libera prestazione dei servizi (art. 56 TFUE) e di proporzionalità, nonché dell'art. 71, Direttiva 2014/24/UE - che non prevede alcun limite al subappalto -, al fine di favorire l'accesso al mercato delle piccole e medie imprese (PMI), la stazione appaltante non pone soglie all'affidatario relativamente alla parte dell'appalto che intende subappaltare a terzi nell'esecuzione delle prestazioni o dei lavori oggetto del contratto.</w:t>
      </w:r>
      <w:r w:rsidRPr="00AB093B">
        <w:rPr>
          <w:rFonts w:ascii="Tahoma" w:eastAsia="Times New Roman" w:hAnsi="Tahoma"/>
          <w:b/>
          <w:sz w:val="20"/>
          <w:szCs w:val="24"/>
          <w:vertAlign w:val="superscript"/>
        </w:rPr>
        <w:t>(2)</w:t>
      </w:r>
    </w:p>
    <w:p w14:paraId="570471FA" w14:textId="77777777" w:rsidR="000B6E98" w:rsidRPr="00AB093B" w:rsidRDefault="008A7A17">
      <w:pPr>
        <w:pStyle w:val="NormaleWeb"/>
        <w:widowControl/>
        <w:spacing w:before="0"/>
        <w:ind w:firstLine="284"/>
        <w:jc w:val="both"/>
        <w:rPr>
          <w:rFonts w:ascii="Tahoma" w:eastAsia="Times New Roman" w:hAnsi="Tahoma"/>
          <w:b/>
          <w:color w:val="auto"/>
          <w:sz w:val="20"/>
          <w:shd w:val="clear" w:color="auto" w:fill="auto"/>
        </w:rPr>
      </w:pPr>
      <w:r w:rsidRPr="00AB093B">
        <w:rPr>
          <w:rFonts w:ascii="Tahoma" w:eastAsia="Times New Roman" w:hAnsi="Tahoma"/>
          <w:color w:val="auto"/>
          <w:sz w:val="20"/>
          <w:shd w:val="clear" w:color="auto" w:fill="auto"/>
        </w:rPr>
        <w:t>Ai sensi dell'art. 105, comma 2 d.lgs. n. 50/2016, le stazioni appaltanti, hanno l'obbligo di indicare nei documenti di gara le prestazioni o lavorazioni oggetto del contratto d'appalto che dovranno essere eseguite direttamente a cura dell'aggiudicatario, indicazione che farà seguito ad una adeguata motivazione contenuta nella determina a contrarre e all'eventuale parere delle Prefetture competenti.</w:t>
      </w:r>
      <w:r w:rsidRPr="00AB093B">
        <w:rPr>
          <w:rFonts w:ascii="Tahoma" w:eastAsia="Times New Roman" w:hAnsi="Tahoma"/>
          <w:b/>
          <w:color w:val="auto"/>
          <w:sz w:val="20"/>
          <w:shd w:val="clear" w:color="auto" w:fill="auto"/>
        </w:rPr>
        <w:t xml:space="preserve"> </w:t>
      </w:r>
      <w:r w:rsidRPr="00AB093B">
        <w:rPr>
          <w:rFonts w:ascii="Tahoma" w:eastAsia="Times New Roman" w:hAnsi="Tahoma"/>
          <w:color w:val="auto"/>
          <w:sz w:val="20"/>
          <w:shd w:val="clear" w:color="auto" w:fill="auto"/>
        </w:rPr>
        <w:t>L'individuazione delle prestazioni che dovranno essere necessariamente eseguite dall'aggiudicatario viene effettuata dalla stazione appaltante sulla base di specifici elementi:</w:t>
      </w:r>
    </w:p>
    <w:p w14:paraId="60956FF1" w14:textId="77777777" w:rsidR="000B6E98" w:rsidRPr="00AB093B" w:rsidRDefault="008A7A17" w:rsidP="008A7A17">
      <w:pPr>
        <w:numPr>
          <w:ilvl w:val="1"/>
          <w:numId w:val="3"/>
        </w:numPr>
        <w:spacing w:after="0"/>
        <w:ind w:left="850" w:hanging="425"/>
        <w:jc w:val="left"/>
        <w:rPr>
          <w:rFonts w:ascii="Tahoma" w:eastAsia="Times New Roman" w:hAnsi="Tahoma"/>
          <w:sz w:val="20"/>
          <w:szCs w:val="24"/>
        </w:rPr>
      </w:pPr>
      <w:r w:rsidRPr="00AB093B">
        <w:rPr>
          <w:rFonts w:ascii="Tahoma" w:eastAsia="Times New Roman" w:hAnsi="Tahoma"/>
          <w:sz w:val="20"/>
          <w:szCs w:val="24"/>
        </w:rPr>
        <w:t>le caratteristiche dell'appalto, ivi comprese quelle di cui all’articolo 89 comma 11 (ove si prevede il divieto di avvalimento in caso di opere per le quali sono necessari lavori o componenti di notevole contenuto tecnologico o di rilevante complessità tecnica, quali strutture, impianti e opere speciali);</w:t>
      </w:r>
    </w:p>
    <w:p w14:paraId="5FF44E82" w14:textId="77777777" w:rsidR="000B6E98" w:rsidRPr="00AB093B" w:rsidRDefault="008A7A17" w:rsidP="008A7A17">
      <w:pPr>
        <w:numPr>
          <w:ilvl w:val="1"/>
          <w:numId w:val="3"/>
        </w:numPr>
        <w:ind w:left="850" w:hanging="425"/>
        <w:jc w:val="left"/>
        <w:rPr>
          <w:rFonts w:eastAsia="Times New Roman"/>
          <w:sz w:val="24"/>
          <w:szCs w:val="24"/>
        </w:rPr>
      </w:pPr>
      <w:r w:rsidRPr="00AB093B">
        <w:rPr>
          <w:rFonts w:ascii="Tahoma" w:eastAsia="Times New Roman" w:hAnsi="Tahoma"/>
          <w:sz w:val="20"/>
          <w:szCs w:val="24"/>
        </w:rPr>
        <w:t xml:space="preserve">tenuto conto della natura o della complessità delle prestazioni o delle lavorazioni da effettuare, di rafforzare il controllo delle attività di cantiere e più in generale dei luoghi di lavoro e di garantire una più intensa tutela delle condizioni di lavoro e della salute e sicurezza dei lavoratori ovvero di </w:t>
      </w:r>
      <w:r w:rsidRPr="00AB093B">
        <w:rPr>
          <w:rFonts w:ascii="Tahoma" w:eastAsia="Times New Roman" w:hAnsi="Tahoma"/>
          <w:sz w:val="20"/>
          <w:szCs w:val="24"/>
        </w:rPr>
        <w:lastRenderedPageBreak/>
        <w:t>prevenire il rischio di infiltrazioni criminali, a meno che i subappaltatori siano iscritti nell’elenco dei fornitori, prestatori di servizi ed esecutori di lavori di cui al comma 52 dell'articolo 1 della legge 6 novembre 2012, n. 190, ovvero nell’anagrafe antimafia degli esecutori istituita dall’articolo 30 del decreto-legge 17 ottobre 2016, n. 189, convertito, con modificazioni, dalla legge 15 dicembre 2016, n. 229.</w:t>
      </w:r>
      <w:r w:rsidRPr="00AB093B">
        <w:rPr>
          <w:rFonts w:ascii="Tahoma" w:eastAsia="Times New Roman" w:hAnsi="Tahoma"/>
          <w:b/>
          <w:sz w:val="20"/>
          <w:szCs w:val="24"/>
          <w:vertAlign w:val="superscript"/>
        </w:rPr>
        <w:t>(3)</w:t>
      </w:r>
    </w:p>
    <w:p w14:paraId="3A74C8E3" w14:textId="77777777" w:rsidR="000B6E98" w:rsidRDefault="008A7A17">
      <w:pPr>
        <w:ind w:firstLine="284"/>
        <w:rPr>
          <w:rFonts w:ascii="Tahoma" w:eastAsia="Times New Roman" w:hAnsi="Tahoma"/>
          <w:color w:val="000000"/>
          <w:sz w:val="20"/>
          <w:szCs w:val="24"/>
        </w:rPr>
      </w:pPr>
      <w:r w:rsidRPr="00AB093B">
        <w:rPr>
          <w:rFonts w:ascii="Tahoma" w:eastAsia="Times New Roman" w:hAnsi="Tahoma"/>
          <w:sz w:val="20"/>
          <w:szCs w:val="24"/>
        </w:rPr>
        <w:t xml:space="preserve">L'affidatario comunica alla stazione appaltante, prima dell’inizio della prestazione, per tutti i sub-contratti che non sono subappalti, stipulati per l'esecuzione dell'appalto, il nome del sub-contraente, l'importo del sub-contratto, l'oggetto del lavoro, servizio o fornitura affidati. Sono, altresì, comunicate alla stazione appaltante </w:t>
      </w:r>
      <w:r>
        <w:rPr>
          <w:rFonts w:ascii="Tahoma" w:eastAsia="Times New Roman" w:hAnsi="Tahoma"/>
          <w:sz w:val="20"/>
          <w:szCs w:val="24"/>
        </w:rPr>
        <w:t>eventuali modifiche a tali informazioni avvenute nel corso del sub-contratto.</w:t>
      </w:r>
      <w:r>
        <w:rPr>
          <w:rFonts w:ascii="Tahoma" w:eastAsia="Times New Roman" w:hAnsi="Tahoma"/>
          <w:b/>
          <w:sz w:val="20"/>
          <w:szCs w:val="24"/>
        </w:rPr>
        <w:t xml:space="preserve"> </w:t>
      </w:r>
      <w:r>
        <w:rPr>
          <w:rFonts w:ascii="Tahoma" w:eastAsia="Times New Roman" w:hAnsi="Tahoma"/>
          <w:sz w:val="20"/>
          <w:szCs w:val="24"/>
        </w:rPr>
        <w:t>È</w:t>
      </w:r>
      <w:r>
        <w:rPr>
          <w:rFonts w:ascii="Tahoma" w:eastAsia="Times New Roman" w:hAnsi="Tahoma"/>
          <w:b/>
          <w:sz w:val="20"/>
          <w:szCs w:val="24"/>
        </w:rPr>
        <w:t xml:space="preserve"> </w:t>
      </w:r>
      <w:r>
        <w:rPr>
          <w:rFonts w:ascii="Tahoma" w:eastAsia="Times New Roman" w:hAnsi="Tahoma"/>
          <w:sz w:val="20"/>
          <w:szCs w:val="24"/>
        </w:rPr>
        <w:t xml:space="preserve">altresì fatto obbligo di acquisire nuova autorizzazione integrativa qualora l’oggetto del subappalto subisca variazioni e l’importo dello stesso sia incrementato nonché siano variati i requisiti di qualificazione del subappaltatore di cui all'articolo 105 comma 7, del d.lgs. n. 50/2016 e </w:t>
      </w:r>
      <w:proofErr w:type="spellStart"/>
      <w:r>
        <w:rPr>
          <w:rFonts w:ascii="Tahoma" w:eastAsia="Times New Roman" w:hAnsi="Tahoma"/>
          <w:sz w:val="20"/>
          <w:szCs w:val="24"/>
        </w:rPr>
        <w:t>s.m.i.</w:t>
      </w:r>
      <w:proofErr w:type="spellEnd"/>
    </w:p>
    <w:p w14:paraId="2D4B8961"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 soggetti affidatari dei contratti possono affidare in subappalto le opere o i lavori, compresi nel contratto, previa autorizzazione della stazione appaltante purché:</w:t>
      </w:r>
    </w:p>
    <w:p w14:paraId="45E20AB5" w14:textId="77777777" w:rsidR="000B6E98" w:rsidRDefault="008A7A17">
      <w:pPr>
        <w:spacing w:after="0"/>
        <w:ind w:left="710" w:hanging="284"/>
        <w:rPr>
          <w:rFonts w:ascii="Tahoma" w:eastAsia="Times New Roman" w:hAnsi="Tahoma"/>
          <w:sz w:val="20"/>
          <w:szCs w:val="24"/>
        </w:rPr>
      </w:pPr>
      <w:r>
        <w:rPr>
          <w:rFonts w:ascii="Tahoma" w:eastAsia="Times New Roman" w:hAnsi="Tahoma"/>
          <w:sz w:val="20"/>
          <w:szCs w:val="24"/>
        </w:rPr>
        <w:t>a) l'affidatario del subappalto non abbia partecipato alla procedura per l'affidamento dell'appalto;</w:t>
      </w:r>
    </w:p>
    <w:p w14:paraId="0BC18BA3" w14:textId="77777777" w:rsidR="000B6E98" w:rsidRDefault="008A7A17">
      <w:pPr>
        <w:spacing w:after="0"/>
        <w:ind w:left="710" w:hanging="284"/>
        <w:rPr>
          <w:rFonts w:ascii="Tahoma" w:eastAsia="Times New Roman" w:hAnsi="Tahoma"/>
          <w:sz w:val="20"/>
          <w:szCs w:val="24"/>
        </w:rPr>
      </w:pPr>
      <w:r>
        <w:rPr>
          <w:rFonts w:ascii="Tahoma" w:eastAsia="Times New Roman" w:hAnsi="Tahoma"/>
          <w:sz w:val="20"/>
          <w:szCs w:val="24"/>
        </w:rPr>
        <w:t>b) il subappaltatore sia qualificato nella relativa categoria;</w:t>
      </w:r>
    </w:p>
    <w:p w14:paraId="1B16A371" w14:textId="77777777" w:rsidR="000B6E98" w:rsidRDefault="008A7A17">
      <w:pPr>
        <w:spacing w:after="0"/>
        <w:ind w:left="710" w:hanging="284"/>
        <w:rPr>
          <w:rFonts w:ascii="Tahoma" w:eastAsia="Times New Roman" w:hAnsi="Tahoma"/>
          <w:sz w:val="20"/>
          <w:szCs w:val="24"/>
        </w:rPr>
      </w:pPr>
      <w:r>
        <w:rPr>
          <w:rFonts w:ascii="Tahoma" w:eastAsia="Times New Roman" w:hAnsi="Tahoma"/>
          <w:sz w:val="20"/>
          <w:szCs w:val="24"/>
        </w:rPr>
        <w:t>c) all'atto dell'offerta siano stati indicati i lavori o le parti di opere ovvero i servizi e le forniture o parti di servizi e forniture che si intende subappaltare;</w:t>
      </w:r>
    </w:p>
    <w:p w14:paraId="4E88D481" w14:textId="77777777" w:rsidR="000B6E98" w:rsidRPr="00AB093B" w:rsidRDefault="008A7A17">
      <w:pPr>
        <w:ind w:left="710" w:hanging="284"/>
        <w:rPr>
          <w:rFonts w:ascii="Tahoma" w:eastAsia="Times New Roman" w:hAnsi="Tahoma"/>
          <w:sz w:val="20"/>
          <w:szCs w:val="24"/>
        </w:rPr>
      </w:pPr>
      <w:r w:rsidRPr="00AB093B">
        <w:rPr>
          <w:rFonts w:ascii="Tahoma" w:eastAsia="Times New Roman" w:hAnsi="Tahoma"/>
          <w:sz w:val="20"/>
          <w:szCs w:val="24"/>
        </w:rPr>
        <w:t>d) il concorrente dimostri l'assenza in capo ai subappaltatori dei motivi di esclusione di cui all'articolo 80.</w:t>
      </w:r>
    </w:p>
    <w:p w14:paraId="724D4A60" w14:textId="77777777" w:rsidR="000B6E98" w:rsidRPr="00AB093B" w:rsidRDefault="008A7A17">
      <w:pPr>
        <w:ind w:firstLine="284"/>
        <w:rPr>
          <w:rFonts w:ascii="Tahoma" w:eastAsia="Times New Roman" w:hAnsi="Tahoma"/>
          <w:b/>
          <w:sz w:val="20"/>
          <w:szCs w:val="24"/>
        </w:rPr>
      </w:pPr>
      <w:r w:rsidRPr="00AB093B">
        <w:rPr>
          <w:rFonts w:ascii="Tahoma" w:eastAsia="Times New Roman" w:hAnsi="Tahoma"/>
          <w:sz w:val="20"/>
          <w:szCs w:val="24"/>
        </w:rPr>
        <w:t xml:space="preserve">La stazione appaltante non pone soglie all'affidatario per l'eventuale subappalto relativo all'esecuzione di opere per le quali sono necessari lavori o componenti di notevole contenuto tecnologico o di rilevante complessità tecnica, quali strutture, impianti e opere speciali di cui all’articolo 89, comma 11 del d.lgs. n. 50/2016 e </w:t>
      </w:r>
      <w:proofErr w:type="spellStart"/>
      <w:proofErr w:type="gramStart"/>
      <w:r w:rsidRPr="00AB093B">
        <w:rPr>
          <w:rFonts w:ascii="Tahoma" w:eastAsia="Times New Roman" w:hAnsi="Tahoma"/>
          <w:sz w:val="20"/>
          <w:szCs w:val="24"/>
        </w:rPr>
        <w:t>s.m.i.</w:t>
      </w:r>
      <w:proofErr w:type="spellEnd"/>
      <w:r w:rsidRPr="00AB093B">
        <w:rPr>
          <w:rFonts w:ascii="Tahoma" w:eastAsia="Times New Roman" w:hAnsi="Tahoma"/>
          <w:b/>
          <w:sz w:val="20"/>
          <w:szCs w:val="24"/>
          <w:vertAlign w:val="superscript"/>
        </w:rPr>
        <w:t>(</w:t>
      </w:r>
      <w:proofErr w:type="gramEnd"/>
      <w:r w:rsidRPr="00AB093B">
        <w:rPr>
          <w:rFonts w:ascii="Tahoma" w:eastAsia="Times New Roman" w:hAnsi="Tahoma"/>
          <w:b/>
          <w:sz w:val="20"/>
          <w:szCs w:val="24"/>
          <w:vertAlign w:val="superscript"/>
        </w:rPr>
        <w:t>4)</w:t>
      </w:r>
    </w:p>
    <w:p w14:paraId="1A2B4C33" w14:textId="78BF0223"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Si considerano strutture, impianti e opere speciali ai sensi del citato articolo 89, comma 11, del codice, le opere corrispondenti alle categorie individuate dall'articolo 2 del </w:t>
      </w:r>
      <w:proofErr w:type="spellStart"/>
      <w:r>
        <w:rPr>
          <w:rFonts w:ascii="Tahoma" w:eastAsia="Times New Roman" w:hAnsi="Tahoma"/>
          <w:sz w:val="20"/>
          <w:szCs w:val="24"/>
        </w:rPr>
        <w:t>d.m.</w:t>
      </w:r>
      <w:proofErr w:type="spellEnd"/>
      <w:r>
        <w:rPr>
          <w:rFonts w:ascii="Tahoma" w:eastAsia="Times New Roman" w:hAnsi="Tahoma"/>
          <w:sz w:val="20"/>
          <w:szCs w:val="24"/>
        </w:rPr>
        <w:t xml:space="preserve"> 10 novembre 2016, n. 248 con l'acronimo OG o OS di seguito elencate:</w:t>
      </w:r>
    </w:p>
    <w:p w14:paraId="0A16F5CE"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OG 11 - impianti tecnologici;</w:t>
      </w:r>
    </w:p>
    <w:p w14:paraId="2DE098EF"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2-A - superfici decorate di beni immobili del patrimonio culturale e beni culturali mobili di interesse storico, artistico, archeologico, etnoantropologico;</w:t>
      </w:r>
    </w:p>
    <w:p w14:paraId="1C57CC0A"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2-B - beni culturali i mobili di interesse archivi stico e librario;</w:t>
      </w:r>
    </w:p>
    <w:p w14:paraId="6F3B4C7C"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4 - impianti elettromeccanici trasportatori;</w:t>
      </w:r>
    </w:p>
    <w:p w14:paraId="50F21B5F"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11 - apparecchiature strutturali speciali;</w:t>
      </w:r>
    </w:p>
    <w:p w14:paraId="7310DBC2"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12-A - barriere stradali di sicurezza;</w:t>
      </w:r>
    </w:p>
    <w:p w14:paraId="68CB8FEB"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 xml:space="preserve">OS 12-B - barriere paramassi, </w:t>
      </w:r>
      <w:proofErr w:type="spellStart"/>
      <w:r>
        <w:rPr>
          <w:rFonts w:ascii="Tahoma" w:eastAsia="Times New Roman" w:hAnsi="Tahoma"/>
          <w:sz w:val="20"/>
          <w:szCs w:val="24"/>
        </w:rPr>
        <w:t>fermaneve</w:t>
      </w:r>
      <w:proofErr w:type="spellEnd"/>
      <w:r>
        <w:rPr>
          <w:rFonts w:ascii="Tahoma" w:eastAsia="Times New Roman" w:hAnsi="Tahoma"/>
          <w:sz w:val="20"/>
          <w:szCs w:val="24"/>
        </w:rPr>
        <w:t xml:space="preserve"> e simili;</w:t>
      </w:r>
    </w:p>
    <w:p w14:paraId="645D20AE"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13 - strutture prefabbricate in cemento armato;</w:t>
      </w:r>
    </w:p>
    <w:p w14:paraId="63BBAC25"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14 - impianti di smaltimento e recupero di rifiuti;</w:t>
      </w:r>
    </w:p>
    <w:p w14:paraId="31C7E7BA"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18 -A - componenti strutturali in acciaio;</w:t>
      </w:r>
    </w:p>
    <w:p w14:paraId="5D118DB4"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18 -B - componenti per facciate continue;</w:t>
      </w:r>
    </w:p>
    <w:p w14:paraId="05762902"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21 - opere strutturali speciali;</w:t>
      </w:r>
    </w:p>
    <w:p w14:paraId="210FD372"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25 - scavi archeologici;</w:t>
      </w:r>
    </w:p>
    <w:p w14:paraId="772F8C36"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30 - impianti interni elettrici, telefonici, radiotelefonici e televisivi;</w:t>
      </w:r>
    </w:p>
    <w:p w14:paraId="7622DE9D" w14:textId="77777777" w:rsidR="000B6E98" w:rsidRDefault="008A7A17" w:rsidP="008A7A17">
      <w:pPr>
        <w:numPr>
          <w:ilvl w:val="1"/>
          <w:numId w:val="4"/>
        </w:numPr>
        <w:spacing w:after="0"/>
        <w:ind w:left="850" w:hanging="425"/>
        <w:jc w:val="left"/>
        <w:rPr>
          <w:rFonts w:ascii="Tahoma" w:eastAsia="Times New Roman" w:hAnsi="Tahoma"/>
          <w:sz w:val="20"/>
          <w:szCs w:val="24"/>
        </w:rPr>
      </w:pPr>
      <w:r>
        <w:rPr>
          <w:rFonts w:ascii="Tahoma" w:eastAsia="Times New Roman" w:hAnsi="Tahoma"/>
          <w:sz w:val="20"/>
          <w:szCs w:val="24"/>
        </w:rPr>
        <w:t>OS 32 - strutture in legno.</w:t>
      </w:r>
    </w:p>
    <w:p w14:paraId="32C31590" w14:textId="77777777" w:rsidR="000B6E98" w:rsidRDefault="000B6E98">
      <w:pPr>
        <w:spacing w:after="0"/>
        <w:ind w:firstLine="284"/>
        <w:rPr>
          <w:rFonts w:ascii="Tahoma" w:eastAsia="Times New Roman" w:hAnsi="Tahoma"/>
          <w:sz w:val="20"/>
          <w:szCs w:val="24"/>
        </w:rPr>
      </w:pPr>
    </w:p>
    <w:p w14:paraId="011EF7C7" w14:textId="77777777" w:rsidR="000B6E98" w:rsidRPr="00AB093B" w:rsidRDefault="008A7A17">
      <w:pPr>
        <w:ind w:firstLine="284"/>
        <w:rPr>
          <w:rFonts w:ascii="Tahoma" w:eastAsia="Times New Roman" w:hAnsi="Tahoma"/>
          <w:sz w:val="20"/>
          <w:szCs w:val="24"/>
        </w:rPr>
      </w:pPr>
      <w:r w:rsidRPr="00AB093B">
        <w:rPr>
          <w:rFonts w:ascii="Tahoma" w:eastAsia="Times New Roman" w:hAnsi="Tahoma"/>
          <w:sz w:val="20"/>
          <w:szCs w:val="24"/>
        </w:rPr>
        <w:t xml:space="preserve">Non sarà necessaria l'indicazione in fase di offerta della terna di subappaltatori ai sensi dell'art. 105 comma 6 del d.lgs. 50/2016 e </w:t>
      </w:r>
      <w:proofErr w:type="spellStart"/>
      <w:proofErr w:type="gramStart"/>
      <w:r w:rsidRPr="00AB093B">
        <w:rPr>
          <w:rFonts w:ascii="Tahoma" w:eastAsia="Times New Roman" w:hAnsi="Tahoma"/>
          <w:sz w:val="20"/>
          <w:szCs w:val="24"/>
        </w:rPr>
        <w:t>s.m.i.</w:t>
      </w:r>
      <w:proofErr w:type="spellEnd"/>
      <w:r w:rsidRPr="00AB093B">
        <w:rPr>
          <w:rFonts w:ascii="Tahoma" w:eastAsia="Times New Roman" w:hAnsi="Tahoma"/>
          <w:b/>
          <w:sz w:val="20"/>
          <w:szCs w:val="24"/>
          <w:vertAlign w:val="superscript"/>
        </w:rPr>
        <w:t>(</w:t>
      </w:r>
      <w:proofErr w:type="gramEnd"/>
      <w:r w:rsidRPr="00AB093B">
        <w:rPr>
          <w:rFonts w:ascii="Tahoma" w:eastAsia="Times New Roman" w:hAnsi="Tahoma"/>
          <w:b/>
          <w:sz w:val="20"/>
          <w:szCs w:val="24"/>
          <w:vertAlign w:val="superscript"/>
        </w:rPr>
        <w:t xml:space="preserve">5)  </w:t>
      </w:r>
      <w:r w:rsidRPr="00AB093B">
        <w:rPr>
          <w:rFonts w:ascii="Tahoma" w:eastAsia="Times New Roman" w:hAnsi="Tahoma"/>
          <w:sz w:val="20"/>
          <w:szCs w:val="24"/>
        </w:rPr>
        <w:t>L'esecuzione delle prestazioni affidate in subappalto non può formare oggetto di ulteriore subappalto.</w:t>
      </w:r>
    </w:p>
    <w:p w14:paraId="1C144531" w14:textId="60E28CAE" w:rsidR="000B6E98" w:rsidRPr="00AB093B" w:rsidRDefault="008A7A17">
      <w:pPr>
        <w:ind w:firstLine="284"/>
        <w:rPr>
          <w:rFonts w:ascii="Tahoma" w:eastAsia="Times New Roman" w:hAnsi="Tahoma"/>
          <w:sz w:val="20"/>
          <w:szCs w:val="24"/>
        </w:rPr>
      </w:pPr>
      <w:r w:rsidRPr="00AB093B">
        <w:rPr>
          <w:rFonts w:ascii="Tahoma" w:eastAsia="Times New Roman" w:hAnsi="Tahoma"/>
          <w:sz w:val="20"/>
          <w:szCs w:val="24"/>
        </w:rPr>
        <w:t xml:space="preserve">L'affidatario deposita il contratto di subappalto presso la stazione appaltante almeno venti giorni prima della data di effettivo inizio dell'esecuzione delle relative prestazioni. Al momento del deposito del contratto di subappalto presso la stazione appaltante, l'affidatario trasmette altresì la dichiarazione del subappaltatore attestante l'assenza dei motivi di esclusione di cui all'articolo 80 e il possesso dei requisiti speciali di cui agli articoli 83 e 84. La stazione appaltante verifica la dichiarazione tramite la Banca dati nazionale di cui all'articolo 81. Il contratto di subappalto, corredato della documentazione tecnica, amministrativa e grafica, direttamente derivata dagli atti del contratto affidato, indicherà puntualmente l’ambito operativo del subappalto sia in termini prestazionali che </w:t>
      </w:r>
      <w:proofErr w:type="gramStart"/>
      <w:r w:rsidRPr="00AB093B">
        <w:rPr>
          <w:rFonts w:ascii="Tahoma" w:eastAsia="Times New Roman" w:hAnsi="Tahoma"/>
          <w:sz w:val="20"/>
          <w:szCs w:val="24"/>
        </w:rPr>
        <w:t>economici.</w:t>
      </w:r>
      <w:r w:rsidRPr="00AB093B">
        <w:rPr>
          <w:rFonts w:ascii="Tahoma" w:eastAsia="Times New Roman" w:hAnsi="Tahoma"/>
          <w:b/>
          <w:sz w:val="20"/>
          <w:szCs w:val="24"/>
          <w:vertAlign w:val="superscript"/>
        </w:rPr>
        <w:t>(</w:t>
      </w:r>
      <w:proofErr w:type="gramEnd"/>
      <w:r w:rsidRPr="00AB093B">
        <w:rPr>
          <w:rFonts w:ascii="Tahoma" w:eastAsia="Times New Roman" w:hAnsi="Tahoma"/>
          <w:b/>
          <w:sz w:val="20"/>
          <w:szCs w:val="24"/>
          <w:vertAlign w:val="superscript"/>
        </w:rPr>
        <w:t>6)</w:t>
      </w:r>
    </w:p>
    <w:p w14:paraId="50AF2F9C" w14:textId="2D5A5600" w:rsidR="000B6E98" w:rsidRPr="00AB093B" w:rsidRDefault="008A7A17">
      <w:pPr>
        <w:ind w:firstLine="284"/>
        <w:rPr>
          <w:rFonts w:ascii="Tahoma" w:eastAsia="Times New Roman" w:hAnsi="Tahoma"/>
          <w:sz w:val="20"/>
          <w:szCs w:val="24"/>
        </w:rPr>
      </w:pPr>
      <w:r w:rsidRPr="00AB093B">
        <w:rPr>
          <w:rFonts w:ascii="Tahoma" w:eastAsia="Times New Roman" w:hAnsi="Tahoma"/>
          <w:sz w:val="20"/>
          <w:szCs w:val="24"/>
        </w:rPr>
        <w:t xml:space="preserve">Il contraente principale e il subappaltatore sono responsabili in solido nei confronti della stazione appaltante in relazione alle prestazioni oggetto del contratto di </w:t>
      </w:r>
      <w:proofErr w:type="gramStart"/>
      <w:r w:rsidRPr="00AB093B">
        <w:rPr>
          <w:rFonts w:ascii="Tahoma" w:eastAsia="Times New Roman" w:hAnsi="Tahoma"/>
          <w:sz w:val="20"/>
          <w:szCs w:val="24"/>
        </w:rPr>
        <w:t>subappalto.</w:t>
      </w:r>
      <w:r w:rsidRPr="00AB093B">
        <w:rPr>
          <w:rFonts w:ascii="Tahoma" w:eastAsia="Times New Roman" w:hAnsi="Tahoma"/>
          <w:b/>
          <w:sz w:val="20"/>
          <w:szCs w:val="24"/>
          <w:vertAlign w:val="superscript"/>
        </w:rPr>
        <w:t>(</w:t>
      </w:r>
      <w:proofErr w:type="gramEnd"/>
      <w:r w:rsidRPr="00AB093B">
        <w:rPr>
          <w:rFonts w:ascii="Tahoma" w:eastAsia="Times New Roman" w:hAnsi="Tahoma"/>
          <w:b/>
          <w:sz w:val="20"/>
          <w:szCs w:val="24"/>
          <w:vertAlign w:val="superscript"/>
        </w:rPr>
        <w:t>7)</w:t>
      </w:r>
      <w:r w:rsidRPr="00AB093B">
        <w:rPr>
          <w:rFonts w:ascii="Tahoma" w:eastAsia="Times New Roman" w:hAnsi="Tahoma"/>
          <w:sz w:val="20"/>
          <w:szCs w:val="24"/>
        </w:rPr>
        <w:t xml:space="preserve"> </w:t>
      </w:r>
    </w:p>
    <w:p w14:paraId="6BC24B99" w14:textId="77777777" w:rsidR="000B6E98" w:rsidRDefault="008A7A17">
      <w:pPr>
        <w:ind w:firstLine="284"/>
        <w:rPr>
          <w:rFonts w:ascii="Tahoma" w:eastAsia="Times New Roman" w:hAnsi="Tahoma"/>
          <w:sz w:val="20"/>
          <w:szCs w:val="24"/>
        </w:rPr>
      </w:pPr>
      <w:r>
        <w:rPr>
          <w:rFonts w:ascii="Tahoma" w:eastAsia="Times New Roman" w:hAnsi="Tahoma"/>
          <w:sz w:val="20"/>
          <w:szCs w:val="24"/>
        </w:rPr>
        <w:lastRenderedPageBreak/>
        <w:t xml:space="preserve">L’aggiudicatario è responsabile in solido con il subappaltatore in relazione agli obblighi retributivi e contributivi tranne nel caso in cui la stazione appaltante corrisponde direttamente al subappaltatore l'importo dovuto per le prestazioni dagli stessi, </w:t>
      </w:r>
      <w:r>
        <w:rPr>
          <w:rFonts w:ascii="Tahoma" w:eastAsia="Times New Roman" w:hAnsi="Tahoma"/>
          <w:color w:val="000000"/>
          <w:sz w:val="20"/>
          <w:szCs w:val="24"/>
        </w:rPr>
        <w:t>quando il subappaltatore o il cottimista è una microimpresa o piccola impresa ovvero su richiesta del subappaltatore e la natura del contratto lo consente.</w:t>
      </w:r>
      <w:r>
        <w:rPr>
          <w:rFonts w:ascii="Tahoma" w:eastAsia="Times New Roman" w:hAnsi="Tahoma"/>
          <w:sz w:val="20"/>
          <w:szCs w:val="24"/>
        </w:rPr>
        <w:t xml:space="preserve"> Il pagamento diretto del subappaltatore da parte della stazione appaltante avviene anche in caso di inadempimento da parte dell'appaltatore. </w:t>
      </w:r>
    </w:p>
    <w:p w14:paraId="17DB1F86" w14:textId="5263AF1D" w:rsidR="000B6E98" w:rsidRPr="00AB093B" w:rsidRDefault="008A7A17">
      <w:pPr>
        <w:spacing w:after="0"/>
        <w:ind w:firstLine="284"/>
        <w:rPr>
          <w:rFonts w:ascii="Tahoma" w:eastAsia="Times New Roman" w:hAnsi="Tahoma"/>
          <w:sz w:val="20"/>
          <w:szCs w:val="24"/>
        </w:rPr>
      </w:pPr>
      <w:r w:rsidRPr="00AB093B">
        <w:rPr>
          <w:rFonts w:ascii="Tahoma" w:eastAsia="Times New Roman" w:hAnsi="Tahoma"/>
          <w:sz w:val="20"/>
          <w:szCs w:val="24"/>
        </w:rPr>
        <w:t xml:space="preserve">Il subappaltatore, per le prestazioni affidate in subappalto, deve garantire gli stessi standard qualitativi e prestazionali previsti nel contratto di appalto. Il subappaltatore riconosce, altresì,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L'affidatario corrisponde i costi della sicurezza e della manodopera, relativi alle prestazioni affidate in subappalto, alle </w:t>
      </w:r>
      <w:proofErr w:type="gramStart"/>
      <w:r w:rsidRPr="00AB093B">
        <w:rPr>
          <w:rFonts w:ascii="Tahoma" w:eastAsia="Times New Roman" w:hAnsi="Tahoma"/>
          <w:sz w:val="20"/>
          <w:szCs w:val="24"/>
        </w:rPr>
        <w:t>imprese  subappaltatrici</w:t>
      </w:r>
      <w:proofErr w:type="gramEnd"/>
      <w:r w:rsidRPr="00AB093B">
        <w:rPr>
          <w:rFonts w:ascii="Tahoma" w:eastAsia="Times New Roman" w:hAnsi="Tahoma"/>
          <w:sz w:val="20"/>
          <w:szCs w:val="24"/>
        </w:rPr>
        <w:t xml:space="preserve">  senza  alcun  ribasso;  la stazione appaltante, sentito il direttore dei lavori, il coordinatore della  sicurezza  in  fase  di  esecuzione, ovvero il direttore dell'esecuzione, provvede alla verifica  dell'effettiva  applicazione della   presente   disposizione. L'affidatario è solidalmente responsabile con il subappaltatore </w:t>
      </w:r>
      <w:proofErr w:type="gramStart"/>
      <w:r w:rsidRPr="00AB093B">
        <w:rPr>
          <w:rFonts w:ascii="Tahoma" w:eastAsia="Times New Roman" w:hAnsi="Tahoma"/>
          <w:sz w:val="20"/>
          <w:szCs w:val="24"/>
        </w:rPr>
        <w:t>degli  adempimenti</w:t>
      </w:r>
      <w:proofErr w:type="gramEnd"/>
      <w:r w:rsidRPr="00AB093B">
        <w:rPr>
          <w:rFonts w:ascii="Tahoma" w:eastAsia="Times New Roman" w:hAnsi="Tahoma"/>
          <w:sz w:val="20"/>
          <w:szCs w:val="24"/>
        </w:rPr>
        <w:t>, da parte di questo ultimo, degli obblighi di sicurezza previsti  dalla  normativa vigente.</w:t>
      </w:r>
      <w:r w:rsidRPr="00AB093B">
        <w:rPr>
          <w:rFonts w:ascii="Tahoma" w:eastAsia="Times New Roman" w:hAnsi="Tahoma"/>
          <w:b/>
          <w:sz w:val="20"/>
          <w:szCs w:val="24"/>
          <w:vertAlign w:val="superscript"/>
        </w:rPr>
        <w:t>(8)</w:t>
      </w:r>
    </w:p>
    <w:p w14:paraId="4C5523BB" w14:textId="77777777" w:rsidR="000B6E98" w:rsidRDefault="008A7A17">
      <w:pPr>
        <w:spacing w:before="120"/>
        <w:ind w:firstLine="284"/>
        <w:rPr>
          <w:rFonts w:ascii="Tahoma" w:eastAsia="Times New Roman" w:hAnsi="Tahoma"/>
          <w:sz w:val="20"/>
          <w:szCs w:val="24"/>
        </w:rPr>
      </w:pPr>
      <w:r w:rsidRPr="00AB093B">
        <w:rPr>
          <w:rFonts w:ascii="Tahoma" w:eastAsia="Times New Roman" w:hAnsi="Tahoma"/>
          <w:sz w:val="20"/>
          <w:szCs w:val="24"/>
        </w:rPr>
        <w:t xml:space="preserve">L'affidatario e, per suo tramite, i subappaltatori, trasmettono alla stazione appaltante prima dell'inizio dei </w:t>
      </w:r>
      <w:r>
        <w:rPr>
          <w:rFonts w:ascii="Tahoma" w:eastAsia="Times New Roman" w:hAnsi="Tahoma"/>
          <w:sz w:val="20"/>
          <w:szCs w:val="24"/>
        </w:rPr>
        <w:t xml:space="preserve">lavori la documentazione di avvenuta denunzia agli enti previdenziali, inclusa la Cassa edile, ove presente, assicurativi e antinfortunistici, nonché copia dei piani di sicurezza. Ai fini del pagamento delle prestazioni rese nell'ambito dell'appalto o del subappalto, la stazione appaltante acquisisce il documento unico di regolarità contributiva in corso di validità relativo all'affidatario e a tutti i subappaltatori. Al fine di contrastare il fenomeno del lavoro sommerso </w:t>
      </w:r>
      <w:proofErr w:type="spellStart"/>
      <w:r>
        <w:rPr>
          <w:rFonts w:ascii="Tahoma" w:eastAsia="Times New Roman" w:hAnsi="Tahoma"/>
          <w:sz w:val="20"/>
          <w:szCs w:val="24"/>
        </w:rPr>
        <w:t>ed</w:t>
      </w:r>
      <w:proofErr w:type="spellEnd"/>
      <w:r>
        <w:rPr>
          <w:rFonts w:ascii="Tahoma" w:eastAsia="Times New Roman" w:hAnsi="Tahoma"/>
          <w:sz w:val="20"/>
          <w:szCs w:val="24"/>
        </w:rPr>
        <w:t xml:space="preserve"> irregolare, il documento unico di regolarità contributiva sarà comprensivo della verifica della congruità della incidenza della mano d'opera relativa allo specifico contratto affidato. Per i contratti relativi a lavori, in caso di ritardo nel pagamento delle retribuzioni dovute al personale dipendente dell'esecutore o del subappaltatore o dei soggetti titolari di subappalti e cottimi, nonché in caso di inadempienza contributiva risultante dal documento unico di regolarità contributiva, si applicheranno le disposizioni di cui all’articolo 30, commi 5 e 6 del d.lgs. n. 50/2016 e </w:t>
      </w:r>
      <w:proofErr w:type="spellStart"/>
      <w:r>
        <w:rPr>
          <w:rFonts w:ascii="Tahoma" w:eastAsia="Times New Roman" w:hAnsi="Tahoma"/>
          <w:sz w:val="20"/>
          <w:szCs w:val="24"/>
        </w:rPr>
        <w:t>s.m.i.</w:t>
      </w:r>
      <w:proofErr w:type="spellEnd"/>
    </w:p>
    <w:p w14:paraId="7948A4C8" w14:textId="77777777" w:rsidR="000B6E98" w:rsidRDefault="008A7A17">
      <w:pPr>
        <w:spacing w:before="120"/>
        <w:ind w:firstLine="284"/>
        <w:rPr>
          <w:rFonts w:ascii="Tahoma" w:eastAsia="Times New Roman" w:hAnsi="Tahoma"/>
          <w:sz w:val="20"/>
          <w:szCs w:val="24"/>
        </w:rPr>
      </w:pPr>
      <w:r>
        <w:rPr>
          <w:rFonts w:ascii="Tahoma" w:eastAsia="Times New Roman" w:hAnsi="Tahoma"/>
          <w:sz w:val="20"/>
          <w:szCs w:val="24"/>
        </w:rPr>
        <w:t>Nei cartelli esposti all'esterno del cantiere devono essere indicati anche i nominativi di tutte le imprese subappaltatrici.</w:t>
      </w:r>
    </w:p>
    <w:p w14:paraId="72E6836A" w14:textId="77777777" w:rsidR="000B6E98" w:rsidRDefault="008A7A17">
      <w:pPr>
        <w:ind w:firstLine="284"/>
        <w:rPr>
          <w:rFonts w:ascii="Tahoma" w:eastAsia="Times New Roman" w:hAnsi="Tahoma"/>
          <w:sz w:val="20"/>
          <w:szCs w:val="24"/>
        </w:rPr>
      </w:pPr>
      <w:r>
        <w:rPr>
          <w:rFonts w:ascii="Tahoma" w:eastAsia="Times New Roman" w:hAnsi="Tahoma"/>
          <w:sz w:val="20"/>
          <w:szCs w:val="24"/>
        </w:rPr>
        <w:t>L'affidatario che si avvale del subappalto o del cottimo deve allegare alla copia autentica del contratto la dichiarazione circa la sussistenza o meno di eventuali forme di controllo o di collegamento a norma dell'articolo 2359 del codice civile con il titolare del subappalto o del cottimo. Analoga dichiarazione deve essere effettuata da ciascuno dei soggetti partecipanti nel caso di raggruppamento temporaneo, società o consorzio. La stazione appaltante provvede al rilascio dell'autorizzazione al subappalto entro trenta giorni dalla relativa richiesta; tale termine può essere prorogato una sola volta, ove ricorrano giustificati motivi. Trascorso tale termine senza che si sia provveduto, l'autorizzazione si intende concessa. Per i subappalti o cottimi di importo inferiore al 2 per cento dell'importo delle prestazioni affidate o di importo inferiore a 100.000 euro, i termini per il rilascio dell'autorizzazione da parte della stazione appaltante sono ridotti della metà.</w:t>
      </w:r>
    </w:p>
    <w:p w14:paraId="104C75F8" w14:textId="77777777" w:rsidR="000B6E98" w:rsidRDefault="008A7A17">
      <w:pPr>
        <w:ind w:firstLine="284"/>
        <w:rPr>
          <w:rFonts w:ascii="Tahoma" w:eastAsia="Times New Roman" w:hAnsi="Tahoma"/>
          <w:sz w:val="20"/>
          <w:szCs w:val="24"/>
        </w:rPr>
      </w:pPr>
      <w:r>
        <w:rPr>
          <w:rFonts w:ascii="Tahoma" w:eastAsia="Times New Roman" w:hAnsi="Tahoma"/>
          <w:sz w:val="20"/>
          <w:szCs w:val="24"/>
        </w:rPr>
        <w:t>Ai sensi degli articoli 18, comma 1, lettera u), 20, comma 3 e 26, comma 8, del d.lgs. n. 81/2008, nonché dell’articolo 5, comma 1, della Legge n. 136/2010, l’appaltatore è obbligato a fornire a ciascun soggetto occupato in cantiere una apposita tessera di riconoscimento, impermeabile ed esposta in forma visibile, corredata di fotografia, contenente le generalità del lavoratore, i dati identificativi del datore di lavoro e la data di assunzione del lavoratore. L’appaltatore risponde dello stesso obbligo anche per i lavoratori dipendenti dai subappaltatori autorizzati che deve riportare gli estremi dell’autorizzazione al subappalto. Tale obbligo grava anche in capo ai lavoratori autonomi che esercitano direttamente la propria attività nel medesimo luogo di lavoro, i quali sono tenuti a provvedervi per proprio conto.</w:t>
      </w:r>
    </w:p>
    <w:p w14:paraId="60565354"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I piani di sicurezza di cui al decreto legislativo del 9 aprile 2008, n.81 saranno messi a disposizione delle autorità competenti preposte alle verifiche ispettive di controllo dei cantieri. L'affidatario sarà tenuto a curare il coordinamento di tutti i subappaltatori operanti nel cantiere, al fine di rendere gli specifici piani redatti dai singoli subappaltatori compatibili tra loro e coerenti con il piano presentato dall'affidatario. Nell'ipotesi di raggruppamento temporaneo o di consorzio, detto obbligo incombe al mandatario. Il direttore tecnico di cantiere è responsabile del rispetto del piano da parte di tutte le imprese impegnate nell'esecuzione dei lavori. </w:t>
      </w:r>
      <w:r>
        <w:rPr>
          <w:rFonts w:ascii="Tahoma" w:eastAsia="Times New Roman" w:hAnsi="Tahoma"/>
          <w:color w:val="000000"/>
          <w:sz w:val="20"/>
          <w:szCs w:val="24"/>
        </w:rPr>
        <w:t>Con riferimento ai lavori affidati in subappalto, il direttore dei lavori, con l’ausilio dei direttori operativi e degli ispettori di cantiere, ove nominati, svolge le seguenti funzioni:</w:t>
      </w:r>
    </w:p>
    <w:p w14:paraId="6AC7AC1C" w14:textId="77777777" w:rsidR="000B6E98" w:rsidRDefault="008A7A17">
      <w:pPr>
        <w:spacing w:after="0"/>
        <w:ind w:left="710" w:hanging="284"/>
        <w:rPr>
          <w:rFonts w:ascii="Tahoma" w:eastAsia="Times New Roman" w:hAnsi="Tahoma"/>
          <w:sz w:val="20"/>
          <w:szCs w:val="24"/>
        </w:rPr>
      </w:pPr>
      <w:r>
        <w:rPr>
          <w:rFonts w:ascii="Tahoma" w:eastAsia="Times New Roman" w:hAnsi="Tahoma"/>
          <w:sz w:val="20"/>
          <w:szCs w:val="24"/>
        </w:rPr>
        <w:t xml:space="preserve">a) verifica la presenza in cantiere delle imprese subappaltatrici autorizzate, nonché dei subcontraenti, che </w:t>
      </w:r>
      <w:r>
        <w:rPr>
          <w:rFonts w:ascii="Tahoma" w:eastAsia="Times New Roman" w:hAnsi="Tahoma"/>
          <w:sz w:val="20"/>
          <w:szCs w:val="24"/>
        </w:rPr>
        <w:lastRenderedPageBreak/>
        <w:t>non sono subappaltatori, i cui nominativi sono stati comunicati alla stazione appaltante;</w:t>
      </w:r>
    </w:p>
    <w:p w14:paraId="09228BE9" w14:textId="77777777" w:rsidR="000B6E98" w:rsidRDefault="008A7A17">
      <w:pPr>
        <w:spacing w:after="0"/>
        <w:ind w:left="710" w:hanging="284"/>
        <w:rPr>
          <w:rFonts w:ascii="Tahoma" w:eastAsia="Times New Roman" w:hAnsi="Tahoma"/>
          <w:sz w:val="20"/>
          <w:szCs w:val="24"/>
        </w:rPr>
      </w:pPr>
      <w:r>
        <w:rPr>
          <w:rFonts w:ascii="Tahoma" w:eastAsia="Times New Roman" w:hAnsi="Tahoma"/>
          <w:sz w:val="20"/>
          <w:szCs w:val="24"/>
        </w:rPr>
        <w:t>b) controlla che i subappaltatori e i subcontraenti svolgano effettivamente la parte di prestazioni ad essi affidata nel rispetto della normativa vigente e del contratto stipulato;</w:t>
      </w:r>
    </w:p>
    <w:p w14:paraId="0D5E261D" w14:textId="77777777" w:rsidR="000B6E98" w:rsidRDefault="008A7A17">
      <w:pPr>
        <w:spacing w:after="0"/>
        <w:ind w:left="710" w:hanging="284"/>
        <w:rPr>
          <w:rFonts w:ascii="Tahoma" w:eastAsia="Times New Roman" w:hAnsi="Tahoma"/>
          <w:sz w:val="20"/>
          <w:szCs w:val="24"/>
        </w:rPr>
      </w:pPr>
      <w:r>
        <w:rPr>
          <w:rFonts w:ascii="Tahoma" w:eastAsia="Times New Roman" w:hAnsi="Tahoma"/>
          <w:sz w:val="20"/>
          <w:szCs w:val="24"/>
        </w:rPr>
        <w:t>c) registra le contestazioni dell’esecutore sulla regolarità dei lavori eseguiti dal subappaltatore e, ai fini della sospensione dei pagamenti all’esecutore, determina la misura della quota corrispondente alla prestazione oggetto di contestazione;</w:t>
      </w:r>
    </w:p>
    <w:p w14:paraId="6FE8F069" w14:textId="77777777" w:rsidR="000B6E98" w:rsidRDefault="008A7A17">
      <w:pPr>
        <w:spacing w:after="0"/>
        <w:ind w:left="710" w:hanging="284"/>
        <w:rPr>
          <w:rFonts w:ascii="Tahoma" w:eastAsia="Times New Roman" w:hAnsi="Tahoma"/>
          <w:sz w:val="20"/>
          <w:szCs w:val="24"/>
        </w:rPr>
      </w:pPr>
      <w:r>
        <w:rPr>
          <w:rFonts w:ascii="Tahoma" w:eastAsia="Times New Roman" w:hAnsi="Tahoma"/>
          <w:sz w:val="20"/>
          <w:szCs w:val="24"/>
        </w:rPr>
        <w:t>d) provvede, senza indugio e comunque entro le ventiquattro ore, alla segnalazione al RUP dell’inosservanza, da parte dell’esecutore, delle disposizioni relative al subappalto di cui all’articolo 105 del codice.</w:t>
      </w:r>
    </w:p>
    <w:p w14:paraId="565BF018" w14:textId="7DA20B2C" w:rsidR="000B6E98" w:rsidRDefault="000B6E98">
      <w:pPr>
        <w:spacing w:after="0"/>
        <w:jc w:val="left"/>
        <w:rPr>
          <w:sz w:val="24"/>
          <w:szCs w:val="24"/>
        </w:rPr>
      </w:pPr>
    </w:p>
    <w:p w14:paraId="4C939AA2" w14:textId="77777777" w:rsidR="00AB093B" w:rsidRDefault="00AB093B">
      <w:pPr>
        <w:spacing w:after="0"/>
        <w:jc w:val="left"/>
        <w:rPr>
          <w:sz w:val="24"/>
          <w:szCs w:val="24"/>
        </w:rPr>
      </w:pPr>
    </w:p>
    <w:p w14:paraId="20169D9D" w14:textId="77777777" w:rsidR="000B6E98" w:rsidRDefault="008A7A17">
      <w:pPr>
        <w:widowControl/>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#{GUID_12D841D2-9767-48E8-BC1A-3018D02EEC35|LIVELLO_2|TESTO_Consegna lavori - Inizio e termine per l'esecuzione_END}&amp;</w:t>
      </w:r>
      <w:bookmarkStart w:id="18" w:name="4240"/>
      <w:bookmarkEnd w:id="18"/>
      <w:r>
        <w:rPr>
          <w:rFonts w:ascii="Tahoma" w:eastAsia="Times New Roman" w:hAnsi="Tahoma"/>
          <w:b/>
          <w:sz w:val="20"/>
          <w:szCs w:val="24"/>
        </w:rPr>
        <w:t>Art. 2.10</w:t>
      </w:r>
    </w:p>
    <w:p w14:paraId="1EA96229" w14:textId="77777777" w:rsidR="000B6E98" w:rsidRDefault="008A7A17">
      <w:pPr>
        <w:widowControl/>
        <w:spacing w:after="0"/>
        <w:jc w:val="center"/>
        <w:rPr>
          <w:rFonts w:ascii="Tahoma" w:eastAsia="Times New Roman" w:hAnsi="Tahoma"/>
          <w:b/>
          <w:color w:val="000000"/>
          <w:sz w:val="20"/>
          <w:szCs w:val="24"/>
        </w:rPr>
      </w:pPr>
      <w:r>
        <w:rPr>
          <w:rFonts w:ascii="Tahoma" w:eastAsia="Times New Roman" w:hAnsi="Tahoma"/>
          <w:b/>
          <w:sz w:val="20"/>
          <w:szCs w:val="24"/>
        </w:rPr>
        <w:t>CONSEGNA DEI LAVORI - CONSEGNE PARZI</w:t>
      </w:r>
      <w:r>
        <w:rPr>
          <w:rFonts w:ascii="Tahoma" w:eastAsia="Times New Roman" w:hAnsi="Tahoma"/>
          <w:b/>
          <w:color w:val="000000"/>
          <w:sz w:val="20"/>
          <w:szCs w:val="24"/>
        </w:rPr>
        <w:t xml:space="preserve">ALI </w:t>
      </w:r>
      <w:r>
        <w:rPr>
          <w:rFonts w:ascii="Tahoma" w:eastAsia="Times New Roman" w:hAnsi="Tahoma"/>
          <w:b/>
          <w:sz w:val="20"/>
          <w:szCs w:val="24"/>
        </w:rPr>
        <w:t>- INIZIO E TERMINE PER L'ESECUZIONE</w:t>
      </w:r>
    </w:p>
    <w:p w14:paraId="6327755E" w14:textId="77777777" w:rsidR="000B6E98" w:rsidRDefault="000B6E98">
      <w:pPr>
        <w:widowControl/>
        <w:spacing w:after="0"/>
        <w:rPr>
          <w:rFonts w:ascii="Tahoma" w:eastAsia="Times New Roman" w:hAnsi="Tahoma"/>
          <w:color w:val="000000"/>
          <w:sz w:val="20"/>
          <w:szCs w:val="24"/>
        </w:rPr>
      </w:pPr>
    </w:p>
    <w:p w14:paraId="7BCE7302"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La consegna dei lavori all'esecutore verrà effettuata per le amministrazioni statali, non oltre </w:t>
      </w:r>
      <w:r>
        <w:rPr>
          <w:rFonts w:ascii="Tahoma" w:eastAsia="Times New Roman" w:hAnsi="Tahoma"/>
          <w:b/>
          <w:color w:val="000000"/>
          <w:sz w:val="20"/>
          <w:szCs w:val="24"/>
        </w:rPr>
        <w:t>quarantacinque</w:t>
      </w:r>
      <w:r>
        <w:rPr>
          <w:rFonts w:ascii="Tahoma" w:eastAsia="Times New Roman" w:hAnsi="Tahoma"/>
          <w:color w:val="000000"/>
          <w:sz w:val="20"/>
          <w:szCs w:val="24"/>
        </w:rPr>
        <w:t xml:space="preserve"> giorni dalla data di registrazione alla Corte dei conti del decreto di approvazione del contratto, e non oltre quarantacinque giorni dalla data di approvazione del contratto quando la registrazione della Corte dei conti non è richiesta per legge; per le altre stazioni appaltanti il termine di quarantacinque giorni decorre dalla data di stipula del contratto. </w:t>
      </w:r>
    </w:p>
    <w:p w14:paraId="3A1F0817" w14:textId="77777777" w:rsidR="000B6E98" w:rsidRPr="00AB093B" w:rsidRDefault="008A7A17">
      <w:pPr>
        <w:widowControl/>
        <w:spacing w:after="0"/>
        <w:ind w:firstLine="284"/>
        <w:rPr>
          <w:rFonts w:ascii="Tahoma" w:eastAsia="Times New Roman" w:hAnsi="Tahoma"/>
          <w:sz w:val="20"/>
          <w:szCs w:val="24"/>
        </w:rPr>
      </w:pPr>
      <w:r w:rsidRPr="00AB093B">
        <w:rPr>
          <w:rFonts w:ascii="Tahoma" w:eastAsia="Times New Roman" w:hAnsi="Tahoma"/>
          <w:sz w:val="20"/>
          <w:szCs w:val="24"/>
        </w:rPr>
        <w:t xml:space="preserve">Per le procedure disciplinate dal decreto legislativo 18 aprile 2016, n. 50 avviate a decorrere dalla data di entrata in vigore del decreto-legge 16 luglio 2020, n. 76 e fino alla data </w:t>
      </w:r>
      <w:r w:rsidRPr="00AB093B">
        <w:rPr>
          <w:rFonts w:ascii="Tahoma" w:eastAsia="Times New Roman" w:hAnsi="Tahoma"/>
          <w:b/>
          <w:sz w:val="20"/>
          <w:szCs w:val="24"/>
        </w:rPr>
        <w:t>del 30 giugno 2023</w:t>
      </w:r>
      <w:r w:rsidRPr="00AB093B">
        <w:rPr>
          <w:rFonts w:ascii="Tahoma" w:eastAsia="Times New Roman" w:hAnsi="Tahoma"/>
          <w:sz w:val="20"/>
          <w:szCs w:val="24"/>
        </w:rPr>
        <w:t xml:space="preserve"> è sempre autorizzata la consegna dei lavori </w:t>
      </w:r>
      <w:r w:rsidRPr="00AB093B">
        <w:rPr>
          <w:rFonts w:ascii="Tahoma" w:eastAsia="Times New Roman" w:hAnsi="Tahoma"/>
          <w:b/>
          <w:sz w:val="20"/>
          <w:szCs w:val="24"/>
        </w:rPr>
        <w:t>in via di urgenza</w:t>
      </w:r>
      <w:r w:rsidRPr="00AB093B">
        <w:rPr>
          <w:rFonts w:ascii="Tahoma" w:eastAsia="Times New Roman" w:hAnsi="Tahoma"/>
          <w:sz w:val="20"/>
          <w:szCs w:val="24"/>
        </w:rPr>
        <w:t xml:space="preserve"> e, nel caso di servizi e forniture, l’esecuzione del contratto in via d’urgenza ai sensi dell’articolo 32, comma 8, del citato decreto legislativo, nelle more della verifica dei requisiti di cui all’articolo 80 del medesimo decreto legislativo, nonché dei requisiti di qualificazione previsti per la partecipazione alla procedura.</w:t>
      </w:r>
    </w:p>
    <w:p w14:paraId="538637A4" w14:textId="77777777" w:rsidR="000B6E98" w:rsidRDefault="008A7A17">
      <w:pPr>
        <w:widowControl/>
        <w:spacing w:after="0"/>
        <w:ind w:firstLine="284"/>
        <w:rPr>
          <w:rFonts w:ascii="Tahoma" w:eastAsia="Times New Roman" w:hAnsi="Tahoma"/>
          <w:color w:val="000000"/>
          <w:sz w:val="20"/>
          <w:szCs w:val="24"/>
        </w:rPr>
      </w:pPr>
      <w:r w:rsidRPr="00AB093B">
        <w:rPr>
          <w:rFonts w:ascii="Tahoma" w:eastAsia="Times New Roman" w:hAnsi="Tahoma"/>
          <w:sz w:val="20"/>
          <w:szCs w:val="24"/>
        </w:rPr>
        <w:t xml:space="preserve">Il Direttore dei Lavori comunicherà con un congruo preavviso all’esecutore il giorno e il luogo in cui deve presentarsi, munita del personale idoneo, nonché delle attrezzature e dei materiali necessari per eseguire, ove occorra, il tracciamento dei lavori secondo i piani, profili e disegni di progetto. Qualora l’esecutore non si </w:t>
      </w:r>
      <w:r>
        <w:rPr>
          <w:rFonts w:ascii="Tahoma" w:eastAsia="Times New Roman" w:hAnsi="Tahoma"/>
          <w:color w:val="000000"/>
          <w:sz w:val="20"/>
          <w:szCs w:val="24"/>
        </w:rPr>
        <w:t>presenti, senza giustificato motivo, nel giorno fissato dal direttore dei lavori per la consegna, la stazione appaltante ha facoltà di risolvere il contratto e di incamerare la cauzione oppure, di fissare una nuova data per la consegna, ferma restando la decorrenza del termine contrattuale dalla data della prima convocazione. All’esito delle operazioni di consegna dei lavori, il direttore dei lavori e l’esecutore sottoscrivono il relativo verbale e da tale data decorre utilmente il termine per il compimento dei lavori.</w:t>
      </w:r>
    </w:p>
    <w:p w14:paraId="5F116DE3" w14:textId="2E392F6E"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Qualora la consegna avvenga in ritardo per causa imputabile alla stazione appaltante, l’esecutore può chiedere di recedere dal contratto. Nel caso di accoglimento dell’istanza di recesso l’esecutore ha diritto al rimborso delle spese contrattuali effettivamente sostenute e documentate, ma in misura non superiore ai seguenti limiti</w:t>
      </w:r>
      <w:r w:rsidR="00A9316A">
        <w:rPr>
          <w:rFonts w:ascii="Tahoma" w:eastAsia="Times New Roman" w:hAnsi="Tahoma"/>
          <w:color w:val="000000"/>
          <w:sz w:val="20"/>
          <w:szCs w:val="24"/>
        </w:rPr>
        <w:t xml:space="preserve"> </w:t>
      </w:r>
      <w:proofErr w:type="gramStart"/>
      <w:r w:rsidR="00A9316A">
        <w:rPr>
          <w:rFonts w:ascii="Tahoma" w:eastAsia="Times New Roman" w:hAnsi="Tahoma"/>
          <w:color w:val="000000"/>
          <w:sz w:val="20"/>
          <w:szCs w:val="24"/>
        </w:rPr>
        <w:t>dell’ 1</w:t>
      </w:r>
      <w:proofErr w:type="gramEnd"/>
      <w:r w:rsidR="00A9316A">
        <w:rPr>
          <w:rFonts w:ascii="Tahoma" w:eastAsia="Times New Roman" w:hAnsi="Tahoma"/>
          <w:color w:val="000000"/>
          <w:sz w:val="20"/>
          <w:szCs w:val="24"/>
        </w:rPr>
        <w:t>,00%</w:t>
      </w:r>
      <w:r w:rsidR="00A9316A">
        <w:rPr>
          <w:rFonts w:ascii="Tahoma" w:eastAsia="Times New Roman" w:hAnsi="Tahoma"/>
          <w:color w:val="0000FF"/>
          <w:sz w:val="20"/>
          <w:szCs w:val="24"/>
        </w:rPr>
        <w:t>,</w:t>
      </w:r>
      <w:r>
        <w:rPr>
          <w:rFonts w:ascii="Tahoma" w:eastAsia="Times New Roman" w:hAnsi="Tahoma"/>
          <w:color w:val="FF0000"/>
          <w:sz w:val="20"/>
          <w:szCs w:val="24"/>
        </w:rPr>
        <w:t xml:space="preserve"> </w:t>
      </w:r>
      <w:r>
        <w:rPr>
          <w:rFonts w:ascii="Tahoma" w:eastAsia="Times New Roman" w:hAnsi="Tahoma"/>
          <w:color w:val="000000"/>
          <w:sz w:val="20"/>
          <w:szCs w:val="24"/>
        </w:rPr>
        <w:t xml:space="preserve">indicati all'articolo 5, commi 12 e 13 del </w:t>
      </w:r>
      <w:proofErr w:type="spellStart"/>
      <w:r>
        <w:rPr>
          <w:rFonts w:ascii="Tahoma" w:eastAsia="Times New Roman" w:hAnsi="Tahoma"/>
          <w:color w:val="000000"/>
          <w:sz w:val="20"/>
          <w:szCs w:val="24"/>
        </w:rPr>
        <w:t>d.m.</w:t>
      </w:r>
      <w:proofErr w:type="spellEnd"/>
      <w:r>
        <w:rPr>
          <w:rFonts w:ascii="Tahoma" w:eastAsia="Times New Roman" w:hAnsi="Tahoma"/>
          <w:color w:val="000000"/>
          <w:sz w:val="20"/>
          <w:szCs w:val="24"/>
        </w:rPr>
        <w:t xml:space="preserve"> 49/2018. Ove l’istanza di recesso dell’esecutore non sia accolta e si proceda tardivamente alla consegna, lo stesso ha diritto ad un indennizzo (previa riserva formulata sul verbale di consegna) per i maggiori oneri dipendenti dal ritardo, le cui modalità di calcolo sono stabilite sempre al medesimo articolo, comma 14 del </w:t>
      </w:r>
      <w:proofErr w:type="spellStart"/>
      <w:r>
        <w:rPr>
          <w:rFonts w:ascii="Tahoma" w:eastAsia="Times New Roman" w:hAnsi="Tahoma"/>
          <w:color w:val="000000"/>
          <w:sz w:val="20"/>
          <w:szCs w:val="24"/>
        </w:rPr>
        <w:t>d.m.</w:t>
      </w:r>
      <w:proofErr w:type="spellEnd"/>
      <w:r>
        <w:rPr>
          <w:rFonts w:ascii="Tahoma" w:eastAsia="Times New Roman" w:hAnsi="Tahoma"/>
          <w:color w:val="000000"/>
          <w:sz w:val="20"/>
          <w:szCs w:val="24"/>
        </w:rPr>
        <w:t xml:space="preserve"> 49/2018.</w:t>
      </w:r>
    </w:p>
    <w:p w14:paraId="3AB1791A" w14:textId="58BADC36"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Nel caso </w:t>
      </w:r>
      <w:r w:rsidRPr="00A9316A">
        <w:rPr>
          <w:rFonts w:ascii="Tahoma" w:eastAsia="Times New Roman" w:hAnsi="Tahoma"/>
          <w:sz w:val="20"/>
          <w:szCs w:val="24"/>
        </w:rPr>
        <w:t xml:space="preserve">sia intervenuta la consegna dei lavori in via di urgenza, l’esecutore potrà ottenere l'anticipazione come eventualmente indicato nell'articolo </w:t>
      </w:r>
      <w:hyperlink r:id="rId10" w:history="1">
        <w:r w:rsidRPr="00A9316A">
          <w:rPr>
            <w:rFonts w:ascii="Tahoma" w:eastAsia="Times New Roman" w:hAnsi="Tahoma"/>
            <w:sz w:val="20"/>
            <w:szCs w:val="24"/>
            <w:u w:val="single"/>
          </w:rPr>
          <w:t>"Anticipazione e pagamenti in acconto"</w:t>
        </w:r>
      </w:hyperlink>
      <w:r w:rsidRPr="00A9316A">
        <w:rPr>
          <w:rFonts w:ascii="Tahoma" w:eastAsia="Times New Roman" w:hAnsi="Tahoma"/>
          <w:sz w:val="20"/>
          <w:szCs w:val="24"/>
        </w:rPr>
        <w:t xml:space="preserve"> e avrà diritto al rimborso delle spese sostenute per l’esecuzione dei lavori ordinati dal direttore dei lavori, ivi comprese </w:t>
      </w:r>
      <w:r>
        <w:rPr>
          <w:rFonts w:ascii="Tahoma" w:eastAsia="Times New Roman" w:hAnsi="Tahoma"/>
          <w:color w:val="000000"/>
          <w:sz w:val="20"/>
          <w:szCs w:val="24"/>
        </w:rPr>
        <w:t xml:space="preserve">quelle per opere provvisionali. L’esecuzione d’urgenza è ammessa esclusivamente nelle ipotesi di eventi oggettivamente imprevedibili, per ovviare a situazioni di pericolo per persone, animali o cose, ovvero per l’igiene e la salute pubblica, ovvero per il patrimonio storico, artistico, culturale ovvero nei casi in cui la mancata esecuzione immediata della prestazione dedotta nella gara determinerebbe un grave danno all'interesse pubblico che è destinata a soddisfare, ivi compresa la perdita di finanziamenti comunitari. </w:t>
      </w:r>
    </w:p>
    <w:p w14:paraId="457FB9E7"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Nel caso in cui i lavori in appalto fossero molto estesi, ovvero mancasse l'intera disponibilità dell'area sulla quale dovrà svilupparsi il cantiere o comunque per qualsiasi altra causa ed impedimento, la Stazione Appaltante potrà disporre la consegna anche in più tempi successivi, con verbali parziali, senza che per questo l'appaltatore possa sollevare eccezioni o trarre motivi per richiedere maggiori compensi o indennizzi.</w:t>
      </w:r>
    </w:p>
    <w:p w14:paraId="500BBC7E"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La data legale della consegna dei lavori, per tutti gli effetti di legge e regolamenti, sarà quella dell'ultimo verbale di consegna parziale.</w:t>
      </w:r>
    </w:p>
    <w:p w14:paraId="6D4B04FD"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 In caso di consegna parziale a causa di temporanea indisponibilità delle aree e degli immobili, l'appaltatore è tenuto a presentare un programma di esecuzione dei lavori che preveda la realizzazione prioritaria delle lavorazioni sulle aree e sugli immobili disponibili.</w:t>
      </w:r>
    </w:p>
    <w:p w14:paraId="720B483B"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Nei casi di consegna d’urgenza, il verbale indicherà le lavorazioni che l’esecutore deve immediatamente eseguire, comprese le opere provvisionali.</w:t>
      </w:r>
    </w:p>
    <w:p w14:paraId="35DEF60C" w14:textId="5D98F99B"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lastRenderedPageBreak/>
        <w:t xml:space="preserve">Ai sensi dell'articolo 5 comma 5 del </w:t>
      </w:r>
      <w:proofErr w:type="spellStart"/>
      <w:r>
        <w:rPr>
          <w:rFonts w:ascii="Tahoma" w:eastAsia="Times New Roman" w:hAnsi="Tahoma"/>
          <w:color w:val="000000"/>
          <w:sz w:val="20"/>
          <w:szCs w:val="24"/>
        </w:rPr>
        <w:t>d.m.</w:t>
      </w:r>
      <w:proofErr w:type="spellEnd"/>
      <w:r>
        <w:rPr>
          <w:rFonts w:ascii="Tahoma" w:eastAsia="Times New Roman" w:hAnsi="Tahoma"/>
          <w:color w:val="000000"/>
          <w:sz w:val="20"/>
          <w:szCs w:val="24"/>
        </w:rPr>
        <w:t xml:space="preserve"> 49/2018, la stazione appaltante indica nel presente capitolato di appalto gli eventuali casi in cui è facoltà della stessa non accogliere l’istanza di recesso dell’esecutore in fase di consegna:</w:t>
      </w:r>
      <w:r w:rsidRPr="0007334D">
        <w:rPr>
          <w:rFonts w:ascii="Tahoma" w:eastAsia="Times New Roman" w:hAnsi="Tahoma"/>
          <w:color w:val="000000"/>
          <w:sz w:val="20"/>
          <w:szCs w:val="24"/>
        </w:rPr>
        <w:t xml:space="preserve"> </w:t>
      </w:r>
      <w:r w:rsidR="0007334D" w:rsidRPr="0007334D">
        <w:rPr>
          <w:rFonts w:ascii="Tahoma" w:eastAsia="Times New Roman" w:hAnsi="Tahoma"/>
          <w:color w:val="000000"/>
          <w:sz w:val="20"/>
          <w:szCs w:val="24"/>
        </w:rPr>
        <w:t xml:space="preserve">in tutti i casi è facoltà della stazione appaltante </w:t>
      </w:r>
      <w:r w:rsidR="0007334D">
        <w:rPr>
          <w:rFonts w:ascii="Tahoma" w:eastAsia="Times New Roman" w:hAnsi="Tahoma"/>
          <w:color w:val="000000"/>
          <w:sz w:val="20"/>
          <w:szCs w:val="24"/>
        </w:rPr>
        <w:t>non accogliere l’istanza di recesso dell’esecutore in fase di consegna</w:t>
      </w:r>
      <w:r w:rsidRPr="0007334D">
        <w:rPr>
          <w:rFonts w:ascii="Tahoma" w:eastAsia="Times New Roman" w:hAnsi="Tahoma"/>
          <w:color w:val="000000"/>
          <w:sz w:val="20"/>
          <w:szCs w:val="24"/>
        </w:rPr>
        <w:t>.</w:t>
      </w:r>
    </w:p>
    <w:p w14:paraId="4591F284" w14:textId="40932535"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La consegna parziale dei lavori è disposta a motivo della natura delle </w:t>
      </w:r>
      <w:r w:rsidRPr="00C20659">
        <w:rPr>
          <w:rFonts w:ascii="Tahoma" w:eastAsia="Times New Roman" w:hAnsi="Tahoma"/>
          <w:sz w:val="20"/>
          <w:szCs w:val="24"/>
        </w:rPr>
        <w:t xml:space="preserve">opere da eseguire, ovvero, di temporanea indisponibilità di aree ed immobili; in tal caso si provvede di volta in volta alla compilazione di un </w:t>
      </w:r>
      <w:r>
        <w:rPr>
          <w:rFonts w:ascii="Tahoma" w:eastAsia="Times New Roman" w:hAnsi="Tahoma"/>
          <w:color w:val="000000"/>
          <w:sz w:val="20"/>
          <w:szCs w:val="24"/>
        </w:rPr>
        <w:t xml:space="preserve">verbale di consegna provvisorio e l'ultimo di questi costituisce verbale di consegna definitivo anche ai fini del computo dei termini per l'esecuzione. </w:t>
      </w:r>
    </w:p>
    <w:p w14:paraId="0B1188B9"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L’esecutore, al momento della consegna dei lavori, acquisirà dal coordinatore per la sicurezza la valutazione del rischio di rinvenimento di ordigni bellici inesplosi o, in alternativa, l’attestazione di liberatoria rilasciata dalla competente autorità militare dell’avvenuta conclusione delle operazioni di bonifica bellica del sito interessato. L'eventuale verificarsi di rinvenimenti di ordigni bellici nel corso dei lavori comporterà la sospensione immediata degli stessi con la tempestiva integrazione del piano di sicurezza e coordinamento e dei piani operativi di sicurezza, e l’avvio delle operazioni di bonifica ai sensi dell’articolo 91, comma 2-bis, del decreto legislativo del 9 aprile 2008, n.81 e </w:t>
      </w:r>
      <w:proofErr w:type="spellStart"/>
      <w:r>
        <w:rPr>
          <w:rFonts w:ascii="Tahoma" w:eastAsia="Times New Roman" w:hAnsi="Tahoma"/>
          <w:color w:val="000000"/>
          <w:sz w:val="20"/>
          <w:szCs w:val="24"/>
        </w:rPr>
        <w:t>s.m.i.</w:t>
      </w:r>
      <w:proofErr w:type="spellEnd"/>
    </w:p>
    <w:p w14:paraId="3AB6E1B9"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L'esecutore è tenuto a trasmettere alla stazione appaltante, prima dell'effettivo inizio dei lavori, la documentazione dell'avvenuta denunzia agli Enti previdenziali (inclusa la Cassa Edile) assicurativi ed infortunistici nonché copia del piano di sicurezza di cui al decreto legislativo del 9 aprile 2008, n.81 e </w:t>
      </w:r>
      <w:proofErr w:type="spellStart"/>
      <w:r>
        <w:rPr>
          <w:rFonts w:ascii="Tahoma" w:eastAsia="Times New Roman" w:hAnsi="Tahoma"/>
          <w:color w:val="000000"/>
          <w:sz w:val="20"/>
          <w:szCs w:val="24"/>
        </w:rPr>
        <w:t>s.m.i.</w:t>
      </w:r>
      <w:proofErr w:type="spellEnd"/>
      <w:r>
        <w:rPr>
          <w:rFonts w:ascii="Tahoma" w:eastAsia="Times New Roman" w:hAnsi="Tahoma"/>
          <w:color w:val="000000"/>
          <w:sz w:val="20"/>
          <w:szCs w:val="24"/>
        </w:rPr>
        <w:t xml:space="preserve"> </w:t>
      </w:r>
    </w:p>
    <w:p w14:paraId="14FE38BF"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Lo stesso obbligo fa carico all'esecutore, per quanto concerne la trasmissione della documentazione di cui sopra da parte delle proprie imprese subappaltatrici, cosa che dovrà avvenire prima dell'effettivo inizio dei lavori.</w:t>
      </w:r>
    </w:p>
    <w:p w14:paraId="77D3B640" w14:textId="131DB160"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L'esecutore dovrà comunque dare inizio ai lavori </w:t>
      </w:r>
      <w:r w:rsidRPr="00C20659">
        <w:rPr>
          <w:rFonts w:ascii="Tahoma" w:eastAsia="Times New Roman" w:hAnsi="Tahoma"/>
          <w:sz w:val="20"/>
          <w:szCs w:val="24"/>
        </w:rPr>
        <w:t xml:space="preserve">entro il termine improrogabile di giorni </w:t>
      </w:r>
      <w:r w:rsidR="00C20659" w:rsidRPr="00C20659">
        <w:rPr>
          <w:rFonts w:ascii="Tahoma" w:eastAsia="Times New Roman" w:hAnsi="Tahoma"/>
          <w:sz w:val="20"/>
          <w:szCs w:val="24"/>
        </w:rPr>
        <w:t>15 (quindici)</w:t>
      </w:r>
      <w:r w:rsidRPr="00C20659">
        <w:rPr>
          <w:rFonts w:ascii="Tahoma" w:eastAsia="Times New Roman" w:hAnsi="Tahoma"/>
          <w:sz w:val="20"/>
          <w:szCs w:val="24"/>
        </w:rPr>
        <w:t xml:space="preserve"> dalla data del verbale di consegna fermo restando il rispetto del termine per la presentazione del programma </w:t>
      </w:r>
      <w:r>
        <w:rPr>
          <w:rFonts w:ascii="Tahoma" w:eastAsia="Times New Roman" w:hAnsi="Tahoma"/>
          <w:color w:val="000000"/>
          <w:sz w:val="20"/>
          <w:szCs w:val="24"/>
        </w:rPr>
        <w:t>di esecuzione dei lavori di cui al successivo articolo.</w:t>
      </w:r>
    </w:p>
    <w:p w14:paraId="10039E4D"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L'esecutore è tenuto, quindi, non appena avuti in consegna i lavori, ad iniziarli, proseguendoli attenendosi al programma operativo di esecuzione da esso redatto in modo da darli completamente ultimati nel numero di giorni naturali consecutivi previsti per l'esecuzione, decorrenti dalla data di consegna dei lavori, eventualmente prorogati in relazione a quanto disposto dai precedenti punti.</w:t>
      </w:r>
    </w:p>
    <w:p w14:paraId="75DCBCEC" w14:textId="66C23319"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L'esecutore dovrà dare ultimate tutte le opere appaltate entro il termine di giorni </w:t>
      </w:r>
      <w:r w:rsidR="00C20659">
        <w:rPr>
          <w:rFonts w:ascii="Tahoma" w:eastAsia="Times New Roman" w:hAnsi="Tahoma"/>
          <w:b/>
          <w:color w:val="000000"/>
          <w:sz w:val="20"/>
          <w:szCs w:val="24"/>
        </w:rPr>
        <w:t>60 (sessanta)</w:t>
      </w:r>
      <w:r>
        <w:rPr>
          <w:rFonts w:ascii="Tahoma" w:eastAsia="Times New Roman" w:hAnsi="Tahoma"/>
          <w:color w:val="000000"/>
          <w:sz w:val="20"/>
          <w:szCs w:val="24"/>
        </w:rPr>
        <w:t xml:space="preserve"> naturali e consecutivi dalla data del verbale di consegna dei lavori. In caso di appalto con il criterio di selezione dell’OEPV (Offerta Economicamente Più Vantaggiosa), il termine contrattuale vincolante per ultimare i lavori sarà determinato applicando al termine a base di gara la riduzione percentuale dell’offerta di ribasso presentata dall’esecutore in sede di gara, qualora questo sia stato uno dei criteri di scelta del contraente.</w:t>
      </w:r>
    </w:p>
    <w:p w14:paraId="3048987B"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L'esecutore dovrà comunicare, per iscritto a mezzo PEC alla Direzione dei Lavori, l'ultimazione dei lavori non appena avvenuta.</w:t>
      </w:r>
    </w:p>
    <w:p w14:paraId="6C0E6C24" w14:textId="432F343A" w:rsidR="000B6E98" w:rsidRDefault="000B6E98">
      <w:pPr>
        <w:widowControl/>
        <w:spacing w:after="0"/>
        <w:ind w:firstLine="284"/>
        <w:rPr>
          <w:rFonts w:ascii="Tahoma" w:eastAsia="Times New Roman" w:hAnsi="Tahoma"/>
          <w:color w:val="000000"/>
          <w:sz w:val="20"/>
          <w:szCs w:val="24"/>
        </w:rPr>
      </w:pPr>
    </w:p>
    <w:p w14:paraId="04F36F5D" w14:textId="77777777" w:rsidR="00C20659" w:rsidRDefault="00C20659">
      <w:pPr>
        <w:widowControl/>
        <w:spacing w:after="0"/>
        <w:ind w:firstLine="284"/>
        <w:rPr>
          <w:rFonts w:ascii="Tahoma" w:eastAsia="Times New Roman" w:hAnsi="Tahoma"/>
          <w:color w:val="000000"/>
          <w:sz w:val="20"/>
          <w:szCs w:val="24"/>
        </w:rPr>
      </w:pPr>
    </w:p>
    <w:p w14:paraId="00578988" w14:textId="77777777" w:rsidR="000B6E98" w:rsidRDefault="008A7A17">
      <w:pPr>
        <w:widowControl/>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#{GUID_26CEF5EF-16AD-4E9D-98BA-B64B789F747F|LIVELLO_2|TESTO_Programma di esecuzione dei lavori - Sospensioni_END}&amp;</w:t>
      </w:r>
      <w:bookmarkStart w:id="19" w:name="4241"/>
      <w:bookmarkEnd w:id="19"/>
      <w:r>
        <w:rPr>
          <w:rFonts w:ascii="Tahoma" w:eastAsia="Times New Roman" w:hAnsi="Tahoma"/>
          <w:b/>
          <w:sz w:val="20"/>
          <w:szCs w:val="24"/>
        </w:rPr>
        <w:t>Art. 2.11</w:t>
      </w:r>
    </w:p>
    <w:p w14:paraId="3943E1FA" w14:textId="77777777" w:rsidR="000B6E98" w:rsidRDefault="008A7A17">
      <w:pPr>
        <w:widowControl/>
        <w:spacing w:after="0"/>
        <w:jc w:val="center"/>
        <w:rPr>
          <w:rFonts w:ascii="Tahoma" w:eastAsia="Times New Roman" w:hAnsi="Tahoma"/>
          <w:b/>
          <w:color w:val="000000"/>
          <w:sz w:val="20"/>
          <w:szCs w:val="24"/>
        </w:rPr>
      </w:pPr>
      <w:r>
        <w:rPr>
          <w:rFonts w:ascii="Tahoma" w:eastAsia="Times New Roman" w:hAnsi="Tahoma"/>
          <w:b/>
          <w:sz w:val="20"/>
          <w:szCs w:val="24"/>
        </w:rPr>
        <w:t>PROGRAMMA DI ESECUZIONE DEI LAVORI</w:t>
      </w:r>
      <w:r>
        <w:rPr>
          <w:rFonts w:ascii="Tahoma" w:eastAsia="Times New Roman" w:hAnsi="Tahoma"/>
          <w:b/>
          <w:color w:val="000000"/>
          <w:sz w:val="20"/>
          <w:szCs w:val="24"/>
        </w:rPr>
        <w:t xml:space="preserve"> - SOSPENSIONI </w:t>
      </w:r>
      <w:r>
        <w:rPr>
          <w:rFonts w:ascii="Tahoma" w:eastAsia="Times New Roman" w:hAnsi="Tahoma"/>
          <w:b/>
          <w:sz w:val="20"/>
          <w:szCs w:val="24"/>
        </w:rPr>
        <w:t>- PIANO DI QUALITÀ DI COSTRUZIONE E DI INSTALLAZIONE</w:t>
      </w:r>
    </w:p>
    <w:p w14:paraId="7C40F6CE" w14:textId="77777777" w:rsidR="000B6E98" w:rsidRDefault="000B6E98">
      <w:pPr>
        <w:widowControl/>
        <w:spacing w:after="0"/>
        <w:rPr>
          <w:rFonts w:ascii="Tahoma" w:eastAsia="Times New Roman" w:hAnsi="Tahoma"/>
          <w:color w:val="000000"/>
          <w:sz w:val="20"/>
          <w:szCs w:val="24"/>
        </w:rPr>
      </w:pPr>
    </w:p>
    <w:p w14:paraId="634933E5"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Entro 10 giorni dalla consegna dei lavori, l'appaltatore presenterà alla Direzione dei lavori una proposta di programma di esecuzione dei lavori, di cui all'art. 43 comma 10 del d.P.R. n. 207/2010 e all'articolo 1, lettera f) del </w:t>
      </w:r>
      <w:proofErr w:type="spellStart"/>
      <w:r>
        <w:rPr>
          <w:rFonts w:ascii="Tahoma" w:eastAsia="Times New Roman" w:hAnsi="Tahoma"/>
          <w:color w:val="000000"/>
          <w:sz w:val="20"/>
          <w:szCs w:val="24"/>
        </w:rPr>
        <w:t>d.m.</w:t>
      </w:r>
      <w:proofErr w:type="spellEnd"/>
      <w:r>
        <w:rPr>
          <w:rFonts w:ascii="Tahoma" w:eastAsia="Times New Roman" w:hAnsi="Tahoma"/>
          <w:color w:val="000000"/>
          <w:sz w:val="20"/>
          <w:szCs w:val="24"/>
        </w:rPr>
        <w:t xml:space="preserve"> 49/2018, elaborato in coerenza con il cronoprogramma predisposto dalla stazione appaltante, con l'offerta tecnica presentata in gara e con le obbligazioni contrattuali, in relazione alle proprie tecnologie, alle proprie scelte imprenditoriali e alla propria organizzazione lavorativa, in cui siano graficamente rappresentate, per ogni lavorazione, le previsioni circa il periodo di esecuzione nonché l’ammontare presunto, parziale e progressivo, dell’avanzamento dei lavori alle scadenze contrattualmente stabilite per la liquidazione dei certificati di pagamento. </w:t>
      </w:r>
    </w:p>
    <w:p w14:paraId="0A58CA29"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Entro dieci giorni dalla presentazione, la Direzione dei lavori d'intesa con la stazione appaltante comunicherà all'appaltatore l'esito dell'esame della proposta di programma; qualora esso non abbia conseguito l'approvazione, l'appaltatore entro 10 giorni, predisporrà una nuova proposta oppure adeguerà quella già presentata secondo le direttive che avrà ricevuto dalla Direzione dei lavori.</w:t>
      </w:r>
    </w:p>
    <w:p w14:paraId="0B5044F0"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Decorsi 10 giorni dalla ricezione della nuova proposta senza che il Responsabile del Procedimento si sia espresso, il programma esecutivo dei lavori si darà per approvato fatte salve indicazioni erronee incompatibili con il rispetto dei termini di ultimazione.</w:t>
      </w:r>
    </w:p>
    <w:p w14:paraId="21716DF3"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La proposta approvata sarà impegnativa per l'appaltatore che dovrà rispettare i termini previsti, salvo modifiche al programma esecutivo in corso di attuazione per comprovate esigenze non prevedibili che dovranno essere approvate od ordinate dalla Direzione dei lavori.</w:t>
      </w:r>
    </w:p>
    <w:p w14:paraId="1793D70D" w14:textId="77777777" w:rsidR="000B6E98" w:rsidRDefault="000B6E98">
      <w:pPr>
        <w:widowControl/>
        <w:spacing w:after="0"/>
        <w:ind w:firstLine="284"/>
        <w:rPr>
          <w:rFonts w:ascii="Tahoma" w:eastAsia="Times New Roman" w:hAnsi="Tahoma"/>
          <w:color w:val="000000"/>
          <w:sz w:val="20"/>
          <w:szCs w:val="24"/>
        </w:rPr>
      </w:pPr>
    </w:p>
    <w:p w14:paraId="1DADC40C" w14:textId="77777777" w:rsidR="000B6E98" w:rsidRDefault="008A7A17">
      <w:pPr>
        <w:widowControl/>
        <w:spacing w:after="0"/>
        <w:ind w:firstLine="284"/>
        <w:rPr>
          <w:rFonts w:ascii="Tahoma" w:eastAsia="Times New Roman" w:hAnsi="Tahoma"/>
          <w:i/>
          <w:color w:val="000000"/>
          <w:sz w:val="20"/>
          <w:szCs w:val="24"/>
        </w:rPr>
      </w:pPr>
      <w:r>
        <w:rPr>
          <w:rFonts w:ascii="Tahoma" w:eastAsia="Times New Roman" w:hAnsi="Tahoma"/>
          <w:i/>
          <w:color w:val="000000"/>
          <w:sz w:val="20"/>
          <w:szCs w:val="24"/>
        </w:rPr>
        <w:lastRenderedPageBreak/>
        <w:t>Nel caso di sospensione dei lavori, parziale o totale, per cause non attribuibili a responsabilità dell'appaltatore, il programma dei lavori viene aggiornato in relazione all'eventuale incremento della scadenza contrattuale.</w:t>
      </w:r>
    </w:p>
    <w:p w14:paraId="2E46CE49" w14:textId="77777777" w:rsidR="000B6E98" w:rsidRDefault="008A7A17">
      <w:pPr>
        <w:widowControl/>
        <w:spacing w:after="0"/>
        <w:ind w:firstLine="284"/>
        <w:rPr>
          <w:rFonts w:ascii="Tahoma" w:eastAsia="Times New Roman" w:hAnsi="Tahoma"/>
          <w:i/>
          <w:color w:val="000000"/>
          <w:sz w:val="20"/>
          <w:szCs w:val="24"/>
        </w:rPr>
      </w:pPr>
      <w:r>
        <w:rPr>
          <w:rFonts w:ascii="Tahoma" w:eastAsia="Times New Roman" w:hAnsi="Tahoma"/>
          <w:i/>
          <w:color w:val="000000"/>
          <w:sz w:val="20"/>
          <w:szCs w:val="24"/>
        </w:rPr>
        <w:t xml:space="preserve">Eventuali aggiornamenti legati a motivate esigenze organizzative dell'appaltatore e che non comportino modifica delle scadenze contrattuali, sono approvate dalla Direzione dei Lavori, subordinatamente alla verifica della loro effettiva necessità ed attendibilità per il pieno rispetto delle scadenze contrattuali. </w:t>
      </w:r>
    </w:p>
    <w:p w14:paraId="6D649CC2" w14:textId="77777777" w:rsidR="000B6E98" w:rsidRDefault="008A7A17">
      <w:pPr>
        <w:widowControl/>
        <w:spacing w:after="0"/>
        <w:ind w:firstLine="284"/>
        <w:rPr>
          <w:rFonts w:ascii="Tahoma" w:eastAsia="Times New Roman" w:hAnsi="Tahoma"/>
          <w:i/>
          <w:color w:val="00FF80"/>
          <w:sz w:val="20"/>
          <w:szCs w:val="24"/>
        </w:rPr>
      </w:pPr>
      <w:r>
        <w:rPr>
          <w:rFonts w:ascii="Tahoma" w:eastAsia="Times New Roman" w:hAnsi="Tahoma"/>
          <w:i/>
          <w:color w:val="000000"/>
          <w:sz w:val="20"/>
          <w:szCs w:val="24"/>
        </w:rPr>
        <w:t>In tutti i casi in cui ricorrano circostanze speciali che impediscono in via temporanea che i lavori procedano utilmente a regola d'arte, e che non siano prevedibili al momento della stipulazione del contratto, il direttore dei lavori può disporre la sospensione dell'esecuzione del contratto, compilando, se possibile con l'intervento dell'esecutore o di un suo legale rappresentante, il verbale di sospensione, con l'indicazione delle ragioni che hanno determinato l'interruzione dei lavori, nonché dello stato di avanzamento dei lavori, delle opere la cui esecuzione rimane interrotta e delle cautele adottate affinché alla ripresa le stesse possano essere continuate ed ultimate senza eccessivi oneri, della consistenza della forza lavoro e dei mezzi d'opera esistenti in cantiere al momento della sospensione. Il verbale è inoltrato al responsabile del procedimento entro cinque giorni dalla data della sua redazione.</w:t>
      </w:r>
    </w:p>
    <w:p w14:paraId="47DEC14D" w14:textId="77777777" w:rsidR="000B6E98" w:rsidRDefault="008A7A17">
      <w:pPr>
        <w:widowControl/>
        <w:spacing w:after="0"/>
        <w:ind w:firstLine="284"/>
        <w:rPr>
          <w:rFonts w:ascii="Tahoma" w:eastAsia="Times New Roman" w:hAnsi="Tahoma"/>
          <w:i/>
          <w:color w:val="000000"/>
          <w:sz w:val="20"/>
          <w:szCs w:val="24"/>
        </w:rPr>
      </w:pPr>
      <w:r>
        <w:rPr>
          <w:rFonts w:ascii="Tahoma" w:eastAsia="Times New Roman" w:hAnsi="Tahoma"/>
          <w:i/>
          <w:color w:val="000000"/>
          <w:sz w:val="20"/>
          <w:szCs w:val="24"/>
        </w:rPr>
        <w:t>La sospensione può essere disposta anche dal RUP per il tempo strettamente necessario e per ragioni di necessità o di pubblico interesse, tra cui l’interruzione di finanziamenti, per esigenze sopravvenute di finanza pubblica, disposta con atto motivato delle amministrazioni competenti. Ove successivamente alla consegna dei lavori insorgano, per cause imprevedibili o di forza maggiore, circostanze che impediscano parzialmente il regolare svolgimento dei lavori, l'esecutore è tenuto a proseguire le parti di lavoro eseguibili, mentre si provvede alla sospensione parziale dei lavori non eseguibili, dandone atto in apposito verbale.</w:t>
      </w:r>
    </w:p>
    <w:p w14:paraId="47AA8682"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i/>
          <w:color w:val="000000"/>
          <w:sz w:val="20"/>
          <w:szCs w:val="24"/>
        </w:rPr>
        <w:t xml:space="preserve">Qualora si verifichino sospensioni totali o parziali dei lavori disposte per cause diverse da quelle di cui sopra, l'appaltatore sarà dovutamente risarcito sulla base dei criteri riportati all'articolo 10 comma 2 del </w:t>
      </w:r>
      <w:proofErr w:type="spellStart"/>
      <w:r>
        <w:rPr>
          <w:rFonts w:ascii="Tahoma" w:eastAsia="Times New Roman" w:hAnsi="Tahoma"/>
          <w:i/>
          <w:color w:val="000000"/>
          <w:sz w:val="20"/>
          <w:szCs w:val="24"/>
        </w:rPr>
        <w:t>d.m.</w:t>
      </w:r>
      <w:proofErr w:type="spellEnd"/>
      <w:r>
        <w:rPr>
          <w:rFonts w:ascii="Tahoma" w:eastAsia="Times New Roman" w:hAnsi="Tahoma"/>
          <w:i/>
          <w:color w:val="000000"/>
          <w:sz w:val="20"/>
          <w:szCs w:val="24"/>
        </w:rPr>
        <w:t xml:space="preserve"> 49/2018.</w:t>
      </w:r>
    </w:p>
    <w:p w14:paraId="73F6F367" w14:textId="77777777" w:rsidR="000B6E98" w:rsidRDefault="008A7A17">
      <w:pPr>
        <w:widowControl/>
        <w:spacing w:after="0"/>
        <w:ind w:firstLine="284"/>
        <w:rPr>
          <w:rFonts w:ascii="Tahoma" w:eastAsia="Times New Roman" w:hAnsi="Tahoma"/>
          <w:color w:val="FF0000"/>
          <w:sz w:val="20"/>
          <w:szCs w:val="24"/>
        </w:rPr>
      </w:pPr>
      <w:r>
        <w:rPr>
          <w:rFonts w:ascii="Tahoma" w:eastAsia="Times New Roman" w:hAnsi="Tahoma"/>
          <w:color w:val="000000"/>
          <w:sz w:val="20"/>
          <w:szCs w:val="24"/>
        </w:rPr>
        <w:t>Non appena siano venute a cessare le cause della sospensione il direttore dei lavori lo comunica al RUP affinché quest’ultimo disponga la ripresa dei lavori e indichi il nuovo termine contrattuale. La sospensione parziale dei lavori determina, altresì, il differimento dei termini contrattuali pari ad un numero di giorni determinato dal prodotto dei giorni di sospensione per il rapporto tra ammontare dei lavori non eseguiti per effetto della sospensione parziale e l’importo totale dei lavori previsto nello stesso periodo secondo il cronoprogramma. Entro cinque giorni dalla disposizione di ripresa dei lavori effettuata dal RUP, il direttore dei lavori procede alla redazione del verbale di ripresa dei lavori, che deve essere sottoscritto anche dall’esecutore e deve riportare il nuovo termine contrattuale indicato dal RUP. Nel caso in cui l’esecutore ritenga cessate le cause che hanno determinato la sospensione temporanea dei lavori e il RUP non abbia disposto la ripresa dei lavori stessi, l’esecutore può diffidare il RUP a dare le opportune disposizioni al direttore dei lavori perché provveda alla ripresa; la diffida proposta ai fini sopra indicati, è condizione necessaria per poter iscrivere riserva all’atto della ripresa dei lavori, qualora l’esecutore intenda far valere l’illegittima maggiore durata della sospensione.</w:t>
      </w:r>
    </w:p>
    <w:p w14:paraId="63E4AFE0" w14:textId="77777777" w:rsidR="000B6E98" w:rsidRDefault="008A7A17">
      <w:pPr>
        <w:widowControl/>
        <w:spacing w:after="0"/>
        <w:ind w:firstLine="284"/>
        <w:rPr>
          <w:rFonts w:ascii="Tahoma" w:eastAsia="Times New Roman" w:hAnsi="Tahoma"/>
          <w:i/>
          <w:color w:val="000000"/>
          <w:sz w:val="20"/>
          <w:szCs w:val="24"/>
        </w:rPr>
      </w:pPr>
      <w:r>
        <w:rPr>
          <w:rFonts w:ascii="Tahoma" w:eastAsia="Times New Roman" w:hAnsi="Tahoma"/>
          <w:i/>
          <w:color w:val="000000"/>
          <w:sz w:val="20"/>
          <w:szCs w:val="24"/>
        </w:rPr>
        <w:t xml:space="preserve">Qualora la sospensione, o le sospensioni, durino per un periodo di tempo superiore ad un quarto della durata complessiva prevista per l'esecuzione dei lavori stessi, o comunque quando superino sei mesi complessivi, l'esecutore può chiedere la risoluzione del contratto senza indennità; se la stazione appaltante si oppone, l'esecutore ha diritto alla rifusione dei maggiori oneri derivanti dal prolungamento della sospensione oltre i termini suddetti. Nessun indennizzo è dovuto all’esecutore negli altri casi. </w:t>
      </w:r>
    </w:p>
    <w:p w14:paraId="573C0F26" w14:textId="77777777" w:rsidR="000B6E98" w:rsidRDefault="008A7A17">
      <w:pPr>
        <w:widowControl/>
        <w:spacing w:after="0"/>
        <w:ind w:firstLine="284"/>
        <w:rPr>
          <w:rFonts w:ascii="Tahoma" w:eastAsia="Times New Roman" w:hAnsi="Tahoma"/>
          <w:i/>
          <w:color w:val="000000"/>
          <w:sz w:val="20"/>
          <w:szCs w:val="24"/>
        </w:rPr>
      </w:pPr>
      <w:r>
        <w:rPr>
          <w:rFonts w:ascii="Tahoma" w:eastAsia="Times New Roman" w:hAnsi="Tahoma"/>
          <w:i/>
          <w:color w:val="000000"/>
          <w:sz w:val="20"/>
          <w:szCs w:val="24"/>
        </w:rPr>
        <w:t xml:space="preserve"> Le contestazioni dell'esecutore in merito alle sospensioni dei lavori sono iscritte a pena di decadenza nei verbali di sospensione e di ripresa dei lavori, salvo che per le sospensioni inizialmente legittime, per le quali è sufficiente l'iscrizione nel verbale di ripresa dei lavori; qualora l'esecutore non intervenga alla firma dei verbali o si rifiuti di sottoscriverli, deve farne espressa riserva sul registro di contabilità. Quando la sospensione supera il quarto del tempo contrattuale complessivo il responsabile del procedimento dà avviso all'ANAC.</w:t>
      </w:r>
    </w:p>
    <w:p w14:paraId="361DF86D" w14:textId="77777777" w:rsidR="000B6E98" w:rsidRDefault="008A7A17">
      <w:pPr>
        <w:widowControl/>
        <w:spacing w:after="0"/>
        <w:ind w:firstLine="284"/>
        <w:rPr>
          <w:rFonts w:ascii="Tahoma" w:eastAsia="Times New Roman" w:hAnsi="Tahoma"/>
          <w:i/>
          <w:color w:val="000000"/>
          <w:sz w:val="20"/>
          <w:szCs w:val="24"/>
        </w:rPr>
      </w:pPr>
      <w:r>
        <w:rPr>
          <w:rFonts w:ascii="Tahoma" w:eastAsia="Times New Roman" w:hAnsi="Tahoma"/>
          <w:i/>
          <w:color w:val="000000"/>
          <w:sz w:val="20"/>
          <w:szCs w:val="24"/>
        </w:rPr>
        <w:t xml:space="preserve">L'esecutore che per cause a lui non imputabili non sia in grado di ultimare i lavori nel termine fissato può richiederne la proroga, con congruo anticipo rispetto alla scadenza del termine contrattuale. In ogni caso la sua concessione non pregiudica i diritti spettanti all'esecutore per l'eventuale imputabilità della maggiore durata </w:t>
      </w:r>
      <w:proofErr w:type="spellStart"/>
      <w:r>
        <w:rPr>
          <w:rFonts w:ascii="Tahoma" w:eastAsia="Times New Roman" w:hAnsi="Tahoma"/>
          <w:i/>
          <w:color w:val="000000"/>
          <w:sz w:val="20"/>
          <w:szCs w:val="24"/>
        </w:rPr>
        <w:t>a</w:t>
      </w:r>
      <w:proofErr w:type="spellEnd"/>
      <w:r>
        <w:rPr>
          <w:rFonts w:ascii="Tahoma" w:eastAsia="Times New Roman" w:hAnsi="Tahoma"/>
          <w:i/>
          <w:color w:val="000000"/>
          <w:sz w:val="20"/>
          <w:szCs w:val="24"/>
        </w:rPr>
        <w:t xml:space="preserve"> fatto della stazione appaltante. Sull’istanza di proroga decide il responsabile del procedimento, sentito il direttore dei lavori, entro trenta giorni dal suo ricevimento. L'esecutore deve ultimare i lavori nel termine stabilito dagli atti contrattuali, decorrente dalla data del verbale di consegna ovvero, in caso di consegna parziale dall'ultimo dei verbali di consegna. L'ultimazione dei lavori, appena avvenuta, è comunicata dall'esecutore per iscritto al direttore dei lavori, il quale procede subito alle necessarie constatazioni in contraddittorio.</w:t>
      </w:r>
    </w:p>
    <w:p w14:paraId="36D03C59" w14:textId="77777777" w:rsidR="000B6E98" w:rsidRDefault="008A7A17">
      <w:pPr>
        <w:widowControl/>
        <w:spacing w:after="0"/>
        <w:ind w:firstLine="284"/>
        <w:rPr>
          <w:rFonts w:ascii="Tahoma" w:eastAsia="Times New Roman" w:hAnsi="Tahoma"/>
          <w:color w:val="000000"/>
          <w:sz w:val="20"/>
          <w:szCs w:val="24"/>
        </w:rPr>
      </w:pPr>
      <w:r>
        <w:rPr>
          <w:rFonts w:ascii="Tahoma" w:eastAsia="Times New Roman" w:hAnsi="Tahoma"/>
          <w:i/>
          <w:color w:val="000000"/>
          <w:sz w:val="20"/>
          <w:szCs w:val="24"/>
        </w:rPr>
        <w:t>L'esecutore non ha diritto allo scioglimento del contratto né ad alcuna indennità qualora i lavori, per qualsiasi causa non imputabile alla stazione appaltante, non siano ultimati nel termine contrattuale e qualunque sia il maggior tempo impiegato.</w:t>
      </w:r>
    </w:p>
    <w:p w14:paraId="6DA7F87F" w14:textId="77777777" w:rsidR="000B6E98" w:rsidRPr="00696E15" w:rsidRDefault="000B6E98">
      <w:pPr>
        <w:widowControl/>
        <w:spacing w:after="0"/>
        <w:ind w:firstLine="284"/>
        <w:rPr>
          <w:rFonts w:ascii="Tahoma" w:eastAsia="Times New Roman" w:hAnsi="Tahoma"/>
          <w:sz w:val="20"/>
          <w:szCs w:val="24"/>
        </w:rPr>
      </w:pPr>
    </w:p>
    <w:p w14:paraId="5FF51BFE"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lastRenderedPageBreak/>
        <w:t>Fino al</w:t>
      </w:r>
      <w:r w:rsidRPr="00696E15">
        <w:rPr>
          <w:rFonts w:ascii="Tahoma" w:eastAsia="Times New Roman" w:hAnsi="Tahoma"/>
          <w:b/>
          <w:sz w:val="20"/>
          <w:szCs w:val="24"/>
        </w:rPr>
        <w:t xml:space="preserve"> 30 giugno 2023</w:t>
      </w:r>
      <w:r w:rsidRPr="00696E15">
        <w:rPr>
          <w:rFonts w:ascii="Tahoma" w:eastAsia="Times New Roman" w:hAnsi="Tahoma"/>
          <w:sz w:val="20"/>
          <w:szCs w:val="24"/>
        </w:rPr>
        <w:t>, in deroga all’articolo 107 del decreto legislativo 18 aprile 2016, n. 50, la sospensione, volontaria o coattiva, dell’esecuzione di lavori diretti alla realizzazione delle opere pubbliche di importo pari o superiore alle soglie di cui all’articolo 35 del medesimo decreto legislativo, anche se già iniziati, può avvenire, esclusivamente, per il tempo strettamente necessario al loro superamento, per le seguenti ragioni:</w:t>
      </w:r>
    </w:p>
    <w:p w14:paraId="593FC2DA"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a) cause previste da disposizioni di legge penale, dal codice delle leggi antimafia e delle misure di prevenzione di cui al decreto legislativo 6 settembre 2011, n. 159, nonché da vincoli inderogabili derivanti dall’appartenenza all’Unione europea;</w:t>
      </w:r>
    </w:p>
    <w:p w14:paraId="7E230E64"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b) gravi ragioni di ordine pubblico, salute pubblica o dei soggetti coinvolti nella realizzazione delle opere, ivi incluse le misure adottate per contrastare l’emergenza sanitaria globale da COVID-19;</w:t>
      </w:r>
    </w:p>
    <w:p w14:paraId="21EC136F"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c) gravi ragioni di ordine tecnico, idonee a incidere sulla realizzazione a regola d’arte dell’opera, in relazione alle modalità di superamento delle quali non vi è accordo tra le parti;</w:t>
      </w:r>
    </w:p>
    <w:p w14:paraId="78B23B99"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d) gravi ragioni di pubblico interesse.</w:t>
      </w:r>
    </w:p>
    <w:p w14:paraId="68A55836"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 xml:space="preserve">La sospensione è in ogni caso disposta dal responsabile unico del procedimento e gestita secondo i casi disciplinati </w:t>
      </w:r>
      <w:r w:rsidRPr="00696E15">
        <w:rPr>
          <w:rFonts w:ascii="Tahoma" w:eastAsia="Times New Roman" w:hAnsi="Tahoma"/>
          <w:b/>
          <w:sz w:val="20"/>
          <w:szCs w:val="24"/>
        </w:rPr>
        <w:t>all'articolo 5, Legge n. 120/2020</w:t>
      </w:r>
      <w:r w:rsidRPr="00696E15">
        <w:rPr>
          <w:rFonts w:ascii="Tahoma" w:eastAsia="Times New Roman" w:hAnsi="Tahoma"/>
          <w:sz w:val="20"/>
          <w:szCs w:val="24"/>
        </w:rPr>
        <w:t>.</w:t>
      </w:r>
    </w:p>
    <w:p w14:paraId="2A3604BB"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Nelle ipotesi di sospensione di cui alla lettera a), si provvede alla risoluzione del contratto che opera di diritto, secondo le modalità previste dall'art. 5, comma 4, Legge n. 120/2020.</w:t>
      </w:r>
    </w:p>
    <w:p w14:paraId="75605019"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Nelle ipotesi di sospensione di cui alle lettere b) e d), su parere del Collegio Consultivo Tecnico, le stazioni appaltanti o le autorità competenti,  previa proposta della stazione appaltante, da adottarsi entro il termine di quindici giorni dalla comunicazione allo stesso collegio della sospensione dei lavori, autorizzano nei successivi dieci giorni la prosecuzione dei lavori nel rispetto delle esigenze sottese ai provvedimenti di sospensione adottati, salvi i casi di assoluta e motivata incompatibilità tra causa della sospensione e prosecuzione dei lavori.</w:t>
      </w:r>
    </w:p>
    <w:p w14:paraId="0AEDCAF1"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Per quanto riguarda i casi di sospensione previsti dalla lettera c), il collegio consultivo tecnico, entro quindici giorni dalla comunicazione della sospensione dei lavori ovvero della causa che potrebbe determinarla, adotta una determinazione con cui accerta l’esistenza di una causa tecnica di legittima sospensione dei lavori e indica le modalità, con cui proseguire i lavori e le eventuali modifiche necessarie da apportare per la realizzazione dell’opera a regola d’arte. La stazione appaltante provvede nei successivi cinque giorni.</w:t>
      </w:r>
    </w:p>
    <w:p w14:paraId="5F8F3CC4"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Salva l'esistenza di uno dei casi di sospensione di cui ai periodi precedenti, le parti non possono invocare l'inadempimento della controparte o di altri soggetti per sospendere l'esecuzione dei lavori di realizzazione dell'opera ovvero le prestazioni connesse alla tempestiva realizzazione dell'opera.</w:t>
      </w:r>
    </w:p>
    <w:p w14:paraId="151B1468"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Il rispetto delle misure di contenimento COVID-19, ove impediscano, anche solo parzialmente, il regolare svolgimento dei lavori ovvero la regolare esecuzione dei servizi o delle forniture costituisce causa di forza maggiore, ai sensi dell'articolo 107, comma 4, del decreto legislativo n. 50 del 2016 e, qualora impedisca di ultimare i lavori, i servizi o le forniture nel termine contrattualmente previsto, costituisce circostanza non imputabile all'esecutore ai sensi del comma 5 del citato articolo 107 ai fini della proroga di detto termine, ove richiesta.</w:t>
      </w:r>
    </w:p>
    <w:p w14:paraId="4AEA8E28" w14:textId="77777777" w:rsidR="000B6E98" w:rsidRPr="00696E15" w:rsidRDefault="000B6E98">
      <w:pPr>
        <w:widowControl/>
        <w:spacing w:after="0"/>
        <w:ind w:firstLine="284"/>
        <w:rPr>
          <w:rFonts w:ascii="Tahoma" w:eastAsia="Times New Roman" w:hAnsi="Tahoma"/>
          <w:sz w:val="20"/>
          <w:szCs w:val="24"/>
        </w:rPr>
      </w:pPr>
    </w:p>
    <w:p w14:paraId="235C6D19" w14:textId="77777777" w:rsidR="000B6E98" w:rsidRPr="00696E15"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Ai sensi dell'art. 43, comma 4 del d.P.R. n. 207/2010, nel caso di opere e impianti di speciale complessità o di particolare rilevanza sotto il profilo tecnologico, l'appaltatore ha l'obbligo di redigere e consegnare alla Direzione dei Lavori per l'approvazione, di un Piano di qualità di costruzione e di installazione.</w:t>
      </w:r>
    </w:p>
    <w:p w14:paraId="2BD22662" w14:textId="77777777" w:rsidR="000B6E98" w:rsidRDefault="008A7A17">
      <w:pPr>
        <w:widowControl/>
        <w:spacing w:after="0"/>
        <w:ind w:firstLine="284"/>
        <w:rPr>
          <w:rFonts w:ascii="Tahoma" w:eastAsia="Times New Roman" w:hAnsi="Tahoma"/>
          <w:sz w:val="20"/>
          <w:szCs w:val="24"/>
        </w:rPr>
      </w:pPr>
      <w:r w:rsidRPr="00696E15">
        <w:rPr>
          <w:rFonts w:ascii="Tahoma" w:eastAsia="Times New Roman" w:hAnsi="Tahoma"/>
          <w:sz w:val="20"/>
          <w:szCs w:val="24"/>
        </w:rPr>
        <w:t xml:space="preserve">Tale documento prevede, pianifica e programma le condizioni, sequenze, modalità, strumentazioni, mezzi </w:t>
      </w:r>
      <w:r>
        <w:rPr>
          <w:rFonts w:ascii="Tahoma" w:eastAsia="Times New Roman" w:hAnsi="Tahoma"/>
          <w:sz w:val="20"/>
          <w:szCs w:val="24"/>
        </w:rPr>
        <w:t>d'opera e fasi delle attività di controllo da porre in essere durante l'esecuzione dei lavori, anche in funzione della loro classe di importanza. Il piano definisce i criteri di valutazione dei fornitori e dei materiali ed i criteri di valutazione e risoluzione delle non conformità.</w:t>
      </w:r>
    </w:p>
    <w:p w14:paraId="38175053" w14:textId="75F05026" w:rsidR="000B6E98" w:rsidRDefault="000B6E98">
      <w:pPr>
        <w:widowControl/>
        <w:spacing w:after="0"/>
        <w:ind w:firstLine="284"/>
        <w:rPr>
          <w:rFonts w:ascii="Tahoma" w:eastAsia="Times New Roman" w:hAnsi="Tahoma"/>
          <w:sz w:val="20"/>
          <w:szCs w:val="24"/>
        </w:rPr>
      </w:pPr>
    </w:p>
    <w:p w14:paraId="1F3FADEE" w14:textId="77777777" w:rsidR="00696E15" w:rsidRDefault="00696E15">
      <w:pPr>
        <w:widowControl/>
        <w:spacing w:after="0"/>
        <w:ind w:firstLine="284"/>
        <w:rPr>
          <w:rFonts w:ascii="Tahoma" w:eastAsia="Times New Roman" w:hAnsi="Tahoma"/>
          <w:sz w:val="20"/>
          <w:szCs w:val="24"/>
        </w:rPr>
      </w:pPr>
    </w:p>
    <w:p w14:paraId="71714802"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#{GUID_8DFDB5D2-6E29-4157-8541-A5EC68D4249A|LIVELLO_2|TESTO_Rapporti con la Direzione lavori_END}&amp;</w:t>
      </w:r>
      <w:bookmarkStart w:id="20" w:name="4242"/>
      <w:bookmarkEnd w:id="20"/>
      <w:r>
        <w:rPr>
          <w:rFonts w:ascii="Tahoma" w:eastAsia="Times New Roman" w:hAnsi="Tahoma"/>
          <w:b/>
          <w:sz w:val="20"/>
          <w:szCs w:val="24"/>
        </w:rPr>
        <w:t>Art. 2.12</w:t>
      </w:r>
    </w:p>
    <w:p w14:paraId="21E455FC"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RAPPORTI CON LA DIREZIONE LAVORI</w:t>
      </w:r>
    </w:p>
    <w:p w14:paraId="4FC375B2" w14:textId="77777777" w:rsidR="000B6E98" w:rsidRDefault="000B6E98">
      <w:pPr>
        <w:spacing w:after="0"/>
        <w:rPr>
          <w:rFonts w:ascii="Tahoma" w:eastAsia="Times New Roman" w:hAnsi="Tahoma"/>
          <w:sz w:val="20"/>
          <w:szCs w:val="24"/>
        </w:rPr>
      </w:pPr>
    </w:p>
    <w:p w14:paraId="1886FCA4"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Il direttore dei lavori riceve dal RUP </w:t>
      </w:r>
      <w:r>
        <w:rPr>
          <w:rFonts w:ascii="Tahoma" w:eastAsia="Times New Roman" w:hAnsi="Tahoma"/>
          <w:i/>
          <w:sz w:val="20"/>
          <w:szCs w:val="24"/>
        </w:rPr>
        <w:t>disposizioni di servizio</w:t>
      </w:r>
      <w:r>
        <w:rPr>
          <w:rFonts w:ascii="Tahoma" w:eastAsia="Times New Roman" w:hAnsi="Tahoma"/>
          <w:sz w:val="20"/>
          <w:szCs w:val="24"/>
        </w:rPr>
        <w:t xml:space="preserve"> mediante le quali quest’ultimo impartisce le indicazioni occorrenti a garantire la regolarità dei lavori, fissa l’ordine da seguirsi nella loro esecuzione, quando questo non sia regolato dal contratto.</w:t>
      </w:r>
    </w:p>
    <w:p w14:paraId="0D96E44A"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Fermo restando il rispetto delle disposizioni di servizio impartite dal RUP, il direttore dei lavori opera in autonomia in ordine al controllo tecnico, contabile e amministrativo dell’esecuzione dell’intervento. </w:t>
      </w:r>
    </w:p>
    <w:p w14:paraId="70C0B403"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Nell’ambito delle disposizioni di servizio impartite dal RUP al direttore dei lavori resta di </w:t>
      </w:r>
      <w:proofErr w:type="gramStart"/>
      <w:r>
        <w:rPr>
          <w:rFonts w:ascii="Tahoma" w:eastAsia="Times New Roman" w:hAnsi="Tahoma"/>
          <w:sz w:val="20"/>
          <w:szCs w:val="24"/>
        </w:rPr>
        <w:t>competenza  l’emanazione</w:t>
      </w:r>
      <w:proofErr w:type="gramEnd"/>
      <w:r>
        <w:rPr>
          <w:rFonts w:ascii="Tahoma" w:eastAsia="Times New Roman" w:hAnsi="Tahoma"/>
          <w:sz w:val="20"/>
          <w:szCs w:val="24"/>
        </w:rPr>
        <w:t xml:space="preserve"> di </w:t>
      </w:r>
      <w:r>
        <w:rPr>
          <w:rFonts w:ascii="Tahoma" w:eastAsia="Times New Roman" w:hAnsi="Tahoma"/>
          <w:i/>
          <w:sz w:val="20"/>
          <w:szCs w:val="24"/>
        </w:rPr>
        <w:t>ordini di servizio</w:t>
      </w:r>
      <w:r>
        <w:rPr>
          <w:rFonts w:ascii="Tahoma" w:eastAsia="Times New Roman" w:hAnsi="Tahoma"/>
          <w:sz w:val="20"/>
          <w:szCs w:val="24"/>
        </w:rPr>
        <w:t xml:space="preserve"> all’esecutore in ordine agli aspetti tecnici ed economici della gestione dell’appalto. Nei casi in cui non siano utilizzati strumenti informatici per il controllo tecnico, amministrativo e contabile dei lavori, gli ordini di servizio dovranno comunque avere forma scritta e l’esecutore dovrà restituire gli ordini stessi firmati per avvenuta conoscenza. L’esecutore è tenuto ad uniformarsi alle disposizioni contenute negli ordini di servizio, fatta salva la facoltà di iscrivere le proprie riserve.</w:t>
      </w:r>
    </w:p>
    <w:p w14:paraId="2BC6BBB8" w14:textId="77777777" w:rsidR="000B6E98" w:rsidRDefault="000B6E98">
      <w:pPr>
        <w:spacing w:after="0"/>
        <w:ind w:firstLine="284"/>
        <w:rPr>
          <w:rFonts w:ascii="Tahoma" w:eastAsia="Times New Roman" w:hAnsi="Tahoma"/>
          <w:sz w:val="20"/>
          <w:szCs w:val="24"/>
        </w:rPr>
      </w:pPr>
    </w:p>
    <w:p w14:paraId="021C5997"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direttore dei lavori controlla il rispetto dei tempi di esecuzione dei lavori indicati nel cronoprogramma allegato al progetto esecutivo e dettagliato nel programma di esecuzione dei lavori a cura dell'appaltatore.</w:t>
      </w:r>
    </w:p>
    <w:p w14:paraId="14A59DDF" w14:textId="77777777" w:rsidR="000B6E98" w:rsidRDefault="000B6E98">
      <w:pPr>
        <w:spacing w:after="0"/>
        <w:ind w:firstLine="284"/>
        <w:rPr>
          <w:rFonts w:ascii="Tahoma" w:eastAsia="Times New Roman" w:hAnsi="Tahoma"/>
          <w:sz w:val="20"/>
          <w:szCs w:val="24"/>
        </w:rPr>
      </w:pPr>
    </w:p>
    <w:p w14:paraId="30A62757"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direttore dei lavori, oltre a quelli che può disporre autonomamente, esegue, altresì, tutti i controlli e le prove previsti dalle vigenti norme nazionali ed europee, dal Piano d’azione nazionale per la sostenibilità ambientale dei consumi della pubblica amministrazione e dal capitolato speciale d’appalto.</w:t>
      </w:r>
    </w:p>
    <w:p w14:paraId="71400F57"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Il direttore dei lavori può rifiutare in qualunque tempo i materiali e i componenti deperiti dopo l’introduzione in cantiere o che per qualsiasi causa non risultano conformi alla normativa tecnica, nazionale o dell’Unione europea, alle caratteristiche tecniche indicate nei documenti allegati al contratto, con obbligo per l’esecutore di rimuoverli dal cantiere e sostituirli con altri a sue spese; in tal caso il rifiuto è trascritto sul giornale dei lavori o, comunque, nel primo atto contabile utile. Ove l’esecutore non effettui la rimozione nel termine prescritto dal direttore dei lavori, la stazione appaltante può provvedervi direttamente a spese dell’esecutore, a carico del quale resta anche qualsiasi onere o danno che possa derivargli per effetto della rimozione eseguita d’ufficio. L’accettazione definitiva dei materiali e dei componenti si ha solo dopo la loro posa in opera. Anche dopo l’accettazione e la posa in opera dei materiali e dei componenti da parte dell’esecutore, restano fermi i diritti e i poteri della stazione appaltante in sede di collaudo. </w:t>
      </w:r>
    </w:p>
    <w:p w14:paraId="41997B89"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direttore dei lavori o l’organo di collaudo dispongono prove o analisi ulteriori rispetto a quelle previste dalla legge o dal capitolato speciale d’appalto finalizzate a stabilire l’idoneità dei materiali o dei componenti e ritenute necessarie dalla stazione appaltante, con spese a carico dell’esecutore.</w:t>
      </w:r>
    </w:p>
    <w:p w14:paraId="38250538" w14:textId="77777777" w:rsidR="000B6E98" w:rsidRDefault="000B6E98">
      <w:pPr>
        <w:spacing w:after="0"/>
        <w:ind w:firstLine="284"/>
        <w:rPr>
          <w:rFonts w:ascii="Tahoma" w:eastAsia="Times New Roman" w:hAnsi="Tahoma"/>
          <w:sz w:val="20"/>
          <w:szCs w:val="24"/>
        </w:rPr>
      </w:pPr>
    </w:p>
    <w:p w14:paraId="7F4615FF"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 materiali previsti dal progetto sono campionati e sottoposti all’approvazione del direttore dei lavori, completi delle schede tecniche di riferimento e di tutte le certificazioni in grado di giustificarne le prestazioni, con congruo anticipo rispetto alla messa in opera. Il direttore dei lavori verifica altresì il rispetto delle norme in tema di sostenibilità ambientale, tra cui le modalità poste in atto dall’esecutore in merito al riuso di materiali di scavo e al riciclo entro lo stesso confine di cantiere.</w:t>
      </w:r>
    </w:p>
    <w:p w14:paraId="3EC6E3FA"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direttore dei lavori accerta che i documenti tecnici, prove di cantiere o di laboratorio, certificazioni basate sull’analisi del ciclo di vita del prodotto (LCA) relative a materiali, lavorazioni e apparecchiature impiantistiche rispondano ai requisiti di cui al Piano d’azione nazionale per la sostenibilità ambientale dei consumi della pubblica amministrazione.</w:t>
      </w:r>
    </w:p>
    <w:p w14:paraId="6F24CFE6" w14:textId="77777777" w:rsidR="000B6E98" w:rsidRDefault="000B6E98">
      <w:pPr>
        <w:spacing w:after="0"/>
        <w:ind w:firstLine="284"/>
        <w:rPr>
          <w:rFonts w:ascii="Tahoma" w:eastAsia="Times New Roman" w:hAnsi="Tahoma"/>
          <w:sz w:val="20"/>
          <w:szCs w:val="24"/>
        </w:rPr>
      </w:pPr>
    </w:p>
    <w:p w14:paraId="7248A1D6"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direttore dei lavori esegue le seguenti attività di controllo:</w:t>
      </w:r>
    </w:p>
    <w:p w14:paraId="67759589"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a) in caso di risoluzione contrattuale, cura, su richiesta del RUP, la redazione dello stato di consistenza dei lavori già eseguiti, l’inventario di materiali, macchine e mezzi d’opera e la relativa presa in consegna;</w:t>
      </w:r>
    </w:p>
    <w:p w14:paraId="24F6A048"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 xml:space="preserve">b) fornisce indicazioni al RUP per l’irrogazione delle penali da ritardo previste nel contratto, nonché per le valutazioni inerenti </w:t>
      </w:r>
      <w:proofErr w:type="gramStart"/>
      <w:r>
        <w:rPr>
          <w:rFonts w:ascii="Tahoma" w:eastAsia="Times New Roman" w:hAnsi="Tahoma"/>
          <w:sz w:val="20"/>
          <w:szCs w:val="24"/>
        </w:rPr>
        <w:t>la</w:t>
      </w:r>
      <w:proofErr w:type="gramEnd"/>
      <w:r>
        <w:rPr>
          <w:rFonts w:ascii="Tahoma" w:eastAsia="Times New Roman" w:hAnsi="Tahoma"/>
          <w:sz w:val="20"/>
          <w:szCs w:val="24"/>
        </w:rPr>
        <w:t xml:space="preserve"> risoluzione contrattuale ai sensi dell’articolo 108, comma 4, del Codice;</w:t>
      </w:r>
    </w:p>
    <w:p w14:paraId="246FB922"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c) accerta che si sia data applicazione alla normativa vigente in merito al deposito dei progetti strutturali delle costruzioni e che sia stata rilasciata la necessaria autorizzazione in caso di interventi ricadenti in zone soggette a rischio sismico;</w:t>
      </w:r>
    </w:p>
    <w:p w14:paraId="6D1E120F"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d) determina in contraddittorio con l’esecutore i nuovi prezzi delle lavorazioni e dei materiali non previsti dal contratto;</w:t>
      </w:r>
    </w:p>
    <w:p w14:paraId="35A7B8F2"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e) redige apposita relazione laddove avvengano sinistri alle persone o danni alla proprietà nel corso dell’esecuzione di lavori e adotta i provvedimenti idonei a ridurre per la stazione appaltante le conseguenze dannose;</w:t>
      </w:r>
    </w:p>
    <w:p w14:paraId="7E6EDA2D"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f) redige processo verbale alla presenza dell’esecutore dei danni cagionati da forza maggiore, al fine di accertare:</w:t>
      </w:r>
    </w:p>
    <w:p w14:paraId="7DB4EE60" w14:textId="77777777" w:rsidR="000B6E98" w:rsidRDefault="008A7A17">
      <w:pPr>
        <w:spacing w:after="0"/>
        <w:ind w:left="850" w:firstLine="284"/>
        <w:rPr>
          <w:rFonts w:ascii="Tahoma" w:eastAsia="Times New Roman" w:hAnsi="Tahoma"/>
          <w:sz w:val="20"/>
          <w:szCs w:val="24"/>
        </w:rPr>
      </w:pPr>
      <w:r>
        <w:rPr>
          <w:rFonts w:ascii="Tahoma" w:eastAsia="Times New Roman" w:hAnsi="Tahoma"/>
          <w:sz w:val="20"/>
          <w:szCs w:val="24"/>
        </w:rPr>
        <w:t>1) lo stato delle cose dopo il danno, rapportandole allo stato precedente;</w:t>
      </w:r>
    </w:p>
    <w:p w14:paraId="2129C6CC" w14:textId="77777777" w:rsidR="000B6E98" w:rsidRDefault="008A7A17">
      <w:pPr>
        <w:spacing w:after="0"/>
        <w:ind w:left="850" w:firstLine="284"/>
        <w:rPr>
          <w:rFonts w:ascii="Tahoma" w:eastAsia="Times New Roman" w:hAnsi="Tahoma"/>
          <w:sz w:val="20"/>
          <w:szCs w:val="24"/>
        </w:rPr>
      </w:pPr>
      <w:r>
        <w:rPr>
          <w:rFonts w:ascii="Tahoma" w:eastAsia="Times New Roman" w:hAnsi="Tahoma"/>
          <w:sz w:val="20"/>
          <w:szCs w:val="24"/>
        </w:rPr>
        <w:t>2) le cause dei danni, precisando l’eventuale causa di forza maggiore;</w:t>
      </w:r>
    </w:p>
    <w:p w14:paraId="5ABC4591" w14:textId="77777777" w:rsidR="000B6E98" w:rsidRDefault="008A7A17">
      <w:pPr>
        <w:spacing w:after="0"/>
        <w:ind w:left="850" w:firstLine="284"/>
        <w:rPr>
          <w:rFonts w:ascii="Tahoma" w:eastAsia="Times New Roman" w:hAnsi="Tahoma"/>
          <w:sz w:val="20"/>
          <w:szCs w:val="24"/>
        </w:rPr>
      </w:pPr>
      <w:r>
        <w:rPr>
          <w:rFonts w:ascii="Tahoma" w:eastAsia="Times New Roman" w:hAnsi="Tahoma"/>
          <w:sz w:val="20"/>
          <w:szCs w:val="24"/>
        </w:rPr>
        <w:t>3) l’eventuale negligenza, indicandone il responsabile;</w:t>
      </w:r>
    </w:p>
    <w:p w14:paraId="03C5B421" w14:textId="77777777" w:rsidR="000B6E98" w:rsidRDefault="008A7A17">
      <w:pPr>
        <w:spacing w:after="0"/>
        <w:ind w:left="850" w:firstLine="284"/>
        <w:rPr>
          <w:rFonts w:ascii="Tahoma" w:eastAsia="Times New Roman" w:hAnsi="Tahoma"/>
          <w:sz w:val="20"/>
          <w:szCs w:val="24"/>
        </w:rPr>
      </w:pPr>
      <w:r>
        <w:rPr>
          <w:rFonts w:ascii="Tahoma" w:eastAsia="Times New Roman" w:hAnsi="Tahoma"/>
          <w:sz w:val="20"/>
          <w:szCs w:val="24"/>
        </w:rPr>
        <w:t>4) l’osservanza o meno delle regole dell’arte e delle prescrizioni del direttore dei lavori;</w:t>
      </w:r>
    </w:p>
    <w:p w14:paraId="529C1168" w14:textId="77777777" w:rsidR="000B6E98" w:rsidRDefault="008A7A17">
      <w:pPr>
        <w:spacing w:after="0"/>
        <w:ind w:left="850" w:firstLine="284"/>
        <w:rPr>
          <w:rFonts w:ascii="Tahoma" w:eastAsia="Times New Roman" w:hAnsi="Tahoma"/>
          <w:sz w:val="20"/>
          <w:szCs w:val="24"/>
        </w:rPr>
      </w:pPr>
      <w:r>
        <w:rPr>
          <w:rFonts w:ascii="Tahoma" w:eastAsia="Times New Roman" w:hAnsi="Tahoma"/>
          <w:sz w:val="20"/>
          <w:szCs w:val="24"/>
        </w:rPr>
        <w:t>5) l’eventuale omissione delle cautele necessarie a prevenire i danni.</w:t>
      </w:r>
    </w:p>
    <w:p w14:paraId="48549E32" w14:textId="77777777" w:rsidR="000B6E98" w:rsidRDefault="000B6E98">
      <w:pPr>
        <w:spacing w:after="0"/>
        <w:ind w:firstLine="284"/>
        <w:rPr>
          <w:rFonts w:ascii="Tahoma" w:eastAsia="Times New Roman" w:hAnsi="Tahoma"/>
          <w:sz w:val="20"/>
          <w:szCs w:val="24"/>
        </w:rPr>
      </w:pPr>
    </w:p>
    <w:p w14:paraId="7145AEB7"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Il direttore dei lavori effettua il controllo della spesa legata all’esecuzione dell’opera o dei lavori, attraverso la compilazione con precisione e tempestività dei documenti contabili, che sono atti pubblici a tutti gli effetti di legge, con i quali si realizza l’accertamento e la registrazione dei fatti producenti spesa. </w:t>
      </w:r>
    </w:p>
    <w:p w14:paraId="194C986C"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Tali documenti contabili sono costituiti da:</w:t>
      </w:r>
    </w:p>
    <w:p w14:paraId="2A80171D" w14:textId="77777777" w:rsidR="000B6E98" w:rsidRDefault="008A7A17" w:rsidP="008A7A17">
      <w:pPr>
        <w:numPr>
          <w:ilvl w:val="0"/>
          <w:numId w:val="5"/>
        </w:numPr>
        <w:spacing w:after="0"/>
        <w:ind w:left="852" w:hanging="284"/>
        <w:jc w:val="left"/>
        <w:rPr>
          <w:rFonts w:ascii="Tahoma" w:eastAsia="Times New Roman" w:hAnsi="Tahoma"/>
          <w:sz w:val="20"/>
          <w:szCs w:val="24"/>
        </w:rPr>
      </w:pPr>
      <w:r>
        <w:rPr>
          <w:rFonts w:ascii="Tahoma" w:eastAsia="Times New Roman" w:hAnsi="Tahoma"/>
          <w:sz w:val="20"/>
          <w:szCs w:val="24"/>
        </w:rPr>
        <w:t>giornale dei lavori</w:t>
      </w:r>
    </w:p>
    <w:p w14:paraId="0F039000" w14:textId="77777777" w:rsidR="000B6E98" w:rsidRDefault="008A7A17" w:rsidP="008A7A17">
      <w:pPr>
        <w:numPr>
          <w:ilvl w:val="0"/>
          <w:numId w:val="5"/>
        </w:numPr>
        <w:spacing w:after="0"/>
        <w:ind w:left="852" w:hanging="284"/>
        <w:jc w:val="left"/>
        <w:rPr>
          <w:rFonts w:ascii="Tahoma" w:eastAsia="Times New Roman" w:hAnsi="Tahoma"/>
          <w:sz w:val="20"/>
          <w:szCs w:val="24"/>
        </w:rPr>
      </w:pPr>
      <w:r>
        <w:rPr>
          <w:rFonts w:ascii="Tahoma" w:eastAsia="Times New Roman" w:hAnsi="Tahoma"/>
          <w:sz w:val="20"/>
          <w:szCs w:val="24"/>
        </w:rPr>
        <w:t>libretto delle misure</w:t>
      </w:r>
    </w:p>
    <w:p w14:paraId="16B80906" w14:textId="77777777" w:rsidR="000B6E98" w:rsidRDefault="008A7A17" w:rsidP="008A7A17">
      <w:pPr>
        <w:numPr>
          <w:ilvl w:val="0"/>
          <w:numId w:val="5"/>
        </w:numPr>
        <w:spacing w:after="0"/>
        <w:ind w:left="852" w:hanging="284"/>
        <w:jc w:val="left"/>
        <w:rPr>
          <w:rFonts w:ascii="Tahoma" w:eastAsia="Times New Roman" w:hAnsi="Tahoma"/>
          <w:sz w:val="20"/>
          <w:szCs w:val="24"/>
        </w:rPr>
      </w:pPr>
      <w:r>
        <w:rPr>
          <w:rFonts w:ascii="Tahoma" w:eastAsia="Times New Roman" w:hAnsi="Tahoma"/>
          <w:sz w:val="20"/>
          <w:szCs w:val="24"/>
        </w:rPr>
        <w:t>registro di contabilità</w:t>
      </w:r>
    </w:p>
    <w:p w14:paraId="2D3EE76C" w14:textId="77777777" w:rsidR="000B6E98" w:rsidRDefault="008A7A17" w:rsidP="008A7A17">
      <w:pPr>
        <w:numPr>
          <w:ilvl w:val="0"/>
          <w:numId w:val="5"/>
        </w:numPr>
        <w:spacing w:after="0"/>
        <w:ind w:left="852" w:hanging="284"/>
        <w:jc w:val="left"/>
        <w:rPr>
          <w:rFonts w:ascii="Tahoma" w:eastAsia="Times New Roman" w:hAnsi="Tahoma"/>
          <w:sz w:val="20"/>
          <w:szCs w:val="24"/>
        </w:rPr>
      </w:pPr>
      <w:r>
        <w:rPr>
          <w:rFonts w:ascii="Tahoma" w:eastAsia="Times New Roman" w:hAnsi="Tahoma"/>
          <w:sz w:val="20"/>
          <w:szCs w:val="24"/>
        </w:rPr>
        <w:lastRenderedPageBreak/>
        <w:t>sommario del registro di contabilità</w:t>
      </w:r>
    </w:p>
    <w:p w14:paraId="6140F592" w14:textId="77777777" w:rsidR="000B6E98" w:rsidRDefault="008A7A17" w:rsidP="008A7A17">
      <w:pPr>
        <w:numPr>
          <w:ilvl w:val="0"/>
          <w:numId w:val="5"/>
        </w:numPr>
        <w:spacing w:after="0"/>
        <w:ind w:left="852" w:hanging="284"/>
        <w:jc w:val="left"/>
        <w:rPr>
          <w:rFonts w:ascii="Tahoma" w:eastAsia="Times New Roman" w:hAnsi="Tahoma"/>
          <w:sz w:val="20"/>
          <w:szCs w:val="24"/>
        </w:rPr>
      </w:pPr>
      <w:r>
        <w:rPr>
          <w:rFonts w:ascii="Tahoma" w:eastAsia="Times New Roman" w:hAnsi="Tahoma"/>
          <w:sz w:val="20"/>
          <w:szCs w:val="24"/>
        </w:rPr>
        <w:t>stato di avanzamento dei lavori (SAL)</w:t>
      </w:r>
    </w:p>
    <w:p w14:paraId="1419CBFE" w14:textId="77777777" w:rsidR="000B6E98" w:rsidRDefault="008A7A17" w:rsidP="008A7A17">
      <w:pPr>
        <w:numPr>
          <w:ilvl w:val="0"/>
          <w:numId w:val="5"/>
        </w:numPr>
        <w:spacing w:after="0"/>
        <w:ind w:left="852" w:hanging="284"/>
        <w:jc w:val="left"/>
        <w:rPr>
          <w:rFonts w:ascii="Tahoma" w:eastAsia="Times New Roman" w:hAnsi="Tahoma"/>
          <w:sz w:val="20"/>
          <w:szCs w:val="24"/>
        </w:rPr>
      </w:pPr>
      <w:r>
        <w:rPr>
          <w:rFonts w:ascii="Tahoma" w:eastAsia="Times New Roman" w:hAnsi="Tahoma"/>
          <w:sz w:val="20"/>
          <w:szCs w:val="24"/>
        </w:rPr>
        <w:t xml:space="preserve">conto finale dei lavori. </w:t>
      </w:r>
    </w:p>
    <w:p w14:paraId="3CB37C9B"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Secondo il principio di costante progressione della contabilità, le predette attività di accertamento dei fatti producenti spesa devono essere eseguite contemporaneamente al loro accadere e, quindi, devono procedere di pari passo con l’esecuzione affinché la Direzione lavori possa sempre:</w:t>
      </w:r>
    </w:p>
    <w:p w14:paraId="4CC01C07"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a) rilasciare gli stati d’avanzamento dei lavori entro il termine fissato nella documentazione di gara e nel contratto, ai fini dell’emissione dei certificati per il pagamento degli acconti da parte del RUP;</w:t>
      </w:r>
    </w:p>
    <w:p w14:paraId="01000A98"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b) controllare lo sviluppo dei lavori e impartire tempestivamente le debite disposizioni per la relativa esecuzione entro i limiti dei tempi e delle somme autorizzate.</w:t>
      </w:r>
    </w:p>
    <w:p w14:paraId="79A318B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Nel caso di utilizzo di programmi di contabilità computerizzata, la compilazione dei libretti delle misure può essere effettuata anche attraverso la registrazione delle misure rilevate direttamente in cantiere dal personale incaricato, in apposito brogliaccio ed in contraddittorio con l’esecutore.</w:t>
      </w:r>
    </w:p>
    <w:p w14:paraId="00F8513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Nei casi in cui è consentita l’utilizzazione di programmi per la contabilità computerizzata, preventivamente accettati dal responsabile del procedimento, la compilazione dei libretti delle misure può essere effettuata sulla base dei dati rilevati nel brogliaccio, anche se non espressamente richiamato.</w:t>
      </w:r>
    </w:p>
    <w:p w14:paraId="514F9E0A" w14:textId="77777777" w:rsidR="000B6E98" w:rsidRDefault="000B6E98">
      <w:pPr>
        <w:spacing w:after="0"/>
        <w:ind w:firstLine="284"/>
        <w:rPr>
          <w:rFonts w:ascii="Tahoma" w:eastAsia="Times New Roman" w:hAnsi="Tahoma"/>
          <w:sz w:val="20"/>
          <w:szCs w:val="24"/>
        </w:rPr>
      </w:pPr>
    </w:p>
    <w:p w14:paraId="766ECC4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direttore dei lavori può disporre modifiche di dettaglio non comportanti aumento o diminuzione dell’importo contrattuale, comunicandole preventivamente al RUP.</w:t>
      </w:r>
    </w:p>
    <w:p w14:paraId="139FEBFB" w14:textId="69003B21" w:rsidR="000B6E98" w:rsidRDefault="000B6E98">
      <w:pPr>
        <w:spacing w:after="0"/>
        <w:ind w:firstLine="284"/>
        <w:rPr>
          <w:rFonts w:ascii="Tahoma" w:eastAsia="Times New Roman" w:hAnsi="Tahoma"/>
          <w:sz w:val="20"/>
          <w:szCs w:val="24"/>
        </w:rPr>
      </w:pPr>
    </w:p>
    <w:p w14:paraId="48E95F9E" w14:textId="77777777" w:rsidR="00696E15" w:rsidRDefault="00696E15">
      <w:pPr>
        <w:spacing w:after="0"/>
        <w:ind w:firstLine="284"/>
        <w:rPr>
          <w:rFonts w:ascii="Tahoma" w:eastAsia="Times New Roman" w:hAnsi="Tahoma"/>
          <w:sz w:val="20"/>
          <w:szCs w:val="24"/>
        </w:rPr>
      </w:pPr>
    </w:p>
    <w:p w14:paraId="792CBF8A"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#{GUID_D46C3774-5643-44C2-9F85-A452B599A5DD|LIVELLO_2|TESTO_Ispettori di cantiere_END}&amp;</w:t>
      </w:r>
      <w:bookmarkStart w:id="21" w:name="4243"/>
      <w:bookmarkEnd w:id="21"/>
      <w:r>
        <w:rPr>
          <w:rFonts w:ascii="Tahoma" w:eastAsia="Times New Roman" w:hAnsi="Tahoma"/>
          <w:b/>
          <w:sz w:val="20"/>
          <w:szCs w:val="24"/>
        </w:rPr>
        <w:t>Art. 2.13</w:t>
      </w:r>
    </w:p>
    <w:p w14:paraId="44BD1CA6"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ISPETTORI DI CANTIERE</w:t>
      </w:r>
    </w:p>
    <w:p w14:paraId="2600EE8A" w14:textId="77777777" w:rsidR="000B6E98" w:rsidRDefault="000B6E98">
      <w:pPr>
        <w:spacing w:after="0"/>
        <w:ind w:firstLine="284"/>
        <w:jc w:val="center"/>
        <w:rPr>
          <w:rFonts w:ascii="Tahoma" w:eastAsia="Times New Roman" w:hAnsi="Tahoma"/>
          <w:sz w:val="20"/>
          <w:szCs w:val="24"/>
        </w:rPr>
      </w:pPr>
    </w:p>
    <w:p w14:paraId="0CCBDCA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Ai sensi dell’art. 101, comma 2, del Codice, in relazione alla complessità dell’intervento, il Direttore dei Lavori può essere coadiuvato da uno o più direttori operativi e ispettori di cantiere, che devono essere dotati di adeguata competenza e professionalità in relazione alla tipologia di lavori da eseguire. In tal caso, si avrà la costituzione di un “ufficio di direzione dei lavori” ai sensi dell’art. 101, comma 3, del Codice.</w:t>
      </w:r>
    </w:p>
    <w:p w14:paraId="03DBE4AF"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Gli assistenti con funzioni di ispettori di cantiere collaboreranno con il direttore dei lavori nella sorveglianza dei lavori in conformità delle prescrizioni stabilite nel presente capitolato speciale di appalto. </w:t>
      </w:r>
    </w:p>
    <w:p w14:paraId="25E0B909" w14:textId="77777777" w:rsidR="000B6E98" w:rsidRPr="00696E15" w:rsidRDefault="008A7A17">
      <w:pPr>
        <w:spacing w:after="0"/>
        <w:ind w:firstLine="284"/>
        <w:rPr>
          <w:rFonts w:ascii="Tahoma" w:eastAsia="Times New Roman" w:hAnsi="Tahoma"/>
          <w:sz w:val="20"/>
          <w:szCs w:val="24"/>
        </w:rPr>
      </w:pPr>
      <w:r>
        <w:rPr>
          <w:rFonts w:ascii="Tahoma" w:eastAsia="Times New Roman" w:hAnsi="Tahoma"/>
          <w:sz w:val="20"/>
          <w:szCs w:val="24"/>
        </w:rPr>
        <w:t xml:space="preserve">La posizione di ispettore sarà ricoperta da una sola persona che esercita la sua attività in un turno di lavoro. La stazione appaltante sarà tenuta a nominare più ispettori di cantiere affinché essi, mediante turnazione, </w:t>
      </w:r>
      <w:r w:rsidRPr="00696E15">
        <w:rPr>
          <w:rFonts w:ascii="Tahoma" w:eastAsia="Times New Roman" w:hAnsi="Tahoma"/>
          <w:sz w:val="20"/>
          <w:szCs w:val="24"/>
        </w:rPr>
        <w:t>possano assicurare la propria presenza a tempo pieno durante il periodo di svolgimento di lavori che richiedono controllo quotidiano, nonché durante le fasi di collaudo e delle eventuali manutenzioni.</w:t>
      </w:r>
    </w:p>
    <w:p w14:paraId="39274F3C" w14:textId="77777777" w:rsidR="000B6E98" w:rsidRPr="00696E15" w:rsidRDefault="008A7A17">
      <w:pPr>
        <w:spacing w:after="0"/>
        <w:ind w:firstLine="284"/>
        <w:rPr>
          <w:rFonts w:ascii="Tahoma" w:eastAsia="Times New Roman" w:hAnsi="Tahoma"/>
          <w:sz w:val="20"/>
          <w:szCs w:val="24"/>
        </w:rPr>
      </w:pPr>
      <w:r w:rsidRPr="00696E15">
        <w:rPr>
          <w:rFonts w:ascii="Tahoma" w:eastAsia="Times New Roman" w:hAnsi="Tahoma"/>
          <w:sz w:val="20"/>
          <w:szCs w:val="24"/>
        </w:rPr>
        <w:t xml:space="preserve">Gli ispettori risponderanno della loro attività direttamente al Direttore dei lavori. Agli ispettori saranno affidati fra gli altri i seguenti compiti: </w:t>
      </w:r>
    </w:p>
    <w:p w14:paraId="341776C8" w14:textId="77777777" w:rsidR="000B6E98" w:rsidRDefault="008A7A17">
      <w:pPr>
        <w:spacing w:after="0"/>
        <w:ind w:left="852" w:hanging="284"/>
        <w:rPr>
          <w:rFonts w:ascii="Tahoma" w:eastAsia="Times New Roman" w:hAnsi="Tahoma"/>
          <w:sz w:val="20"/>
          <w:szCs w:val="24"/>
        </w:rPr>
      </w:pPr>
      <w:r w:rsidRPr="00696E15">
        <w:rPr>
          <w:rFonts w:ascii="Tahoma" w:eastAsia="Times New Roman" w:hAnsi="Tahoma"/>
          <w:sz w:val="20"/>
          <w:szCs w:val="24"/>
        </w:rPr>
        <w:t xml:space="preserve">a) la verifica dei documenti di accompagnamento delle forniture di materiali per assicurare che siano </w:t>
      </w:r>
      <w:r>
        <w:rPr>
          <w:rFonts w:ascii="Tahoma" w:eastAsia="Times New Roman" w:hAnsi="Tahoma"/>
          <w:sz w:val="20"/>
          <w:szCs w:val="24"/>
        </w:rPr>
        <w:t>conformi alle prescrizioni ed approvati dalle strutture di controllo di qualità del fornitore;</w:t>
      </w:r>
    </w:p>
    <w:p w14:paraId="0334A329"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b) la verifica, prima della messa in opera, che i materiali, le apparecchiature e gli impianti abbiano superato le fasi di collaudo prescritte dal controllo di qualità o dalle normative vigenti o dalle prescrizioni contrattuali in base alle quali sono stati costruiti;</w:t>
      </w:r>
    </w:p>
    <w:p w14:paraId="156420D5"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c) il controllo sulla attività dei subappaltatori;</w:t>
      </w:r>
    </w:p>
    <w:p w14:paraId="3D4C430E"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d) il controllo sulla regolare esecuzione dei lavori con riguardo ai disegni ed alle specifiche tecniche contrattuali;</w:t>
      </w:r>
    </w:p>
    <w:p w14:paraId="31B538FE"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e) l'assistenza alle prove di laboratorio;</w:t>
      </w:r>
    </w:p>
    <w:p w14:paraId="10583800"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f) l'assistenza ai collaudi dei lavori ed alle prove di messa in esercizio ed accettazione degli impianti;</w:t>
      </w:r>
    </w:p>
    <w:p w14:paraId="236915AB"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g) la predisposizione degli atti contabili e l'esecuzione delle misurazioni quando siano stati incaricati dal direttore dei lavori;</w:t>
      </w:r>
    </w:p>
    <w:p w14:paraId="11710768"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h) l'assistenza al coordinatore per l'esecuzione.</w:t>
      </w:r>
    </w:p>
    <w:p w14:paraId="3835E2CB" w14:textId="77777777" w:rsidR="000B6E98" w:rsidRDefault="000B6E98">
      <w:pPr>
        <w:spacing w:after="0"/>
        <w:rPr>
          <w:rFonts w:ascii="Tahoma" w:eastAsia="Times New Roman" w:hAnsi="Tahoma"/>
          <w:sz w:val="20"/>
          <w:szCs w:val="24"/>
        </w:rPr>
      </w:pPr>
    </w:p>
    <w:p w14:paraId="064A6090"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Direttore dei Lavori e i componenti dell’ufficio di direzione dei lavori, ove nominati, saranno tenuti a utilizzare la diligenza richiesta dall’attività esercitata ai sensi dell’art. 1176, comma 2, codice civile e a osservare il canone di buona fede di cui all’art. 1375 codice civile.</w:t>
      </w:r>
    </w:p>
    <w:p w14:paraId="6E672D7B"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Il </w:t>
      </w:r>
      <w:r>
        <w:rPr>
          <w:rFonts w:ascii="Tahoma" w:eastAsia="Times New Roman" w:hAnsi="Tahoma"/>
          <w:color w:val="000000"/>
          <w:sz w:val="20"/>
          <w:szCs w:val="24"/>
        </w:rPr>
        <w:t>Direttore dei Lavori potrà delegare le attività di controllo dei materiali e la compilazione del giornale dei lavori agli ispettori di cantiere, fermo restando che l’accettazione dei materiali e la verifica dell'esattezza delle annotazioni, le osservazioni, le prescrizioni e avvertenze sul giornale, re</w:t>
      </w:r>
      <w:r>
        <w:rPr>
          <w:rFonts w:ascii="Tahoma" w:eastAsia="Times New Roman" w:hAnsi="Tahoma"/>
          <w:sz w:val="20"/>
          <w:szCs w:val="24"/>
        </w:rPr>
        <w:t xml:space="preserve">sta di sua esclusiva competenza. </w:t>
      </w:r>
    </w:p>
    <w:p w14:paraId="0748B83B"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Con riferimento ad eventuali lavori affidati in subappalto il Direttore dei Lavori, con l’ausilio degli ispettori di cantiere, svolgerà le seguenti funzioni: </w:t>
      </w:r>
    </w:p>
    <w:p w14:paraId="0BD05C52"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 xml:space="preserve">a) verifica della presenza in cantiere delle imprese subappaltatrici autorizzate, nonché dei subcontraenti, che non sono subappaltatori, i cui nominativi sono stati comunicati alla stazione appaltante; </w:t>
      </w:r>
    </w:p>
    <w:p w14:paraId="537261B2"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lastRenderedPageBreak/>
        <w:t xml:space="preserve">b) controllo che i subappaltatori e i subcontraenti svolgano effettivamente la parte di prestazioni ad essi affidate nel rispetto della normativa vigente e del contratto stipulato; </w:t>
      </w:r>
    </w:p>
    <w:p w14:paraId="661AD46F"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 xml:space="preserve">c) accertamento delle contestazioni dell’impresa affidataria sulla regolarità dei lavori eseguiti dal subappaltatore e, ai fini della sospensione dei pagamenti all’impresa affidataria, determinazione della misura della quota corrispondente alla prestazione oggetto di contestazione; </w:t>
      </w:r>
    </w:p>
    <w:p w14:paraId="2E54A04F"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 xml:space="preserve">d) verifica del rispetto degli obblighi previsti dall’art. 105, comma 14, del Codice in materia di applicazione dei prezzi di subappalto e sicurezza; </w:t>
      </w:r>
    </w:p>
    <w:p w14:paraId="7F96C572" w14:textId="77777777" w:rsidR="000B6E98" w:rsidRDefault="008A7A17">
      <w:pPr>
        <w:spacing w:after="0"/>
        <w:ind w:left="852" w:hanging="284"/>
        <w:rPr>
          <w:rFonts w:ascii="Tahoma" w:eastAsia="Times New Roman" w:hAnsi="Tahoma"/>
          <w:sz w:val="20"/>
          <w:szCs w:val="24"/>
        </w:rPr>
      </w:pPr>
      <w:r>
        <w:rPr>
          <w:rFonts w:ascii="Tahoma" w:eastAsia="Times New Roman" w:hAnsi="Tahoma"/>
          <w:sz w:val="20"/>
          <w:szCs w:val="24"/>
        </w:rPr>
        <w:t xml:space="preserve">e) segnalazione al </w:t>
      </w:r>
      <w:proofErr w:type="spellStart"/>
      <w:r>
        <w:rPr>
          <w:rFonts w:ascii="Tahoma" w:eastAsia="Times New Roman" w:hAnsi="Tahoma"/>
          <w:sz w:val="20"/>
          <w:szCs w:val="24"/>
        </w:rPr>
        <w:t>Rup</w:t>
      </w:r>
      <w:proofErr w:type="spellEnd"/>
      <w:r>
        <w:rPr>
          <w:rFonts w:ascii="Tahoma" w:eastAsia="Times New Roman" w:hAnsi="Tahoma"/>
          <w:sz w:val="20"/>
          <w:szCs w:val="24"/>
        </w:rPr>
        <w:t xml:space="preserve"> dell’inosservanza, da parte dell’impresa affidataria, delle disposizioni di cui all’art. 105 del Codice. </w:t>
      </w:r>
    </w:p>
    <w:p w14:paraId="5621A2F2" w14:textId="3C060930" w:rsidR="000B6E98" w:rsidRDefault="000B6E98">
      <w:pPr>
        <w:spacing w:after="0"/>
        <w:rPr>
          <w:rFonts w:ascii="Tahoma" w:eastAsia="Times New Roman" w:hAnsi="Tahoma"/>
          <w:sz w:val="20"/>
          <w:szCs w:val="24"/>
        </w:rPr>
      </w:pPr>
    </w:p>
    <w:p w14:paraId="4E9B59A4" w14:textId="77777777" w:rsidR="00696E15" w:rsidRDefault="00696E15">
      <w:pPr>
        <w:spacing w:after="0"/>
        <w:rPr>
          <w:rFonts w:ascii="Tahoma" w:eastAsia="Times New Roman" w:hAnsi="Tahoma"/>
          <w:sz w:val="20"/>
          <w:szCs w:val="24"/>
        </w:rPr>
      </w:pPr>
    </w:p>
    <w:p w14:paraId="6374F38E"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#{GUID_0327CA3A-B98E-49FE-B180-7696AF66DE8D|LIVELLO_2|TESTO_Penali_END}&amp;</w:t>
      </w:r>
      <w:bookmarkStart w:id="22" w:name="4244"/>
      <w:bookmarkEnd w:id="22"/>
      <w:r>
        <w:rPr>
          <w:rFonts w:ascii="Tahoma" w:eastAsia="Times New Roman" w:hAnsi="Tahoma"/>
          <w:b/>
          <w:sz w:val="20"/>
          <w:szCs w:val="24"/>
        </w:rPr>
        <w:t>Art. 2.14</w:t>
      </w:r>
    </w:p>
    <w:p w14:paraId="18B08008"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PENALI</w:t>
      </w:r>
    </w:p>
    <w:p w14:paraId="462C6688" w14:textId="77777777" w:rsidR="000B6E98" w:rsidRDefault="000B6E98">
      <w:pPr>
        <w:spacing w:after="0"/>
        <w:rPr>
          <w:rFonts w:ascii="Tahoma" w:eastAsia="Times New Roman" w:hAnsi="Tahoma"/>
          <w:sz w:val="20"/>
          <w:szCs w:val="24"/>
        </w:rPr>
      </w:pPr>
    </w:p>
    <w:p w14:paraId="30664F04"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Ai sensi dell'articolo 113-bis del Codice, i contratti di appalto prevedono penali per il ritardo nell'esecuzione delle prestazioni contrattuali da parte dell'appaltatore commisurate ai giorni di ritardo e proporzionali rispetto all'importo del contratto. </w:t>
      </w:r>
    </w:p>
    <w:p w14:paraId="5FF21D99" w14:textId="5877E0B1" w:rsidR="000B6E98" w:rsidRPr="009A507E" w:rsidRDefault="008A7A17">
      <w:pPr>
        <w:spacing w:after="0"/>
        <w:ind w:firstLine="284"/>
        <w:rPr>
          <w:rFonts w:ascii="Tahoma" w:eastAsia="Times New Roman" w:hAnsi="Tahoma"/>
          <w:sz w:val="20"/>
          <w:szCs w:val="24"/>
        </w:rPr>
      </w:pPr>
      <w:r w:rsidRPr="009A507E">
        <w:rPr>
          <w:rFonts w:ascii="Tahoma" w:eastAsia="Times New Roman" w:hAnsi="Tahoma"/>
          <w:sz w:val="20"/>
          <w:szCs w:val="24"/>
        </w:rPr>
        <w:t xml:space="preserve">Le penali dovute per il ritardato adempimento sono calcolate in misura giornaliera </w:t>
      </w:r>
      <w:r w:rsidR="009A507E" w:rsidRPr="009A507E">
        <w:rPr>
          <w:rFonts w:ascii="Tahoma" w:eastAsia="Times New Roman" w:hAnsi="Tahoma"/>
          <w:sz w:val="20"/>
          <w:szCs w:val="24"/>
        </w:rPr>
        <w:t>pari</w:t>
      </w:r>
      <w:r w:rsidRPr="009A507E">
        <w:rPr>
          <w:rFonts w:ascii="Tahoma" w:eastAsia="Times New Roman" w:hAnsi="Tahoma"/>
          <w:sz w:val="20"/>
          <w:szCs w:val="24"/>
        </w:rPr>
        <w:t xml:space="preserve"> </w:t>
      </w:r>
      <w:r w:rsidR="009A507E" w:rsidRPr="009A507E">
        <w:rPr>
          <w:rFonts w:ascii="Tahoma" w:eastAsia="Times New Roman" w:hAnsi="Tahoma"/>
          <w:sz w:val="20"/>
          <w:szCs w:val="24"/>
        </w:rPr>
        <w:t>al</w:t>
      </w:r>
      <w:r w:rsidRPr="009A507E">
        <w:rPr>
          <w:rFonts w:ascii="Tahoma" w:eastAsia="Times New Roman" w:hAnsi="Tahoma"/>
          <w:sz w:val="20"/>
          <w:szCs w:val="24"/>
        </w:rPr>
        <w:t>l'1 per mille dell'ammontare netto contrattuale e non possono comunque superare, complessivamente, il 10 per cento di detto ammontare netto contrattuale.</w:t>
      </w:r>
    </w:p>
    <w:p w14:paraId="790F3B8A" w14:textId="54A86A82" w:rsidR="000B6E98" w:rsidRDefault="008A7A17">
      <w:pPr>
        <w:spacing w:after="0"/>
        <w:ind w:firstLine="284"/>
        <w:rPr>
          <w:rFonts w:ascii="Tahoma" w:eastAsia="Times New Roman" w:hAnsi="Tahoma"/>
          <w:strike/>
          <w:color w:val="000000"/>
          <w:sz w:val="20"/>
          <w:szCs w:val="24"/>
        </w:rPr>
      </w:pPr>
      <w:r>
        <w:rPr>
          <w:rFonts w:ascii="Tahoma" w:eastAsia="Times New Roman" w:hAnsi="Tahoma"/>
          <w:color w:val="000000"/>
          <w:sz w:val="20"/>
          <w:szCs w:val="24"/>
        </w:rPr>
        <w:t xml:space="preserve">In caso di mancato rispetto del termine stabilito per l'ultimazione dei lavori, sarà applicata una penale giornaliera </w:t>
      </w:r>
      <w:r w:rsidR="00156404" w:rsidRPr="009A507E">
        <w:rPr>
          <w:rFonts w:ascii="Tahoma" w:eastAsia="Times New Roman" w:hAnsi="Tahoma"/>
          <w:sz w:val="20"/>
          <w:szCs w:val="24"/>
        </w:rPr>
        <w:t>calcolate in misura giornaliera pari all'1 per mille dell'ammontare netto contrattuale e non possono comunque superare, complessivamente, il 10 per cento di detto ammontare netto contrattuale</w:t>
      </w:r>
      <w:r>
        <w:rPr>
          <w:rFonts w:ascii="Tahoma" w:eastAsia="Times New Roman" w:hAnsi="Tahoma"/>
          <w:color w:val="000000"/>
          <w:sz w:val="20"/>
          <w:szCs w:val="24"/>
        </w:rPr>
        <w:t xml:space="preserve">. </w:t>
      </w:r>
    </w:p>
    <w:p w14:paraId="484C424B"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Tutte le penali saranno contabilizzate in detrazione, in occasione di ogni pagamento immediatamente successivo al verificarsi della relativa condizione di ritardo, e saranno imputate mediante ritenuta sull'importo della rata di saldo in sede di collaudo finale. </w:t>
      </w:r>
    </w:p>
    <w:p w14:paraId="30981BF3" w14:textId="38CAD54D" w:rsidR="000B6E98" w:rsidRDefault="000B6E98">
      <w:pPr>
        <w:spacing w:after="0"/>
        <w:rPr>
          <w:rFonts w:ascii="Tahoma" w:eastAsia="Times New Roman" w:hAnsi="Tahoma"/>
          <w:sz w:val="20"/>
          <w:szCs w:val="24"/>
        </w:rPr>
      </w:pPr>
    </w:p>
    <w:p w14:paraId="5865B3F4" w14:textId="77777777" w:rsidR="00696E15" w:rsidRDefault="00696E15">
      <w:pPr>
        <w:spacing w:after="0"/>
        <w:rPr>
          <w:rFonts w:ascii="Tahoma" w:eastAsia="Times New Roman" w:hAnsi="Tahoma"/>
          <w:sz w:val="20"/>
          <w:szCs w:val="24"/>
        </w:rPr>
      </w:pPr>
    </w:p>
    <w:p w14:paraId="567517E9"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#{GUID_4D3544F8-5CBA-4729-A98F-E2BA9DC0022B|LIVELLO_2|TESTO_Sicurezza dei lavori_END}&amp;</w:t>
      </w:r>
      <w:bookmarkStart w:id="23" w:name="4245"/>
      <w:bookmarkEnd w:id="23"/>
      <w:r>
        <w:rPr>
          <w:rFonts w:ascii="Tahoma" w:eastAsia="Times New Roman" w:hAnsi="Tahoma"/>
          <w:b/>
          <w:sz w:val="20"/>
          <w:szCs w:val="24"/>
        </w:rPr>
        <w:t>Art. 2.15</w:t>
      </w:r>
    </w:p>
    <w:p w14:paraId="65232F4B"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SICUREZZA DEI LAVORI</w:t>
      </w:r>
    </w:p>
    <w:p w14:paraId="11DA2E6F" w14:textId="77777777" w:rsidR="000B6E98" w:rsidRDefault="000B6E98">
      <w:pPr>
        <w:spacing w:after="0"/>
        <w:rPr>
          <w:rFonts w:ascii="Tahoma" w:eastAsia="Times New Roman" w:hAnsi="Tahoma"/>
          <w:sz w:val="20"/>
          <w:szCs w:val="24"/>
        </w:rPr>
      </w:pPr>
    </w:p>
    <w:p w14:paraId="7A341829"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è tenuto ad osservare le disposizioni del piano di sicurezza e coordinamento eventualmente predisposto dal Coordinatore per la sicurezza in fase di progettazione (CSP) e messo a disposizione da parte della Stazione appaltante, ai sensi dell’articolo 100 del d.lgs. n. 81/2008 e </w:t>
      </w:r>
      <w:proofErr w:type="spellStart"/>
      <w:r>
        <w:rPr>
          <w:rFonts w:ascii="Tahoma" w:eastAsia="Times New Roman" w:hAnsi="Tahoma"/>
          <w:sz w:val="20"/>
          <w:szCs w:val="24"/>
        </w:rPr>
        <w:t>s.m.i.</w:t>
      </w:r>
      <w:proofErr w:type="spellEnd"/>
    </w:p>
    <w:p w14:paraId="3B8FD3CE"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L’obbligo è esteso alle eventuali modifiche e integrazioni disposte autonomamente dal Coordinatore per la sicurezza in fase di esecuzione (CSE) in seguito a sostanziali variazioni alle condizioni di sicurezza sopravvenute e alle eventuali modifiche e integrazioni approvate o accettate dallo stesso CSE. I nominativi dell'eventuale CSP e del CSE sono comunicati alle imprese esecutrici e indicati nel cartello di cantiere a cura della Stazione appaltante. </w:t>
      </w:r>
    </w:p>
    <w:p w14:paraId="17BD69DE"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prima della consegna dei lavori e, anche in caso di consegna d'urgenza, dovrà presentare al CSE (ai sensi dell'art. 100 del d.lgs. 9 aprile 2008, n. 81 e </w:t>
      </w:r>
      <w:proofErr w:type="spellStart"/>
      <w:r>
        <w:rPr>
          <w:rFonts w:ascii="Tahoma" w:eastAsia="Times New Roman" w:hAnsi="Tahoma"/>
          <w:sz w:val="20"/>
          <w:szCs w:val="24"/>
        </w:rPr>
        <w:t>s.m.i.</w:t>
      </w:r>
      <w:proofErr w:type="spellEnd"/>
      <w:r>
        <w:rPr>
          <w:rFonts w:ascii="Tahoma" w:eastAsia="Times New Roman" w:hAnsi="Tahoma"/>
          <w:sz w:val="20"/>
          <w:szCs w:val="24"/>
        </w:rPr>
        <w:t>) le eventuali proposte di integrazione al Piano di Sicurezza e Coordinamento allegato al progetto.</w:t>
      </w:r>
    </w:p>
    <w:p w14:paraId="58932FEE"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dovrà redigere il Piano Operativo di Sicurezza (POS), in riferimento al singolo cantiere interessato, da considerare come piano complementare di dettaglio del piano di sicurezza sopra menzionato. Il POS deve essere redatto da ciascuna impresa operante nel cantiere e consegnato alla stazione appaltante, per il tramite dell’appaltatore, prima dell’inizio dei lavori per i quali esso è redatto. </w:t>
      </w:r>
    </w:p>
    <w:p w14:paraId="21A2A5D7"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Qualora non sia previsto Piano di Sicurezza e Coordinamento (PSC), l'Appaltatore sarà tenuto comunque a presentare un Piano di Sicurezza Sostitutivo (PSS) del Piano di Sicurezza e Coordinamento conforme ai contenuti dell'Allegato XV del d.lgs. 9 aprile 2008, n. 81 e </w:t>
      </w:r>
      <w:proofErr w:type="spellStart"/>
      <w:proofErr w:type="gramStart"/>
      <w:r>
        <w:rPr>
          <w:rFonts w:ascii="Tahoma" w:eastAsia="Times New Roman" w:hAnsi="Tahoma"/>
          <w:sz w:val="20"/>
          <w:szCs w:val="24"/>
        </w:rPr>
        <w:t>s.m.i.</w:t>
      </w:r>
      <w:proofErr w:type="spellEnd"/>
      <w:r>
        <w:rPr>
          <w:rFonts w:ascii="Tahoma" w:eastAsia="Times New Roman" w:hAnsi="Tahoma"/>
          <w:sz w:val="20"/>
          <w:szCs w:val="24"/>
        </w:rPr>
        <w:t>.</w:t>
      </w:r>
      <w:proofErr w:type="gramEnd"/>
    </w:p>
    <w:p w14:paraId="77C0DD8D"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Nei casi in cui è prevista la redazione del Piano di Sicurezza e Coordinamento, prima dell'inizio dei lavori ovvero in corso d'opera, le imprese esecutrici possono presentare, per mezzo dell'impresa affidataria, al Coordinatore per l'esecuzione dei lavori proposte di modificazioni o integrazioni al Piano di Sicurezza e di Coordinamento loro trasmesso al fine di adeguarne i contenuti alle tecnologie proprie dell'Appaltatore e per garantire il rispetto delle norme per la prevenzione degli infortuni e la tutela della salute dei lavoratori eventualmente disattese nel piano stesso.</w:t>
      </w:r>
    </w:p>
    <w:p w14:paraId="3D00701F"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piano di sicurezza dovrà essere rispettato in modo rigoroso. È compito e onere dell'Appaltatore ottemperare a tutte le disposizioni normative vigenti in campo di sicurezza ed igiene del lavoro che gli concernono e che riguardano le proprie maestranze, mezzi d'opera ed eventuali lavoratori autonomi cui esse ritenga di affidare, anche in parte, i lavori o prestazioni specialistiche in essi compresi.</w:t>
      </w:r>
    </w:p>
    <w:p w14:paraId="54DA1F84"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Ai sensi dell'articolo 90 del d.lgs. n. 81/2008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nei cantieri in cui è prevista la presenza di più imprese </w:t>
      </w:r>
      <w:r>
        <w:rPr>
          <w:rFonts w:ascii="Tahoma" w:eastAsia="Times New Roman" w:hAnsi="Tahoma"/>
          <w:sz w:val="20"/>
          <w:szCs w:val="24"/>
        </w:rPr>
        <w:lastRenderedPageBreak/>
        <w:t xml:space="preserve">esecutrici, anche non contemporanea, viene designato il coordinatore per la progettazione (CSP) e, prima dell'affidamento dei lavori, il coordinatore per l'esecuzione dei lavori (CSE), in possesso dei requisiti di cui all'articolo 98 del d.lgs. n. 81/2008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La disposizione di cui al periodo precedente si applica anche nel caso in cui, dopo l'affidamento dei lavori a un'unica impresa, l'esecuzione dei lavori o di parte di essi sia affidata a una o più imprese. </w:t>
      </w:r>
    </w:p>
    <w:p w14:paraId="4EF7E504"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Anche nel caso di affidamento dei lavori ad un'unica impresa, si procederà alle seguenti verifiche prima della consegna dei lavori: </w:t>
      </w:r>
    </w:p>
    <w:p w14:paraId="1719B108"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 xml:space="preserve">a) verifica l'idoneità tecnico-professionale delle imprese affidatarie, delle imprese esecutrici e dei lavoratori autonomi in relazione alle funzioni o ai lavori da affidare, con le modalità di cui all'allegato XVII del d.lgs. n. 81/2008 e </w:t>
      </w:r>
      <w:proofErr w:type="spellStart"/>
      <w:proofErr w:type="gramStart"/>
      <w:r>
        <w:rPr>
          <w:rFonts w:ascii="Tahoma" w:eastAsia="Times New Roman" w:hAnsi="Tahoma"/>
          <w:sz w:val="20"/>
          <w:szCs w:val="24"/>
        </w:rPr>
        <w:t>s.m.i.</w:t>
      </w:r>
      <w:proofErr w:type="spellEnd"/>
      <w:r>
        <w:rPr>
          <w:rFonts w:ascii="Tahoma" w:eastAsia="Times New Roman" w:hAnsi="Tahoma"/>
          <w:sz w:val="20"/>
          <w:szCs w:val="24"/>
        </w:rPr>
        <w:t>.</w:t>
      </w:r>
      <w:proofErr w:type="gramEnd"/>
      <w:r>
        <w:rPr>
          <w:rFonts w:ascii="Tahoma" w:eastAsia="Times New Roman" w:hAnsi="Tahoma"/>
          <w:sz w:val="20"/>
          <w:szCs w:val="24"/>
        </w:rPr>
        <w:t xml:space="preserve"> Nei cantieri la cui entità presunta è inferiore a 200 uomini-giorno e i cui lavori non comportano rischi particolari di cui all'allegato XI, il requisito di cui al periodo che precede si considera soddisfatto mediante presentazione da parte delle imprese e dei lavoratori autonomi del certificato di iscrizione alla Camera di commercio, industria e artigianato e del documento unico di regolarità contributiva, corredato da autocertificazione in ordine al possesso degli altri requisiti previsti dall'allegato XVII; </w:t>
      </w:r>
    </w:p>
    <w:p w14:paraId="4FA94CEF"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 xml:space="preserve">b) dichiarazione dell'organico medio annuo, distinto per qualifica, corredata dagli estremi delle denunce dei lavoratori effettuate all'Istituto nazionale della previdenza sociale (INPS), all'Istituto nazionale assicurazione infortuni sul lavoro (INAIL) e alle casse edili, </w:t>
      </w:r>
      <w:proofErr w:type="spellStart"/>
      <w:r>
        <w:rPr>
          <w:rFonts w:ascii="Tahoma" w:eastAsia="Times New Roman" w:hAnsi="Tahoma"/>
          <w:sz w:val="20"/>
          <w:szCs w:val="24"/>
        </w:rPr>
        <w:t>nonchè</w:t>
      </w:r>
      <w:proofErr w:type="spellEnd"/>
      <w:r>
        <w:rPr>
          <w:rFonts w:ascii="Tahoma" w:eastAsia="Times New Roman" w:hAnsi="Tahoma"/>
          <w:sz w:val="20"/>
          <w:szCs w:val="24"/>
        </w:rPr>
        <w:t xml:space="preserve"> una dichiarazione relativa al contratto collettivo stipulato dalle organizzazioni sindacali comparativamente più rappresentative, applicato ai lavoratori dipendenti. Nei cantieri la cui entità presunta è inferiore a 200 uomini-giorno e i cui lavori non comportano rischi particolari di cui all'allegato XI, il requisito di cui al periodo che precede si considera soddisfatto mediante presentazione da parte delle imprese del documento unico di regolarità contributiva, fatta salva l'acquisizione d'ufficio da parte delle stazioni appaltanti pubbliche, e dell'autocertificazione relativa al contratto collettivo applicato; </w:t>
      </w:r>
    </w:p>
    <w:p w14:paraId="2CF93C2D"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 xml:space="preserve">c) copia della notifica preliminare, se del caso, di cui all'articolo 99 del d.lgs. n. 81/2008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e una dichiarazione attestante l'avvenuta verifica della documentazione di cui alle lettere a) e b).</w:t>
      </w:r>
    </w:p>
    <w:p w14:paraId="70864B88" w14:textId="77777777" w:rsidR="000B6E98" w:rsidRDefault="000B6E98">
      <w:pPr>
        <w:spacing w:after="0"/>
        <w:ind w:firstLine="284"/>
        <w:rPr>
          <w:rFonts w:ascii="Tahoma" w:eastAsia="Times New Roman" w:hAnsi="Tahoma"/>
          <w:sz w:val="20"/>
          <w:szCs w:val="24"/>
        </w:rPr>
      </w:pPr>
    </w:p>
    <w:p w14:paraId="6B0CA1A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All'atto dell'inizio dei lavori, e possibilmente nel verbale di consegna, l'Appaltatore dovrà dichiarare esplicitamente di essere perfettamente a conoscenza del regime di sicurezza del lavoro, ai sensi del d.lgs. 9 aprile 2008, n. 81 e </w:t>
      </w:r>
      <w:proofErr w:type="spellStart"/>
      <w:r>
        <w:rPr>
          <w:rFonts w:ascii="Tahoma" w:eastAsia="Times New Roman" w:hAnsi="Tahoma"/>
          <w:sz w:val="20"/>
          <w:szCs w:val="24"/>
        </w:rPr>
        <w:t>s.m.i.</w:t>
      </w:r>
      <w:proofErr w:type="spellEnd"/>
      <w:r>
        <w:rPr>
          <w:rFonts w:ascii="Tahoma" w:eastAsia="Times New Roman" w:hAnsi="Tahoma"/>
          <w:sz w:val="20"/>
          <w:szCs w:val="24"/>
        </w:rPr>
        <w:t>, in cui si colloca l'appalto e cioè:</w:t>
      </w:r>
    </w:p>
    <w:p w14:paraId="5EA2909B" w14:textId="77777777" w:rsidR="000B6E98" w:rsidRDefault="008A7A17" w:rsidP="008A7A17">
      <w:pPr>
        <w:numPr>
          <w:ilvl w:val="0"/>
          <w:numId w:val="7"/>
        </w:numPr>
        <w:spacing w:after="0"/>
        <w:ind w:left="710" w:hanging="284"/>
        <w:jc w:val="left"/>
        <w:rPr>
          <w:rFonts w:ascii="Tahoma" w:eastAsia="Times New Roman" w:hAnsi="Tahoma"/>
          <w:sz w:val="20"/>
          <w:szCs w:val="24"/>
        </w:rPr>
      </w:pPr>
      <w:r>
        <w:rPr>
          <w:rFonts w:ascii="Tahoma" w:eastAsia="Times New Roman" w:hAnsi="Tahoma"/>
          <w:sz w:val="20"/>
          <w:szCs w:val="24"/>
        </w:rPr>
        <w:t>il nome del committente</w:t>
      </w:r>
      <w:r>
        <w:rPr>
          <w:rFonts w:ascii="Tahoma" w:eastAsia="Times New Roman" w:hAnsi="Tahoma"/>
          <w:color w:val="0000FF"/>
          <w:sz w:val="20"/>
          <w:szCs w:val="24"/>
        </w:rPr>
        <w:t xml:space="preserve"> </w:t>
      </w:r>
      <w:r>
        <w:rPr>
          <w:rFonts w:ascii="Tahoma" w:eastAsia="Times New Roman" w:hAnsi="Tahoma"/>
          <w:sz w:val="20"/>
          <w:szCs w:val="24"/>
        </w:rPr>
        <w:t>o per esso in forza delle competenze attribuitegli, la persona che lo rappresenta;</w:t>
      </w:r>
    </w:p>
    <w:p w14:paraId="1D927DC7" w14:textId="77777777" w:rsidR="000B6E98" w:rsidRDefault="008A7A17" w:rsidP="008A7A17">
      <w:pPr>
        <w:numPr>
          <w:ilvl w:val="0"/>
          <w:numId w:val="7"/>
        </w:numPr>
        <w:spacing w:after="0"/>
        <w:ind w:left="710" w:hanging="284"/>
        <w:jc w:val="left"/>
        <w:rPr>
          <w:rFonts w:ascii="Tahoma" w:eastAsia="Times New Roman" w:hAnsi="Tahoma"/>
          <w:sz w:val="20"/>
          <w:szCs w:val="24"/>
        </w:rPr>
      </w:pPr>
      <w:r>
        <w:rPr>
          <w:rFonts w:ascii="Tahoma" w:eastAsia="Times New Roman" w:hAnsi="Tahoma"/>
          <w:sz w:val="20"/>
          <w:szCs w:val="24"/>
        </w:rPr>
        <w:t>il nome del Responsabile dei Lavori, eventualmente incaricato dal suddetto Committente (ai sensi dell'art. 89 d.lgs. 9 aprile 2008, n. 81);</w:t>
      </w:r>
    </w:p>
    <w:p w14:paraId="17EFEB40" w14:textId="3CDC6E79" w:rsidR="000B6E98" w:rsidRDefault="008A7A17" w:rsidP="008A7A17">
      <w:pPr>
        <w:numPr>
          <w:ilvl w:val="0"/>
          <w:numId w:val="7"/>
        </w:numPr>
        <w:spacing w:after="0"/>
        <w:ind w:left="710" w:hanging="284"/>
        <w:jc w:val="left"/>
        <w:rPr>
          <w:rFonts w:ascii="Tahoma" w:eastAsia="Times New Roman" w:hAnsi="Tahoma"/>
          <w:sz w:val="20"/>
          <w:szCs w:val="24"/>
        </w:rPr>
      </w:pPr>
      <w:r>
        <w:rPr>
          <w:rFonts w:ascii="Tahoma" w:eastAsia="Times New Roman" w:hAnsi="Tahoma"/>
          <w:sz w:val="20"/>
          <w:szCs w:val="24"/>
        </w:rPr>
        <w:t xml:space="preserve">che i lavori </w:t>
      </w:r>
      <w:r w:rsidRPr="00453B54">
        <w:rPr>
          <w:rFonts w:ascii="Tahoma" w:eastAsia="Times New Roman" w:hAnsi="Tahoma"/>
          <w:sz w:val="20"/>
          <w:szCs w:val="24"/>
        </w:rPr>
        <w:t>appaltati rientrano nelle so</w:t>
      </w:r>
      <w:r>
        <w:rPr>
          <w:rFonts w:ascii="Tahoma" w:eastAsia="Times New Roman" w:hAnsi="Tahoma"/>
          <w:sz w:val="20"/>
          <w:szCs w:val="24"/>
        </w:rPr>
        <w:t xml:space="preserve">glie fissate dall'art. 90 del d.lgs. 9 aprile 2008, n. 81 e </w:t>
      </w:r>
      <w:proofErr w:type="spellStart"/>
      <w:r>
        <w:rPr>
          <w:rFonts w:ascii="Tahoma" w:eastAsia="Times New Roman" w:hAnsi="Tahoma"/>
          <w:sz w:val="20"/>
          <w:szCs w:val="24"/>
        </w:rPr>
        <w:t>s.m.i.</w:t>
      </w:r>
      <w:proofErr w:type="spellEnd"/>
      <w:r>
        <w:rPr>
          <w:rFonts w:ascii="Tahoma" w:eastAsia="Times New Roman" w:hAnsi="Tahoma"/>
          <w:sz w:val="20"/>
          <w:szCs w:val="24"/>
        </w:rPr>
        <w:t>, per la nomina dei Coordinatori della Sicurezza;</w:t>
      </w:r>
    </w:p>
    <w:p w14:paraId="6A20B350" w14:textId="77777777" w:rsidR="000B6E98" w:rsidRDefault="008A7A17" w:rsidP="008A7A17">
      <w:pPr>
        <w:numPr>
          <w:ilvl w:val="0"/>
          <w:numId w:val="7"/>
        </w:numPr>
        <w:spacing w:after="0"/>
        <w:ind w:left="710" w:hanging="284"/>
        <w:jc w:val="left"/>
        <w:rPr>
          <w:rFonts w:ascii="Tahoma" w:eastAsia="Times New Roman" w:hAnsi="Tahoma"/>
          <w:sz w:val="20"/>
          <w:szCs w:val="24"/>
        </w:rPr>
      </w:pPr>
      <w:r>
        <w:rPr>
          <w:rFonts w:ascii="Tahoma" w:eastAsia="Times New Roman" w:hAnsi="Tahoma"/>
          <w:sz w:val="20"/>
          <w:szCs w:val="24"/>
        </w:rPr>
        <w:t xml:space="preserve">il nome del Coordinatore della Sicurezza in fase di progettazione; </w:t>
      </w:r>
    </w:p>
    <w:p w14:paraId="038C05B1" w14:textId="77777777" w:rsidR="000B6E98" w:rsidRDefault="008A7A17" w:rsidP="008A7A17">
      <w:pPr>
        <w:numPr>
          <w:ilvl w:val="0"/>
          <w:numId w:val="7"/>
        </w:numPr>
        <w:spacing w:after="0"/>
        <w:ind w:left="710" w:hanging="284"/>
        <w:jc w:val="left"/>
        <w:rPr>
          <w:rFonts w:ascii="Tahoma" w:eastAsia="Times New Roman" w:hAnsi="Tahoma"/>
          <w:sz w:val="20"/>
          <w:szCs w:val="24"/>
        </w:rPr>
      </w:pPr>
      <w:r>
        <w:rPr>
          <w:rFonts w:ascii="Tahoma" w:eastAsia="Times New Roman" w:hAnsi="Tahoma"/>
          <w:sz w:val="20"/>
          <w:szCs w:val="24"/>
        </w:rPr>
        <w:t>il nome del Coordinatore della Sicurezza in fase di esecuzione;</w:t>
      </w:r>
    </w:p>
    <w:p w14:paraId="2DC313EB" w14:textId="33E0880D" w:rsidR="000B6E98" w:rsidRDefault="008A7A17" w:rsidP="008A7A17">
      <w:pPr>
        <w:numPr>
          <w:ilvl w:val="0"/>
          <w:numId w:val="7"/>
        </w:numPr>
        <w:spacing w:after="0"/>
        <w:ind w:left="710" w:hanging="284"/>
        <w:jc w:val="left"/>
        <w:rPr>
          <w:rFonts w:ascii="Tahoma" w:eastAsia="Times New Roman" w:hAnsi="Tahoma"/>
          <w:sz w:val="20"/>
          <w:szCs w:val="24"/>
        </w:rPr>
      </w:pPr>
      <w:r>
        <w:rPr>
          <w:rFonts w:ascii="Tahoma" w:eastAsia="Times New Roman" w:hAnsi="Tahoma"/>
          <w:sz w:val="20"/>
          <w:szCs w:val="24"/>
        </w:rPr>
        <w:t xml:space="preserve">di aver preso visione del Piano di Sicurezza e Coordinamento in quanto facente parte del progetto e di avervi adeguato le proprie offerte, tenendo conto che i relativi oneri, non soggetti a ribasso d'asta, assommano all'importo di Euro </w:t>
      </w:r>
      <w:r w:rsidR="00453B54">
        <w:rPr>
          <w:rFonts w:ascii="Tahoma" w:eastAsia="Times New Roman" w:hAnsi="Tahoma"/>
          <w:bCs/>
          <w:sz w:val="20"/>
          <w:szCs w:val="24"/>
        </w:rPr>
        <w:t>2'680,32</w:t>
      </w:r>
      <w:r w:rsidRPr="00453B54">
        <w:rPr>
          <w:rFonts w:ascii="Tahoma" w:eastAsia="Times New Roman" w:hAnsi="Tahoma"/>
          <w:bCs/>
          <w:sz w:val="20"/>
          <w:szCs w:val="24"/>
        </w:rPr>
        <w:t>.</w:t>
      </w:r>
    </w:p>
    <w:p w14:paraId="2FDFF630"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Nella fase di realizzazione dell'opera il Coordinatore per l'esecuzione dei lavori, ove previsto ai sensi dell'art. 92 d.lgs. 9 aprile 2008, n. 81 e </w:t>
      </w:r>
      <w:proofErr w:type="spellStart"/>
      <w:r>
        <w:rPr>
          <w:rFonts w:ascii="Tahoma" w:eastAsia="Times New Roman" w:hAnsi="Tahoma"/>
          <w:sz w:val="20"/>
          <w:szCs w:val="24"/>
        </w:rPr>
        <w:t>s.m.i.</w:t>
      </w:r>
      <w:proofErr w:type="spellEnd"/>
      <w:r>
        <w:rPr>
          <w:rFonts w:ascii="Tahoma" w:eastAsia="Times New Roman" w:hAnsi="Tahoma"/>
          <w:sz w:val="20"/>
          <w:szCs w:val="24"/>
        </w:rPr>
        <w:t>:</w:t>
      </w:r>
    </w:p>
    <w:p w14:paraId="3DF464C8" w14:textId="77777777" w:rsidR="000B6E98" w:rsidRDefault="008A7A17" w:rsidP="008A7A17">
      <w:pPr>
        <w:numPr>
          <w:ilvl w:val="0"/>
          <w:numId w:val="6"/>
        </w:numPr>
        <w:spacing w:after="0"/>
        <w:ind w:left="710" w:hanging="284"/>
        <w:jc w:val="left"/>
        <w:rPr>
          <w:rFonts w:ascii="Tahoma" w:eastAsia="Times New Roman" w:hAnsi="Tahoma"/>
          <w:sz w:val="20"/>
          <w:szCs w:val="24"/>
        </w:rPr>
      </w:pPr>
      <w:r>
        <w:rPr>
          <w:rFonts w:ascii="Tahoma" w:eastAsia="Times New Roman" w:hAnsi="Tahoma"/>
          <w:sz w:val="20"/>
          <w:szCs w:val="24"/>
        </w:rPr>
        <w:t xml:space="preserve">verificherà, tramite opportune azioni di coordinamento e controllo, l'applicazione da parte delle imprese appaltatrici (e subappaltatrici) e dei lavoratori autonomi delle disposizioni contenute nel Piano di Sicurezza e Coordinamento di cui all'art. 100, d.lgs. 9 aprile 2008, n. 81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ove previsto;</w:t>
      </w:r>
    </w:p>
    <w:p w14:paraId="63CB2239" w14:textId="77777777" w:rsidR="000B6E98" w:rsidRDefault="008A7A17" w:rsidP="008A7A17">
      <w:pPr>
        <w:numPr>
          <w:ilvl w:val="0"/>
          <w:numId w:val="6"/>
        </w:numPr>
        <w:spacing w:after="0"/>
        <w:ind w:left="710" w:hanging="284"/>
        <w:jc w:val="left"/>
        <w:rPr>
          <w:rFonts w:ascii="Tahoma" w:eastAsia="Times New Roman" w:hAnsi="Tahoma"/>
          <w:sz w:val="20"/>
          <w:szCs w:val="24"/>
        </w:rPr>
      </w:pPr>
      <w:r>
        <w:rPr>
          <w:rFonts w:ascii="Tahoma" w:eastAsia="Times New Roman" w:hAnsi="Tahoma"/>
          <w:sz w:val="20"/>
          <w:szCs w:val="24"/>
        </w:rPr>
        <w:t>verificherà l'idoneità dei Piani Operativi di Sicurezza;</w:t>
      </w:r>
    </w:p>
    <w:p w14:paraId="02ECCF2F" w14:textId="77777777" w:rsidR="000B6E98" w:rsidRDefault="008A7A17" w:rsidP="008A7A17">
      <w:pPr>
        <w:numPr>
          <w:ilvl w:val="0"/>
          <w:numId w:val="6"/>
        </w:numPr>
        <w:spacing w:after="0"/>
        <w:ind w:left="710" w:hanging="284"/>
        <w:jc w:val="left"/>
        <w:rPr>
          <w:rFonts w:ascii="Tahoma" w:eastAsia="Times New Roman" w:hAnsi="Tahoma"/>
          <w:sz w:val="20"/>
          <w:szCs w:val="24"/>
        </w:rPr>
      </w:pPr>
      <w:r>
        <w:rPr>
          <w:rFonts w:ascii="Tahoma" w:eastAsia="Times New Roman" w:hAnsi="Tahoma"/>
          <w:sz w:val="20"/>
          <w:szCs w:val="24"/>
        </w:rPr>
        <w:t>adeguerà il piano di sicurezza e coordinamento ove previsto e il fascicolo, in relazione all'evoluzione dei lavori e alle eventuali modifiche;</w:t>
      </w:r>
    </w:p>
    <w:p w14:paraId="51D4F5D2" w14:textId="77777777" w:rsidR="000B6E98" w:rsidRDefault="008A7A17" w:rsidP="008A7A17">
      <w:pPr>
        <w:numPr>
          <w:ilvl w:val="0"/>
          <w:numId w:val="6"/>
        </w:numPr>
        <w:spacing w:after="0"/>
        <w:ind w:left="710" w:hanging="284"/>
        <w:jc w:val="left"/>
        <w:rPr>
          <w:rFonts w:ascii="Tahoma" w:eastAsia="Times New Roman" w:hAnsi="Tahoma"/>
          <w:sz w:val="20"/>
          <w:szCs w:val="24"/>
        </w:rPr>
      </w:pPr>
      <w:r>
        <w:rPr>
          <w:rFonts w:ascii="Tahoma" w:eastAsia="Times New Roman" w:hAnsi="Tahoma"/>
          <w:sz w:val="20"/>
          <w:szCs w:val="24"/>
        </w:rPr>
        <w:t>organizzerà, tra tutte le imprese presenti a vario titolo in cantiere, la cooperazione ed il coordinamento delle attività per la prevenzione e la protezione dai rischi;</w:t>
      </w:r>
    </w:p>
    <w:p w14:paraId="71E75886" w14:textId="77777777" w:rsidR="000B6E98" w:rsidRDefault="008A7A17" w:rsidP="008A7A17">
      <w:pPr>
        <w:numPr>
          <w:ilvl w:val="0"/>
          <w:numId w:val="6"/>
        </w:numPr>
        <w:spacing w:after="0"/>
        <w:ind w:left="710" w:hanging="284"/>
        <w:jc w:val="left"/>
        <w:rPr>
          <w:rFonts w:ascii="Tahoma" w:eastAsia="Times New Roman" w:hAnsi="Tahoma"/>
          <w:sz w:val="20"/>
          <w:szCs w:val="24"/>
        </w:rPr>
      </w:pPr>
      <w:r>
        <w:rPr>
          <w:rFonts w:ascii="Tahoma" w:eastAsia="Times New Roman" w:hAnsi="Tahoma"/>
          <w:sz w:val="20"/>
          <w:szCs w:val="24"/>
        </w:rPr>
        <w:t>sovrintenderà all'attività informativa e formativa per i lavoratori, espletata dalle varie imprese;</w:t>
      </w:r>
    </w:p>
    <w:p w14:paraId="533BF85A" w14:textId="77777777" w:rsidR="000B6E98" w:rsidRDefault="008A7A17" w:rsidP="008A7A17">
      <w:pPr>
        <w:numPr>
          <w:ilvl w:val="0"/>
          <w:numId w:val="6"/>
        </w:numPr>
        <w:spacing w:after="0"/>
        <w:ind w:left="710" w:hanging="284"/>
        <w:jc w:val="left"/>
        <w:rPr>
          <w:rFonts w:ascii="Tahoma" w:eastAsia="Times New Roman" w:hAnsi="Tahoma"/>
          <w:sz w:val="20"/>
          <w:szCs w:val="24"/>
        </w:rPr>
      </w:pPr>
      <w:r>
        <w:rPr>
          <w:rFonts w:ascii="Tahoma" w:eastAsia="Times New Roman" w:hAnsi="Tahoma"/>
          <w:sz w:val="20"/>
          <w:szCs w:val="24"/>
        </w:rPr>
        <w:t>controllerà la corretta applicazione, da parte delle imprese, delle procedure di lavoro e, in caso contrario, attuerà le azioni correttive più efficaci;</w:t>
      </w:r>
    </w:p>
    <w:p w14:paraId="3EB36F49" w14:textId="77777777" w:rsidR="000B6E98" w:rsidRDefault="008A7A17" w:rsidP="008A7A17">
      <w:pPr>
        <w:numPr>
          <w:ilvl w:val="0"/>
          <w:numId w:val="6"/>
        </w:numPr>
        <w:spacing w:after="0"/>
        <w:ind w:left="710" w:hanging="284"/>
        <w:jc w:val="left"/>
        <w:rPr>
          <w:rFonts w:ascii="Tahoma" w:eastAsia="Times New Roman" w:hAnsi="Tahoma"/>
          <w:sz w:val="20"/>
          <w:szCs w:val="24"/>
        </w:rPr>
      </w:pPr>
      <w:r>
        <w:rPr>
          <w:rFonts w:ascii="Tahoma" w:eastAsia="Times New Roman" w:hAnsi="Tahoma"/>
          <w:sz w:val="20"/>
          <w:szCs w:val="24"/>
        </w:rPr>
        <w:t>segnalerà al Committente o al responsabile dei lavori, previa contestazione scritta, le inadempienze da parte delle imprese e dei lavoratori autonomi;</w:t>
      </w:r>
    </w:p>
    <w:p w14:paraId="04C10E27" w14:textId="77777777" w:rsidR="000B6E98" w:rsidRDefault="008A7A17" w:rsidP="008A7A17">
      <w:pPr>
        <w:numPr>
          <w:ilvl w:val="0"/>
          <w:numId w:val="6"/>
        </w:numPr>
        <w:spacing w:after="0"/>
        <w:ind w:left="710" w:hanging="284"/>
        <w:jc w:val="left"/>
        <w:rPr>
          <w:rFonts w:ascii="Tahoma" w:eastAsia="Times New Roman" w:hAnsi="Tahoma"/>
          <w:sz w:val="20"/>
          <w:szCs w:val="24"/>
        </w:rPr>
      </w:pPr>
      <w:r>
        <w:rPr>
          <w:rFonts w:ascii="Tahoma" w:eastAsia="Times New Roman" w:hAnsi="Tahoma"/>
          <w:sz w:val="20"/>
          <w:szCs w:val="24"/>
        </w:rPr>
        <w:t xml:space="preserve">proporrà la sospensione dei lavori, l'allontanamento delle imprese o la risoluzione del contratto. </w:t>
      </w:r>
    </w:p>
    <w:p w14:paraId="7D489E5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Nel caso in cui la Stazione Appaltante o il responsabile dei lavori non adottino alcun provvedimento, senza fornire idonea motivazione, provvede a dare comunicazione dell'inadempienza alla ASL e alla Direzione </w:t>
      </w:r>
      <w:r>
        <w:rPr>
          <w:rFonts w:ascii="Tahoma" w:eastAsia="Times New Roman" w:hAnsi="Tahoma"/>
          <w:sz w:val="20"/>
          <w:szCs w:val="24"/>
        </w:rPr>
        <w:lastRenderedPageBreak/>
        <w:t>Provinciale del Lavoro. In caso di pericolo grave ed imminente, direttamente riscontrato, egli potrà sospendere le singole lavorazioni, fino alla verifica degli avvenuti adeguamenti effettuati dalle imprese interessate.</w:t>
      </w:r>
    </w:p>
    <w:p w14:paraId="65EF8E4D"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Il piano (o i piani) dovranno comunque essere aggiornati nel caso di nuove disposizioni in materia di sicurezza e di igiene del lavoro, o di nuove circostanze intervenute nel corso dell'appalto, nonché ogni qualvolta l'Appaltatore intenda apportare modifiche alle misure previste o ai macchinari ed attrezzature da impiegare.</w:t>
      </w:r>
    </w:p>
    <w:p w14:paraId="32331563"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dovrà portare a conoscenza del personale impiegato in cantiere e dei rappresentanti dei lavori per la sicurezza il piano (o i piani) di sicurezza ed igiene del lavoro e gli eventuali successivi aggiornamenti, allo scopo di informare e formare detto personale, secondo le direttive eventualmente emanate dal Coordinatore per l'esecuzione dei lavori. Ai sensi dell’articolo 105, comma 14, del Codice dei contratti, l’appaltatore è solidalmente responsabile con i subappaltatori per gli adempimenti, da parte di questo ultimo, degli obblighi di sicurezza. </w:t>
      </w:r>
    </w:p>
    <w:p w14:paraId="6CC842A4"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Le gravi o ripetute violazioni dei piani di sicurezza da parte dell’appaltatore, comunque accertate, previa formale costituzione in mora dell’interessato, costituiscono causa di risoluzione del contratto. </w:t>
      </w:r>
    </w:p>
    <w:p w14:paraId="59B178F3" w14:textId="774B5CFC" w:rsidR="000B6E98" w:rsidRDefault="000B6E98">
      <w:pPr>
        <w:spacing w:after="0"/>
        <w:ind w:firstLine="284"/>
        <w:rPr>
          <w:rFonts w:ascii="Tahoma" w:eastAsia="Times New Roman" w:hAnsi="Tahoma"/>
          <w:sz w:val="20"/>
          <w:szCs w:val="24"/>
        </w:rPr>
      </w:pPr>
    </w:p>
    <w:p w14:paraId="213B342C" w14:textId="77777777" w:rsidR="00453B54" w:rsidRDefault="00453B54">
      <w:pPr>
        <w:spacing w:after="0"/>
        <w:ind w:firstLine="284"/>
        <w:rPr>
          <w:rFonts w:ascii="Tahoma" w:eastAsia="Times New Roman" w:hAnsi="Tahoma"/>
          <w:sz w:val="20"/>
          <w:szCs w:val="24"/>
        </w:rPr>
      </w:pPr>
    </w:p>
    <w:p w14:paraId="0879E75C"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#{GUID_5A87D62F-9DB3-4E53-B215-03EAD3B4ECD8|LIVELLO_2|TESTO_Obblighi dell'Appaltatore relativi alla tracciabilità dei flussi finanziari_END}&amp;</w:t>
      </w:r>
      <w:bookmarkStart w:id="24" w:name="4246"/>
      <w:bookmarkEnd w:id="24"/>
      <w:r>
        <w:rPr>
          <w:rFonts w:ascii="Tahoma" w:eastAsia="Times New Roman" w:hAnsi="Tahoma"/>
          <w:b/>
          <w:sz w:val="20"/>
          <w:szCs w:val="24"/>
        </w:rPr>
        <w:t>Art. 2.16</w:t>
      </w:r>
    </w:p>
    <w:p w14:paraId="47AD692C"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OBBLIGHI DELL'APPALTATORE RELATIVI ALLA TRACCIABILITÀ DEI FLUSSI FINANZIARI</w:t>
      </w:r>
    </w:p>
    <w:p w14:paraId="62A89207" w14:textId="77777777" w:rsidR="000B6E98" w:rsidRDefault="000B6E98">
      <w:pPr>
        <w:spacing w:after="0"/>
        <w:rPr>
          <w:rFonts w:ascii="Tahoma" w:eastAsia="Times New Roman" w:hAnsi="Tahoma"/>
          <w:sz w:val="20"/>
          <w:szCs w:val="24"/>
        </w:rPr>
      </w:pPr>
    </w:p>
    <w:p w14:paraId="77F6F699"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assume tutti gli obblighi di tracciabilità dei flussi finanziari di cui all'art. 3 della legge 13 agosto 2010, n. 136 e </w:t>
      </w:r>
      <w:proofErr w:type="spellStart"/>
      <w:r>
        <w:rPr>
          <w:rFonts w:ascii="Tahoma" w:eastAsia="Times New Roman" w:hAnsi="Tahoma"/>
          <w:sz w:val="20"/>
          <w:szCs w:val="24"/>
        </w:rPr>
        <w:t>s.m.i</w:t>
      </w:r>
      <w:proofErr w:type="spellEnd"/>
      <w:r>
        <w:rPr>
          <w:rFonts w:ascii="Tahoma" w:eastAsia="Times New Roman" w:hAnsi="Tahoma"/>
          <w:sz w:val="20"/>
          <w:szCs w:val="24"/>
        </w:rPr>
        <w:t>, a pena di nullità del contratto.</w:t>
      </w:r>
    </w:p>
    <w:p w14:paraId="585F468A" w14:textId="411623CB" w:rsidR="000B6E98" w:rsidRDefault="008A7A17">
      <w:pPr>
        <w:spacing w:after="0"/>
        <w:ind w:firstLine="284"/>
        <w:rPr>
          <w:rFonts w:ascii="Tahoma" w:eastAsia="Times New Roman" w:hAnsi="Tahoma"/>
          <w:sz w:val="20"/>
          <w:szCs w:val="24"/>
        </w:rPr>
      </w:pPr>
      <w:r>
        <w:rPr>
          <w:rFonts w:ascii="Tahoma" w:eastAsia="Times New Roman" w:hAnsi="Tahoma"/>
          <w:sz w:val="20"/>
          <w:szCs w:val="24"/>
        </w:rPr>
        <w:t>Tutti i movimenti finanziari relativi all’intervento per pagamenti a favore dell’appaltatore, o di tutti i soggetti che eseguono lavori, forniscono beni o prestano servizi in relazione all’intervento, devono avvenire mediante bonifico bancario o postale, ovvero altro mezzo che sia ammesso dall’ordinamento giuridico in quanto idoneo ai fini della tracciabilità. Tali pagamenti devono avvenire utilizzando i conti correnti dedicati.</w:t>
      </w:r>
    </w:p>
    <w:p w14:paraId="5A21F8D1"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Le prescrizioni suindicate dovranno essere riportate anche nei contratti sottoscritti con subappaltatori e/o subcontraenti a qualsiasi titolo interessati all’intervento. </w:t>
      </w:r>
    </w:p>
    <w:p w14:paraId="64535E36" w14:textId="31B0EFE3"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si impegna, inoltre, a dare immediata comunicazione alla stazione appaltante ed alla prefettura-ufficio territoriale del Governo della provincia ove ha sede la stazione appaltante, della notizia dell'inadempimento della propria controparte (subappaltatore/subcontraente) agli obblighi di tracciabilità finanziaria. Il mancato utilizzo del bonifico bancario o postale ovvero degli altri strumenti idonei a consentire la piena </w:t>
      </w:r>
      <w:proofErr w:type="spellStart"/>
      <w:r>
        <w:rPr>
          <w:rFonts w:ascii="Tahoma" w:eastAsia="Times New Roman" w:hAnsi="Tahoma"/>
          <w:sz w:val="20"/>
          <w:szCs w:val="24"/>
        </w:rPr>
        <w:t>tracciabilita'</w:t>
      </w:r>
      <w:proofErr w:type="spellEnd"/>
      <w:r>
        <w:rPr>
          <w:rFonts w:ascii="Tahoma" w:eastAsia="Times New Roman" w:hAnsi="Tahoma"/>
          <w:sz w:val="20"/>
          <w:szCs w:val="24"/>
        </w:rPr>
        <w:t xml:space="preserve"> delle operazioni costituisce causa di risoluzione del contratto.</w:t>
      </w:r>
    </w:p>
    <w:p w14:paraId="6D523A38" w14:textId="774D42F0" w:rsidR="000B6E98" w:rsidRDefault="000B6E98">
      <w:pPr>
        <w:spacing w:after="0"/>
        <w:ind w:firstLine="284"/>
        <w:rPr>
          <w:rFonts w:ascii="Tahoma" w:eastAsia="Times New Roman" w:hAnsi="Tahoma"/>
          <w:sz w:val="20"/>
          <w:szCs w:val="24"/>
        </w:rPr>
      </w:pPr>
    </w:p>
    <w:p w14:paraId="6A0DF1E9" w14:textId="77777777" w:rsidR="00453B54" w:rsidRDefault="00453B54">
      <w:pPr>
        <w:spacing w:after="0"/>
        <w:ind w:firstLine="284"/>
        <w:rPr>
          <w:rFonts w:ascii="Tahoma" w:eastAsia="Times New Roman" w:hAnsi="Tahoma"/>
          <w:sz w:val="20"/>
          <w:szCs w:val="24"/>
        </w:rPr>
      </w:pPr>
    </w:p>
    <w:p w14:paraId="0690792C"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#{GUID_6BE221EB-E9B6-4E5B-A34A-5F2F6B8F33FB|LIVELLO_2|TESTO_Anticipazione e pagamenti in acconto_END}&amp;</w:t>
      </w:r>
      <w:bookmarkStart w:id="25" w:name="4247"/>
      <w:bookmarkEnd w:id="25"/>
      <w:r>
        <w:rPr>
          <w:rFonts w:ascii="Tahoma" w:eastAsia="Times New Roman" w:hAnsi="Tahoma"/>
          <w:b/>
          <w:sz w:val="20"/>
          <w:szCs w:val="24"/>
        </w:rPr>
        <w:t>Art. 2.17</w:t>
      </w:r>
    </w:p>
    <w:p w14:paraId="6F854627"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ANTICIPAZIONE E PAGAMENTI IN ACCONTO</w:t>
      </w:r>
    </w:p>
    <w:p w14:paraId="66E136B5" w14:textId="77777777" w:rsidR="000B6E98" w:rsidRDefault="000B6E98">
      <w:pPr>
        <w:spacing w:after="0"/>
        <w:rPr>
          <w:rFonts w:ascii="Tahoma" w:eastAsia="Times New Roman" w:hAnsi="Tahoma"/>
          <w:sz w:val="20"/>
          <w:szCs w:val="24"/>
        </w:rPr>
      </w:pPr>
    </w:p>
    <w:p w14:paraId="68FCB75C" w14:textId="3E546241" w:rsidR="000B6E98" w:rsidRDefault="008A7A17">
      <w:pPr>
        <w:spacing w:after="0"/>
        <w:ind w:firstLine="284"/>
        <w:rPr>
          <w:rFonts w:ascii="Tahoma" w:eastAsia="Times New Roman" w:hAnsi="Tahoma"/>
          <w:color w:val="000000"/>
          <w:sz w:val="20"/>
          <w:szCs w:val="24"/>
        </w:rPr>
      </w:pPr>
      <w:r w:rsidRPr="00D70728">
        <w:rPr>
          <w:rFonts w:ascii="Tahoma" w:eastAsia="Times New Roman" w:hAnsi="Tahoma"/>
          <w:color w:val="000000"/>
          <w:sz w:val="20"/>
          <w:szCs w:val="24"/>
        </w:rPr>
        <w:t xml:space="preserve">Ai sensi dell'art. 35 comma 18 del d.lgs. n.50/2016 e </w:t>
      </w:r>
      <w:proofErr w:type="spellStart"/>
      <w:r w:rsidRPr="00D70728">
        <w:rPr>
          <w:rFonts w:ascii="Tahoma" w:eastAsia="Times New Roman" w:hAnsi="Tahoma"/>
          <w:color w:val="000000"/>
          <w:sz w:val="20"/>
          <w:szCs w:val="24"/>
        </w:rPr>
        <w:t>s.m.i.</w:t>
      </w:r>
      <w:proofErr w:type="spellEnd"/>
      <w:r w:rsidR="00D70728" w:rsidRPr="00D70728">
        <w:rPr>
          <w:rFonts w:ascii="Tahoma" w:eastAsia="Times New Roman" w:hAnsi="Tahoma"/>
          <w:color w:val="000000"/>
          <w:sz w:val="20"/>
          <w:szCs w:val="24"/>
        </w:rPr>
        <w:t>, e così come previsto dall’art. 207 del D.L. 34 del 19/05/2020</w:t>
      </w:r>
      <w:r w:rsidRPr="00D70728">
        <w:rPr>
          <w:rFonts w:ascii="Tahoma" w:eastAsia="Times New Roman" w:hAnsi="Tahoma"/>
          <w:color w:val="000000"/>
          <w:sz w:val="20"/>
          <w:szCs w:val="24"/>
        </w:rPr>
        <w:t xml:space="preserve">, sul valore del contratto d'appalto verrà calcolato l’importo dell’anticipazione del prezzo pari al </w:t>
      </w:r>
      <w:r w:rsidR="00AA62A0" w:rsidRPr="00D70728">
        <w:rPr>
          <w:rFonts w:ascii="Tahoma" w:eastAsia="Times New Roman" w:hAnsi="Tahoma"/>
          <w:color w:val="000000"/>
          <w:sz w:val="20"/>
          <w:szCs w:val="24"/>
        </w:rPr>
        <w:t>3</w:t>
      </w:r>
      <w:r w:rsidR="00453B54" w:rsidRPr="00D70728">
        <w:rPr>
          <w:rFonts w:ascii="Tahoma" w:eastAsia="Times New Roman" w:hAnsi="Tahoma"/>
          <w:color w:val="000000"/>
          <w:sz w:val="20"/>
          <w:szCs w:val="24"/>
        </w:rPr>
        <w:t>0% (</w:t>
      </w:r>
      <w:r w:rsidR="00AA62A0" w:rsidRPr="00D70728">
        <w:rPr>
          <w:rFonts w:ascii="Tahoma" w:eastAsia="Times New Roman" w:hAnsi="Tahoma"/>
          <w:color w:val="000000"/>
          <w:sz w:val="20"/>
          <w:szCs w:val="24"/>
        </w:rPr>
        <w:t>trenta</w:t>
      </w:r>
      <w:r w:rsidR="00453B54" w:rsidRPr="00D70728">
        <w:rPr>
          <w:rFonts w:ascii="Tahoma" w:eastAsia="Times New Roman" w:hAnsi="Tahoma"/>
          <w:color w:val="000000"/>
          <w:sz w:val="20"/>
          <w:szCs w:val="24"/>
        </w:rPr>
        <w:t xml:space="preserve"> per</w:t>
      </w:r>
      <w:r w:rsidR="00AA62A0" w:rsidRPr="00D70728">
        <w:rPr>
          <w:rFonts w:ascii="Tahoma" w:eastAsia="Times New Roman" w:hAnsi="Tahoma"/>
          <w:color w:val="000000"/>
          <w:sz w:val="20"/>
          <w:szCs w:val="24"/>
        </w:rPr>
        <w:t xml:space="preserve"> </w:t>
      </w:r>
      <w:r w:rsidR="00453B54" w:rsidRPr="00D70728">
        <w:rPr>
          <w:rFonts w:ascii="Tahoma" w:eastAsia="Times New Roman" w:hAnsi="Tahoma"/>
          <w:color w:val="000000"/>
          <w:sz w:val="20"/>
          <w:szCs w:val="24"/>
        </w:rPr>
        <w:t>cento)</w:t>
      </w:r>
      <w:r w:rsidRPr="00D70728">
        <w:rPr>
          <w:rFonts w:ascii="Tahoma" w:eastAsia="Times New Roman" w:hAnsi="Tahoma"/>
          <w:color w:val="000000"/>
          <w:sz w:val="20"/>
          <w:szCs w:val="24"/>
        </w:rPr>
        <w:t xml:space="preserve"> </w:t>
      </w:r>
      <w:r>
        <w:rPr>
          <w:rFonts w:ascii="Tahoma" w:eastAsia="Times New Roman" w:hAnsi="Tahoma"/>
          <w:color w:val="000000"/>
          <w:sz w:val="20"/>
          <w:szCs w:val="24"/>
        </w:rPr>
        <w:t>da corrispondere all’appal</w:t>
      </w:r>
      <w:r w:rsidRPr="00D70728">
        <w:rPr>
          <w:rFonts w:ascii="Tahoma" w:eastAsia="Times New Roman" w:hAnsi="Tahoma"/>
          <w:color w:val="000000"/>
          <w:sz w:val="20"/>
          <w:szCs w:val="24"/>
        </w:rPr>
        <w:t>tatore entro quindici giorni dall’effettivo inizio</w:t>
      </w:r>
      <w:r>
        <w:rPr>
          <w:rFonts w:ascii="Tahoma" w:eastAsia="Times New Roman" w:hAnsi="Tahoma"/>
          <w:color w:val="000000"/>
          <w:sz w:val="20"/>
          <w:szCs w:val="24"/>
        </w:rPr>
        <w:t xml:space="preserve"> della prestazione.</w:t>
      </w:r>
    </w:p>
    <w:p w14:paraId="42133D0E"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L’erogazione dell’anticipazione, consentita anche nel caso di consegna in via d'urgenza, ai sensi dell'articolo 32, comma 8, del citato decreto, è subordinata alla costituzione di garanzia fidejussoria bancaria o assicurativa di importo pari all'anticipazione maggiorato del tasso di interesse legale applicato al periodo necessario al recupero dell'anticipazione stessa secondo il cronoprogramma della prestazione. La predetta garanzia è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finanziari iscritti nell’albo degli intermediari finanziari di cui all’articolo 106 del decreto legislativo 1° settembre 1993, n. 385. </w:t>
      </w:r>
    </w:p>
    <w:p w14:paraId="771A2CDB" w14:textId="77777777" w:rsidR="000B6E98" w:rsidRDefault="008A7A17">
      <w:pPr>
        <w:spacing w:after="0"/>
        <w:ind w:firstLine="284"/>
        <w:rPr>
          <w:rFonts w:ascii="Tahoma" w:eastAsia="Times New Roman" w:hAnsi="Tahoma"/>
          <w:sz w:val="20"/>
          <w:szCs w:val="24"/>
        </w:rPr>
      </w:pPr>
      <w:r>
        <w:rPr>
          <w:rFonts w:ascii="Tahoma" w:eastAsia="Times New Roman" w:hAnsi="Tahoma"/>
          <w:color w:val="000000"/>
          <w:sz w:val="20"/>
          <w:szCs w:val="24"/>
        </w:rPr>
        <w:t xml:space="preserve">L’anticipazione sarà gradualmente recuperata mediante trattenuta sull’importo di ogni certificato di pagamento, di un importo percentuale pari a quella dell’anticipazione; in ogni caso all’ultimazione della prestazione l’importo dell’anticipazione dovrà essere compensato integralmente. Il beneficiario decade dall'anticipazione, con obbligo di restituzione, se l'esecuzione della prestazione </w:t>
      </w:r>
      <w:r>
        <w:rPr>
          <w:rFonts w:ascii="Tahoma" w:eastAsia="Times New Roman" w:hAnsi="Tahoma"/>
          <w:sz w:val="20"/>
          <w:szCs w:val="24"/>
        </w:rPr>
        <w:t>non procede, per ritardi a lui imputabili, secondo i tempi contrattuali. Sulle somme restituite sono dovuti gli interessi legali con decorrenza dalla data di erogazione della anticipazione.</w:t>
      </w:r>
    </w:p>
    <w:p w14:paraId="4237C78B" w14:textId="73CCE2F8" w:rsidR="000B6E98" w:rsidRDefault="008A7A17">
      <w:pPr>
        <w:spacing w:after="0"/>
        <w:ind w:firstLine="284"/>
        <w:rPr>
          <w:rFonts w:ascii="Tahoma" w:eastAsia="Times New Roman" w:hAnsi="Tahoma"/>
          <w:sz w:val="20"/>
          <w:szCs w:val="24"/>
        </w:rPr>
      </w:pPr>
      <w:r>
        <w:rPr>
          <w:rFonts w:ascii="Tahoma" w:eastAsia="Times New Roman" w:hAnsi="Tahoma"/>
          <w:sz w:val="20"/>
          <w:szCs w:val="24"/>
        </w:rPr>
        <w:t>L'Appaltatore avrà diritto a pagamenti in acconto, in corso d'opera, qua</w:t>
      </w:r>
      <w:r w:rsidR="0058182C">
        <w:rPr>
          <w:rFonts w:ascii="Tahoma" w:eastAsia="Times New Roman" w:hAnsi="Tahoma"/>
          <w:sz w:val="20"/>
          <w:szCs w:val="24"/>
        </w:rPr>
        <w:t>ndo</w:t>
      </w:r>
      <w:r>
        <w:rPr>
          <w:rFonts w:ascii="Tahoma" w:eastAsia="Times New Roman" w:hAnsi="Tahoma"/>
          <w:sz w:val="20"/>
          <w:szCs w:val="24"/>
        </w:rPr>
        <w:t xml:space="preserve"> il suo credito, al netto del ribasso d'asta e delle prescritte ritenute, raggiunga la</w:t>
      </w:r>
      <w:r w:rsidR="0058182C">
        <w:rPr>
          <w:rFonts w:ascii="Tahoma" w:eastAsia="Times New Roman" w:hAnsi="Tahoma"/>
          <w:sz w:val="20"/>
          <w:szCs w:val="24"/>
        </w:rPr>
        <w:t xml:space="preserve"> percentuale di avanzamento lavori pari al 50%</w:t>
      </w:r>
      <w:r>
        <w:rPr>
          <w:rFonts w:ascii="Tahoma" w:eastAsia="Times New Roman" w:hAnsi="Tahoma"/>
          <w:sz w:val="20"/>
          <w:szCs w:val="24"/>
        </w:rPr>
        <w:t>.</w:t>
      </w:r>
    </w:p>
    <w:p w14:paraId="70EEEE3E"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sz w:val="20"/>
          <w:szCs w:val="24"/>
        </w:rPr>
        <w:t>Lo stato di avanzamento (SAL) dei lavori sarà rilasciato nei termini e modalità indicati nella documentazione di gara e nel contratto di appalto, ai fini del pagamento di una rata di acconto; a tal fine il documento dovrà precisare il corrispettivo maturato, gli acconti già corrisposti</w:t>
      </w:r>
      <w:r>
        <w:rPr>
          <w:rFonts w:ascii="Tahoma" w:eastAsia="Times New Roman" w:hAnsi="Tahoma"/>
          <w:color w:val="000000"/>
          <w:sz w:val="20"/>
          <w:szCs w:val="24"/>
        </w:rPr>
        <w:t xml:space="preserve"> e di conseguenza, l’ammontare dell’acconto da </w:t>
      </w:r>
      <w:r>
        <w:rPr>
          <w:rFonts w:ascii="Tahoma" w:eastAsia="Times New Roman" w:hAnsi="Tahoma"/>
          <w:color w:val="000000"/>
          <w:sz w:val="20"/>
          <w:szCs w:val="24"/>
        </w:rPr>
        <w:lastRenderedPageBreak/>
        <w:t xml:space="preserve">corrispondere, sulla base della differenza tra le prime due voci. </w:t>
      </w:r>
    </w:p>
    <w:p w14:paraId="1936BD0F" w14:textId="77777777" w:rsidR="000B6E98" w:rsidRDefault="008A7A17">
      <w:pPr>
        <w:spacing w:after="0"/>
        <w:ind w:firstLine="284"/>
        <w:rPr>
          <w:rFonts w:ascii="Tahoma" w:eastAsia="Times New Roman" w:hAnsi="Tahoma"/>
          <w:color w:val="FF0000"/>
          <w:sz w:val="20"/>
          <w:szCs w:val="24"/>
        </w:rPr>
      </w:pPr>
      <w:r>
        <w:rPr>
          <w:rFonts w:ascii="Tahoma" w:eastAsia="Times New Roman" w:hAnsi="Tahoma"/>
          <w:color w:val="000000"/>
          <w:sz w:val="20"/>
          <w:szCs w:val="24"/>
        </w:rPr>
        <w:t>Ai sensi dell'art. 113-bis del Codice, il termine per il pagamento relativo agli acconti del corrispettivo di appalto non può superare i trenta giorni decorrenti dall'adozione di ogni stato di avanzamento dei lavori, salvo che sia diversamente ed espressamente concordato dalle parti. Il RUP, previa verifica della regolarità contributiva dell’impresa esecutrice, invia il certificato di pagamento alla stazione appaltante per l’emissione del mandato di pagamento contestualmente all’adozione di ogni stato di avanzamento dei lavori e comunque entro un termine non superiore a sette giorni dall’adozione degli stessi.</w:t>
      </w:r>
    </w:p>
    <w:p w14:paraId="63FF97BA"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La Stazione Appaltante acquisisce d'ufficio, anche attraverso strumenti informatici, il documento unico di regolarità contributiva (DURC) dagli istituti o dagli enti abilitati al rilascio in tutti i casi in cui è richiesto dalla legge.</w:t>
      </w:r>
    </w:p>
    <w:p w14:paraId="5F6CAC03" w14:textId="77777777" w:rsidR="000B6E98" w:rsidRDefault="008A7A17">
      <w:pPr>
        <w:spacing w:after="0"/>
        <w:ind w:firstLine="284"/>
        <w:rPr>
          <w:rFonts w:ascii="Tahoma" w:eastAsia="Times New Roman" w:hAnsi="Tahoma"/>
          <w:sz w:val="20"/>
          <w:szCs w:val="24"/>
        </w:rPr>
      </w:pPr>
      <w:r>
        <w:rPr>
          <w:rFonts w:ascii="Tahoma" w:eastAsia="Times New Roman" w:hAnsi="Tahoma"/>
          <w:color w:val="000000"/>
          <w:sz w:val="20"/>
          <w:szCs w:val="24"/>
        </w:rPr>
        <w:t>Il certificat</w:t>
      </w:r>
      <w:r>
        <w:rPr>
          <w:rFonts w:ascii="Tahoma" w:eastAsia="Times New Roman" w:hAnsi="Tahoma"/>
          <w:sz w:val="20"/>
          <w:szCs w:val="24"/>
        </w:rPr>
        <w:t>o per il pagamento dell'ultima rata del corrispettivo, qualunque sia l'ammontare, verrà rilasciato dopo l'ultimazione dei lavori.</w:t>
      </w:r>
    </w:p>
    <w:p w14:paraId="670FC914" w14:textId="77777777" w:rsidR="000B6E98" w:rsidRPr="00B6139E" w:rsidRDefault="008A7A17">
      <w:pPr>
        <w:ind w:firstLine="213"/>
        <w:rPr>
          <w:rFonts w:ascii="Tahoma" w:eastAsia="Times New Roman" w:hAnsi="Tahoma"/>
          <w:bCs/>
          <w:sz w:val="20"/>
          <w:szCs w:val="24"/>
        </w:rPr>
      </w:pPr>
      <w:r w:rsidRPr="00B6139E">
        <w:rPr>
          <w:rFonts w:ascii="Tahoma" w:eastAsia="Times New Roman" w:hAnsi="Tahoma"/>
          <w:bCs/>
          <w:sz w:val="20"/>
          <w:szCs w:val="24"/>
        </w:rPr>
        <w:t xml:space="preserve">Ai sensi dell'art. 4, comma 2, </w:t>
      </w:r>
      <w:proofErr w:type="spellStart"/>
      <w:r w:rsidRPr="00B6139E">
        <w:rPr>
          <w:rFonts w:ascii="Tahoma" w:eastAsia="Times New Roman" w:hAnsi="Tahoma"/>
          <w:bCs/>
          <w:sz w:val="20"/>
          <w:szCs w:val="24"/>
        </w:rPr>
        <w:t>d.m.</w:t>
      </w:r>
      <w:proofErr w:type="spellEnd"/>
      <w:r w:rsidRPr="00B6139E">
        <w:rPr>
          <w:rFonts w:ascii="Tahoma" w:eastAsia="Times New Roman" w:hAnsi="Tahoma"/>
          <w:bCs/>
          <w:sz w:val="20"/>
          <w:szCs w:val="24"/>
        </w:rPr>
        <w:t xml:space="preserve"> 143/2021, la congruità dell'incidenza della manodopera sull'opera complessiva, deve essere richiesta dal committente o dall'impresa affidataria, in occasione della presentazione dell’ultimo stato di avanzamento dei lavori da parte dell’impresa, prima di procedere al saldo finale dei lavori.</w:t>
      </w:r>
    </w:p>
    <w:p w14:paraId="63A1E3DF" w14:textId="77777777" w:rsidR="000B6E98" w:rsidRPr="00B6139E" w:rsidRDefault="008A7A17">
      <w:pPr>
        <w:ind w:firstLine="213"/>
        <w:rPr>
          <w:rFonts w:ascii="Tahoma" w:eastAsia="Times New Roman" w:hAnsi="Tahoma"/>
          <w:bCs/>
          <w:sz w:val="20"/>
          <w:szCs w:val="24"/>
        </w:rPr>
      </w:pPr>
      <w:r w:rsidRPr="00B6139E">
        <w:rPr>
          <w:rFonts w:ascii="Tahoma" w:eastAsia="Times New Roman" w:hAnsi="Tahoma"/>
          <w:bCs/>
          <w:sz w:val="20"/>
          <w:szCs w:val="24"/>
        </w:rPr>
        <w:t xml:space="preserve">A tal fine l'impresa affidataria avrà l'obbligo di attestare la congruità dell'incidenza della manodopera mediante la presentazione del DURC di congruità riferito all'opera complessiva (art. 4, comma 3, </w:t>
      </w:r>
      <w:proofErr w:type="spellStart"/>
      <w:r w:rsidRPr="00B6139E">
        <w:rPr>
          <w:rFonts w:ascii="Tahoma" w:eastAsia="Times New Roman" w:hAnsi="Tahoma"/>
          <w:bCs/>
          <w:sz w:val="20"/>
          <w:szCs w:val="24"/>
        </w:rPr>
        <w:t>d.m.</w:t>
      </w:r>
      <w:proofErr w:type="spellEnd"/>
      <w:r w:rsidRPr="00B6139E">
        <w:rPr>
          <w:rFonts w:ascii="Tahoma" w:eastAsia="Times New Roman" w:hAnsi="Tahoma"/>
          <w:bCs/>
          <w:sz w:val="20"/>
          <w:szCs w:val="24"/>
        </w:rPr>
        <w:t xml:space="preserve"> 143/2021).</w:t>
      </w:r>
    </w:p>
    <w:p w14:paraId="54AFD985" w14:textId="64E0E592" w:rsidR="000B6E98" w:rsidRPr="00B6139E" w:rsidRDefault="008A7A17">
      <w:pPr>
        <w:ind w:firstLine="213"/>
        <w:rPr>
          <w:rFonts w:ascii="Tahoma" w:eastAsia="Times New Roman" w:hAnsi="Tahoma"/>
          <w:bCs/>
          <w:sz w:val="20"/>
          <w:szCs w:val="24"/>
        </w:rPr>
      </w:pPr>
      <w:r w:rsidRPr="00B6139E">
        <w:rPr>
          <w:rFonts w:ascii="Tahoma" w:eastAsia="Times New Roman" w:hAnsi="Tahoma"/>
          <w:bCs/>
          <w:sz w:val="20"/>
          <w:szCs w:val="24"/>
        </w:rPr>
        <w:t>L'attestazione di congruità sarà rilasciata dalla Cassa Edile territorialmente competente, entro dieci giorni dalla richiesta, su istanza dell'impresa affidataria.</w:t>
      </w:r>
    </w:p>
    <w:p w14:paraId="7938B8A7" w14:textId="55F02A6C" w:rsidR="000B6E98" w:rsidRPr="00B6139E" w:rsidRDefault="008A7A17">
      <w:pPr>
        <w:ind w:firstLine="213"/>
        <w:rPr>
          <w:rFonts w:ascii="Tahoma" w:eastAsia="Times New Roman" w:hAnsi="Tahoma"/>
          <w:bCs/>
          <w:sz w:val="20"/>
          <w:szCs w:val="24"/>
        </w:rPr>
      </w:pPr>
      <w:r w:rsidRPr="00B6139E">
        <w:rPr>
          <w:rFonts w:ascii="Tahoma" w:eastAsia="Times New Roman" w:hAnsi="Tahoma"/>
          <w:bCs/>
          <w:sz w:val="20"/>
          <w:szCs w:val="24"/>
        </w:rPr>
        <w:t xml:space="preserve">Nel caso in cui la Cassa Edile riscontrasse delle incongruità nei dati (art. 5, </w:t>
      </w:r>
      <w:proofErr w:type="spellStart"/>
      <w:r w:rsidRPr="00B6139E">
        <w:rPr>
          <w:rFonts w:ascii="Tahoma" w:eastAsia="Times New Roman" w:hAnsi="Tahoma"/>
          <w:bCs/>
          <w:sz w:val="20"/>
          <w:szCs w:val="24"/>
        </w:rPr>
        <w:t>d.m.</w:t>
      </w:r>
      <w:proofErr w:type="spellEnd"/>
      <w:r w:rsidRPr="00B6139E">
        <w:rPr>
          <w:rFonts w:ascii="Tahoma" w:eastAsia="Times New Roman" w:hAnsi="Tahoma"/>
          <w:bCs/>
          <w:sz w:val="20"/>
          <w:szCs w:val="24"/>
        </w:rPr>
        <w:t xml:space="preserve"> 143/2021), lo comunicherà all'impresa affidataria, la quale avrà 15 giorni di tempo, dalla ricezione dell’avviso, per regolarizzare la sua posizione, attraverso il versamento in Cassa Edile dell’importo pari alla differenza di costo del lavoro necessaria a raggiungere la percentuale stabilita per la congruità ed ottenere il rilascio del DURC di congruità.</w:t>
      </w:r>
    </w:p>
    <w:p w14:paraId="1010C9BE" w14:textId="654DC980" w:rsidR="000B6E98" w:rsidRPr="00B6139E" w:rsidRDefault="008A7A17">
      <w:pPr>
        <w:ind w:firstLine="213"/>
        <w:rPr>
          <w:rFonts w:ascii="Tahoma" w:eastAsia="Times New Roman" w:hAnsi="Tahoma"/>
          <w:bCs/>
          <w:sz w:val="20"/>
          <w:szCs w:val="24"/>
        </w:rPr>
      </w:pPr>
      <w:r w:rsidRPr="00B6139E">
        <w:rPr>
          <w:rFonts w:ascii="Tahoma" w:eastAsia="Times New Roman" w:hAnsi="Tahoma"/>
          <w:bCs/>
          <w:sz w:val="20"/>
          <w:szCs w:val="24"/>
        </w:rPr>
        <w:t>Laddove invece, decorra inutilmente il termine di 15 giorni, la Cassa Edile comunicherà, l'esito negativo della verifica di congruità ai soggetti che hanno effettuato la richiesta, con l'indicazione dell'importo a debito e delle cause di irregolarità. Conseguentemente, la Cassa Edile territorialmente competente procederà all’iscrizione dell’impresa affidataria nella Banca nazionale delle imprese irregolari (BNI).</w:t>
      </w:r>
    </w:p>
    <w:p w14:paraId="6F18473A" w14:textId="2769FD00" w:rsidR="000B6E98" w:rsidRPr="00B6139E" w:rsidRDefault="008A7A17">
      <w:pPr>
        <w:ind w:firstLine="213"/>
        <w:rPr>
          <w:rFonts w:ascii="Tahoma" w:eastAsia="Times New Roman" w:hAnsi="Tahoma"/>
          <w:bCs/>
          <w:sz w:val="20"/>
          <w:szCs w:val="24"/>
        </w:rPr>
      </w:pPr>
      <w:r w:rsidRPr="00B6139E">
        <w:rPr>
          <w:rFonts w:ascii="Tahoma" w:eastAsia="Times New Roman" w:hAnsi="Tahoma"/>
          <w:bCs/>
          <w:sz w:val="20"/>
          <w:szCs w:val="24"/>
        </w:rPr>
        <w:t>Qualora lo scostamento rispetto agli indici di congruità sia accertato in misura pari o inferiore al 5% della percentuale di incidenza della manodopera, la Cassa Edile rilascerà ugualmente l’attestazione di congruità previa dichiarazione del direttore dei lavori che giustifichi tale scostamento.</w:t>
      </w:r>
    </w:p>
    <w:p w14:paraId="117167AC" w14:textId="4A149A8A" w:rsidR="000B6E98" w:rsidRPr="00B6139E" w:rsidRDefault="008A7A17">
      <w:pPr>
        <w:ind w:firstLine="213"/>
        <w:rPr>
          <w:rFonts w:ascii="Tahoma" w:eastAsia="Times New Roman" w:hAnsi="Tahoma"/>
          <w:bCs/>
          <w:sz w:val="20"/>
          <w:szCs w:val="24"/>
        </w:rPr>
      </w:pPr>
      <w:r w:rsidRPr="00B6139E">
        <w:rPr>
          <w:rFonts w:ascii="Tahoma" w:eastAsia="Times New Roman" w:hAnsi="Tahoma"/>
          <w:bCs/>
          <w:sz w:val="20"/>
          <w:szCs w:val="24"/>
        </w:rPr>
        <w:t>L’impresa affidataria che risulti non congrua può, altresì, dimostrare il raggiungimento della percentuale di incidenza della manodopera mediante l’esibizione di documentazione provante costi non registrati presso la Cassa Edile, in base a quanto previsto dall'Accordo collettivo del 10 settembre 2020.</w:t>
      </w:r>
    </w:p>
    <w:p w14:paraId="46A2DEAB" w14:textId="137975EE" w:rsidR="000B6E98" w:rsidRPr="00B6139E" w:rsidRDefault="008A7A17">
      <w:pPr>
        <w:spacing w:after="0"/>
        <w:ind w:firstLine="284"/>
        <w:rPr>
          <w:rFonts w:ascii="Tahoma" w:eastAsia="Times New Roman" w:hAnsi="Tahoma"/>
          <w:bCs/>
          <w:sz w:val="20"/>
          <w:szCs w:val="24"/>
        </w:rPr>
      </w:pPr>
      <w:r w:rsidRPr="00B6139E">
        <w:rPr>
          <w:rFonts w:ascii="Tahoma" w:eastAsia="Times New Roman" w:hAnsi="Tahoma"/>
          <w:bCs/>
          <w:sz w:val="20"/>
          <w:szCs w:val="24"/>
        </w:rPr>
        <w:t>L’esito negativo della verifica di congruità inciderà, in ogni caso, sulle successive verifiche di regolarità contributiva finalizzate al rilascio,</w:t>
      </w:r>
      <w:r w:rsidR="00B6139E" w:rsidRPr="00B6139E">
        <w:rPr>
          <w:rFonts w:ascii="Tahoma" w:eastAsia="Times New Roman" w:hAnsi="Tahoma"/>
          <w:bCs/>
          <w:sz w:val="20"/>
          <w:szCs w:val="24"/>
        </w:rPr>
        <w:t xml:space="preserve"> </w:t>
      </w:r>
      <w:r w:rsidRPr="00B6139E">
        <w:rPr>
          <w:rFonts w:ascii="Tahoma" w:eastAsia="Times New Roman" w:hAnsi="Tahoma"/>
          <w:bCs/>
          <w:sz w:val="20"/>
          <w:szCs w:val="24"/>
        </w:rPr>
        <w:t>per l'impresa affidataria, del DURC ordinario.</w:t>
      </w:r>
    </w:p>
    <w:p w14:paraId="71450DE6"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sz w:val="20"/>
          <w:szCs w:val="24"/>
        </w:rPr>
        <w:t xml:space="preserve">Ai sensi dell'art. 30 del d.lgs. n.50/2016 e </w:t>
      </w:r>
      <w:proofErr w:type="spellStart"/>
      <w:r>
        <w:rPr>
          <w:rFonts w:ascii="Tahoma" w:eastAsia="Times New Roman" w:hAnsi="Tahoma"/>
          <w:sz w:val="20"/>
          <w:szCs w:val="24"/>
        </w:rPr>
        <w:t>s.m.i.</w:t>
      </w:r>
      <w:proofErr w:type="spellEnd"/>
      <w:r>
        <w:rPr>
          <w:rFonts w:ascii="Tahoma" w:eastAsia="Times New Roman" w:hAnsi="Tahoma"/>
          <w:sz w:val="20"/>
          <w:szCs w:val="24"/>
        </w:rPr>
        <w:t>, in caso di inadempienza contributiva risultante dal documento unico di regolarità contributiva relativo a personale dipendente dell'affidatario o del subappaltatore o dei soggetti titolari di subappalti e cottimi, impiegato nell’esecuzione del contratto, la stazione appaltante trattiene dal certificato di pagamento l’importo corrispondente all’inadempienza per il succ</w:t>
      </w:r>
      <w:r>
        <w:rPr>
          <w:rFonts w:ascii="Tahoma" w:eastAsia="Times New Roman" w:hAnsi="Tahoma"/>
          <w:color w:val="000000"/>
          <w:sz w:val="20"/>
          <w:szCs w:val="24"/>
        </w:rPr>
        <w:t>essivo versamento diretto agli enti previdenziali e assicurativi, compresa, nei lavori, la cassa edile.</w:t>
      </w:r>
    </w:p>
    <w:p w14:paraId="01333136"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In ogni caso sull’importo netto progressivo delle prestazioni è operata una ritenuta dello 0,50 per cento; le ritenute possono essere svincolate soltanto in sede di liquidazione finale, dopo l'approvazione da parte della stazione appaltante del certificato di collaudo o di verifica di conformità, previo rilascio del documento unico di regolarità contributiva. </w:t>
      </w:r>
    </w:p>
    <w:p w14:paraId="23F39373" w14:textId="77777777" w:rsidR="000B6E98" w:rsidRDefault="008A7A17">
      <w:pPr>
        <w:spacing w:after="0"/>
        <w:ind w:firstLine="284"/>
        <w:rPr>
          <w:rFonts w:ascii="Tahoma" w:eastAsia="Times New Roman" w:hAnsi="Tahoma"/>
          <w:sz w:val="20"/>
          <w:szCs w:val="24"/>
        </w:rPr>
      </w:pPr>
      <w:r>
        <w:rPr>
          <w:rFonts w:ascii="Tahoma" w:eastAsia="Times New Roman" w:hAnsi="Tahoma"/>
          <w:color w:val="000000"/>
          <w:sz w:val="20"/>
          <w:szCs w:val="24"/>
        </w:rPr>
        <w:t>In caso di r</w:t>
      </w:r>
      <w:r>
        <w:rPr>
          <w:rFonts w:ascii="Tahoma" w:eastAsia="Times New Roman" w:hAnsi="Tahoma"/>
          <w:sz w:val="20"/>
          <w:szCs w:val="24"/>
        </w:rPr>
        <w:t>itardo nel pagamento delle retribuzioni dovute al personale,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 stazione appaltante paga anche in corso d’opera direttamente ai lavoratori le retribuzioni arretrate, detraendo il relativo importo dalle somme dovute all’affidatario del contratto ovvero dalle somme dovute al subappaltatore inadempiente nel caso in cui sia previsto il pagamento diretto.</w:t>
      </w:r>
    </w:p>
    <w:p w14:paraId="526C6A69" w14:textId="77777777" w:rsidR="000B6E98" w:rsidRDefault="000B6E98">
      <w:pPr>
        <w:spacing w:after="0"/>
        <w:ind w:firstLine="284"/>
        <w:rPr>
          <w:rFonts w:ascii="Tahoma" w:eastAsia="Times New Roman" w:hAnsi="Tahoma"/>
          <w:strike/>
          <w:sz w:val="20"/>
          <w:szCs w:val="24"/>
          <w:highlight w:val="red"/>
          <w:shd w:val="clear" w:color="auto" w:fill="FF8080"/>
        </w:rPr>
      </w:pPr>
    </w:p>
    <w:p w14:paraId="243B1600" w14:textId="77777777" w:rsidR="000B6E98" w:rsidRDefault="000B6E98">
      <w:pPr>
        <w:spacing w:after="0"/>
        <w:ind w:firstLine="284"/>
        <w:rPr>
          <w:rFonts w:ascii="Tahoma" w:eastAsia="Times New Roman" w:hAnsi="Tahoma"/>
          <w:sz w:val="20"/>
          <w:szCs w:val="24"/>
        </w:rPr>
      </w:pPr>
    </w:p>
    <w:p w14:paraId="09C7C3B0"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#{GUID_855EDFA7-FB17-437F-AFF8-E04D7C59FC7F|LIVELLO_2|TESTO_Conto finale - Avviso ai creditori_END}&amp;</w:t>
      </w:r>
      <w:bookmarkStart w:id="26" w:name="4248"/>
      <w:bookmarkEnd w:id="26"/>
      <w:r>
        <w:rPr>
          <w:rFonts w:ascii="Tahoma" w:eastAsia="Times New Roman" w:hAnsi="Tahoma"/>
          <w:b/>
          <w:sz w:val="20"/>
          <w:szCs w:val="24"/>
        </w:rPr>
        <w:t>Art. 2.18</w:t>
      </w:r>
    </w:p>
    <w:p w14:paraId="4FAAE791"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CONTO FINALE - AVVISO AI CREDITORI</w:t>
      </w:r>
    </w:p>
    <w:p w14:paraId="6A827B17" w14:textId="77777777" w:rsidR="000B6E98" w:rsidRDefault="000B6E98">
      <w:pPr>
        <w:spacing w:after="0"/>
        <w:rPr>
          <w:rFonts w:ascii="Tahoma" w:eastAsia="Times New Roman" w:hAnsi="Tahoma"/>
          <w:sz w:val="20"/>
          <w:szCs w:val="24"/>
        </w:rPr>
      </w:pPr>
    </w:p>
    <w:p w14:paraId="2AB92442" w14:textId="15BFF2CE" w:rsidR="000B6E98" w:rsidRDefault="008A7A17">
      <w:pPr>
        <w:spacing w:after="0"/>
        <w:ind w:firstLine="284"/>
        <w:rPr>
          <w:rFonts w:ascii="Tahoma" w:eastAsia="Times New Roman" w:hAnsi="Tahoma"/>
          <w:sz w:val="20"/>
          <w:szCs w:val="24"/>
        </w:rPr>
      </w:pPr>
      <w:r>
        <w:rPr>
          <w:rFonts w:ascii="Tahoma" w:eastAsia="Times New Roman" w:hAnsi="Tahoma"/>
          <w:sz w:val="20"/>
          <w:szCs w:val="24"/>
        </w:rPr>
        <w:lastRenderedPageBreak/>
        <w:t xml:space="preserve">Si stabilisce che il conto finale </w:t>
      </w:r>
      <w:r w:rsidRPr="000F19C6">
        <w:rPr>
          <w:rFonts w:ascii="Tahoma" w:eastAsia="Times New Roman" w:hAnsi="Tahoma"/>
          <w:sz w:val="20"/>
          <w:szCs w:val="24"/>
        </w:rPr>
        <w:t xml:space="preserve">verrà compilato entro </w:t>
      </w:r>
      <w:r w:rsidR="000F19C6" w:rsidRPr="000F19C6">
        <w:rPr>
          <w:rFonts w:ascii="Tahoma" w:eastAsia="Times New Roman" w:hAnsi="Tahoma"/>
          <w:sz w:val="20"/>
          <w:szCs w:val="24"/>
        </w:rPr>
        <w:t>60 (sessanta)</w:t>
      </w:r>
      <w:r w:rsidRPr="000F19C6">
        <w:rPr>
          <w:rFonts w:ascii="Tahoma" w:eastAsia="Times New Roman" w:hAnsi="Tahoma"/>
          <w:sz w:val="20"/>
          <w:szCs w:val="24"/>
        </w:rPr>
        <w:t xml:space="preserve"> giorni </w:t>
      </w:r>
      <w:r>
        <w:rPr>
          <w:rFonts w:ascii="Tahoma" w:eastAsia="Times New Roman" w:hAnsi="Tahoma"/>
          <w:sz w:val="20"/>
          <w:szCs w:val="24"/>
        </w:rPr>
        <w:t>dalla data dell'ultimazione dei lavori.</w:t>
      </w:r>
    </w:p>
    <w:p w14:paraId="1BB0B7F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Il conto finale dei lavori è compilato dal Direttore dei Lavori a seguito della certificazione dell’ultimazione degli stessi e trasmesso al </w:t>
      </w:r>
      <w:proofErr w:type="spellStart"/>
      <w:r>
        <w:rPr>
          <w:rFonts w:ascii="Tahoma" w:eastAsia="Times New Roman" w:hAnsi="Tahoma"/>
          <w:sz w:val="20"/>
          <w:szCs w:val="24"/>
        </w:rPr>
        <w:t>Rup</w:t>
      </w:r>
      <w:proofErr w:type="spellEnd"/>
      <w:r>
        <w:rPr>
          <w:rFonts w:ascii="Tahoma" w:eastAsia="Times New Roman" w:hAnsi="Tahoma"/>
          <w:sz w:val="20"/>
          <w:szCs w:val="24"/>
        </w:rPr>
        <w:t xml:space="preserve"> unitamente ad una relazione, in cui sono indicate le vicende alle quali l’esecuzione del lavoro è stata soggetta, allegando tutta la relativa documentazione.</w:t>
      </w:r>
    </w:p>
    <w:p w14:paraId="658E5D37"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Il conto finale dei lavori dovrà essere sottoscritto dall'Appaltatore, su richiesta del Responsabile del procedimento entro il termine perentorio di trenta giorni. All'atto della firma, non potrà iscrivere domande per oggetto o per importo diverse da quelle formulate nel registro di </w:t>
      </w:r>
      <w:proofErr w:type="spellStart"/>
      <w:r>
        <w:rPr>
          <w:rFonts w:ascii="Tahoma" w:eastAsia="Times New Roman" w:hAnsi="Tahoma"/>
          <w:sz w:val="20"/>
          <w:szCs w:val="24"/>
        </w:rPr>
        <w:t>contabilita'</w:t>
      </w:r>
      <w:proofErr w:type="spellEnd"/>
      <w:r>
        <w:rPr>
          <w:rFonts w:ascii="Tahoma" w:eastAsia="Times New Roman" w:hAnsi="Tahoma"/>
          <w:sz w:val="20"/>
          <w:szCs w:val="24"/>
        </w:rPr>
        <w:t xml:space="preserve"> durante lo svolgimento dei lavori, e dovrà confermare le riserve </w:t>
      </w:r>
      <w:proofErr w:type="spellStart"/>
      <w:r>
        <w:rPr>
          <w:rFonts w:ascii="Tahoma" w:eastAsia="Times New Roman" w:hAnsi="Tahoma"/>
          <w:sz w:val="20"/>
          <w:szCs w:val="24"/>
        </w:rPr>
        <w:t>gia'</w:t>
      </w:r>
      <w:proofErr w:type="spellEnd"/>
      <w:r>
        <w:rPr>
          <w:rFonts w:ascii="Tahoma" w:eastAsia="Times New Roman" w:hAnsi="Tahoma"/>
          <w:sz w:val="20"/>
          <w:szCs w:val="24"/>
        </w:rPr>
        <w:t xml:space="preserve"> iscritte sino a quel momento negli atti contabili.  Se l'Appaltatore non firma il conto finale nel termine indicato, o se lo sottoscrive senza confermare le domande già formulate nel registro di contabilità, il conto finale si ha come da lui definitivamente accettato. Il Responsabile del procedimento in ogni caso formula una sua relazione al conto finale.</w:t>
      </w:r>
    </w:p>
    <w:p w14:paraId="219AE2B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All'atto della redazione del certificato di ultimazione dei lavori il responsabile del procedimento darà avviso al Sindaco o ai Sindaci del comune nel cui territorio si eseguiranno i lavori, i quali curano la pubblicazione, nei comuni in cui l'intervento sarà stato eseguito, di un avviso contenente l'invito per coloro i quali vantino crediti verso l'esecutore per indebite occupazioni di aree o stabili e danni arrecati nell'esecuzione dei lavori, a presentare entro un termine non superiore a sessanta giorni le ragioni dei loro crediti e la relativa documentazione. Trascorso questo termine il Sindaco trasmetterà al responsabile del procedimento i risultati dell'anzidetto avviso con le prove delle avvenute pubblicazioni ed i reclami eventualmente presentati. Il responsabile del procedimento inviterà l'esecutore a soddisfare i crediti da lui riconosciuti e quindi rimetterà al collaudatore i documenti ricevuti dal Sindaco o dai Sindaci interessati, aggiungendo il suo parere in merito a ciascun titolo di credito ed eventualmente le prove delle avvenute tacitazioni.</w:t>
      </w:r>
    </w:p>
    <w:p w14:paraId="4DF786BA" w14:textId="7FD27ABC" w:rsidR="000B6E98" w:rsidRDefault="000B6E98">
      <w:pPr>
        <w:spacing w:after="0"/>
        <w:ind w:firstLine="284"/>
        <w:rPr>
          <w:rFonts w:ascii="Tahoma" w:eastAsia="Times New Roman" w:hAnsi="Tahoma"/>
          <w:sz w:val="20"/>
          <w:szCs w:val="24"/>
        </w:rPr>
      </w:pPr>
    </w:p>
    <w:p w14:paraId="48BB7D73" w14:textId="77777777" w:rsidR="000F19C6" w:rsidRDefault="000F19C6">
      <w:pPr>
        <w:spacing w:after="0"/>
        <w:ind w:firstLine="284"/>
        <w:rPr>
          <w:rFonts w:ascii="Tahoma" w:eastAsia="Times New Roman" w:hAnsi="Tahoma"/>
          <w:sz w:val="20"/>
          <w:szCs w:val="24"/>
        </w:rPr>
      </w:pPr>
    </w:p>
    <w:p w14:paraId="2BF87306"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#{GUID_0274DEE0-8D06-48D8-B04F-9FA531E06631|LIVELLO_2|TESTO_Collaudo - Certificato di regolare esecuzione_END}&amp;</w:t>
      </w:r>
      <w:bookmarkStart w:id="27" w:name="4249"/>
      <w:bookmarkEnd w:id="27"/>
      <w:r>
        <w:rPr>
          <w:rFonts w:ascii="Tahoma" w:eastAsia="Times New Roman" w:hAnsi="Tahoma"/>
          <w:b/>
          <w:sz w:val="20"/>
          <w:szCs w:val="24"/>
        </w:rPr>
        <w:t>Art. 2.19</w:t>
      </w:r>
    </w:p>
    <w:p w14:paraId="756184C5" w14:textId="371874C7" w:rsidR="000B6E98" w:rsidRPr="000F19C6" w:rsidRDefault="008A7A17">
      <w:pPr>
        <w:spacing w:after="0"/>
        <w:jc w:val="center"/>
        <w:rPr>
          <w:rFonts w:ascii="Tahoma" w:eastAsia="Times New Roman" w:hAnsi="Tahoma"/>
          <w:b/>
          <w:sz w:val="20"/>
          <w:szCs w:val="24"/>
        </w:rPr>
      </w:pPr>
      <w:r w:rsidRPr="000F19C6">
        <w:rPr>
          <w:rFonts w:ascii="Tahoma" w:eastAsia="Times New Roman" w:hAnsi="Tahoma"/>
          <w:b/>
          <w:sz w:val="20"/>
          <w:szCs w:val="24"/>
        </w:rPr>
        <w:t>ULTIMAZIONE LAVORI - CERTIFICATO DI REGOLARE ESECUZIONE</w:t>
      </w:r>
    </w:p>
    <w:p w14:paraId="392F605E" w14:textId="77777777" w:rsidR="000B6E98" w:rsidRDefault="000B6E98">
      <w:pPr>
        <w:spacing w:after="0"/>
        <w:rPr>
          <w:rFonts w:ascii="Tahoma" w:eastAsia="Times New Roman" w:hAnsi="Tahoma"/>
          <w:sz w:val="20"/>
          <w:szCs w:val="24"/>
        </w:rPr>
      </w:pPr>
    </w:p>
    <w:p w14:paraId="6990D814"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Conformemente all'articolo 12 del </w:t>
      </w:r>
      <w:proofErr w:type="spellStart"/>
      <w:r>
        <w:rPr>
          <w:rFonts w:ascii="Tahoma" w:eastAsia="Times New Roman" w:hAnsi="Tahoma"/>
          <w:color w:val="000000"/>
          <w:sz w:val="20"/>
          <w:szCs w:val="24"/>
        </w:rPr>
        <w:t>d.m.</w:t>
      </w:r>
      <w:proofErr w:type="spellEnd"/>
      <w:r>
        <w:rPr>
          <w:rFonts w:ascii="Tahoma" w:eastAsia="Times New Roman" w:hAnsi="Tahoma"/>
          <w:color w:val="000000"/>
          <w:sz w:val="20"/>
          <w:szCs w:val="24"/>
        </w:rPr>
        <w:t xml:space="preserve"> 49/2018, il direttore dei lavori, a fronte della comunicazione dell’esecutore di intervenuta ultimazione dei lavori, effettuerà i necessari accertamenti in contraddittorio con l’esecutore, elaborerà tempestivamente il certificato di ultimazione dei lavori e lo invierà al RUP, il quale ne rilascerà copia conforme all’esecutore. </w:t>
      </w:r>
    </w:p>
    <w:p w14:paraId="74BE609D"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Il certificato di ultimazione elaborato dal direttore dei lavori potrà prevedere l’assegnazione di un termine perentorio, non superiore a sessanta giorni, per il completamento di lavorazioni di piccola entità, accertate da parte del direttore dei lavori come del tutto marginali e non incidenti sull’uso e sulla funzionalità dei lavori. Il mancato rispetto di questo termine comporta l’inefficacia del certificato di ultimazione e la necessità di redazione di nuovo certificato che accerti l’avvenuto completamento delle lavorazioni sopraindicate.</w:t>
      </w:r>
    </w:p>
    <w:p w14:paraId="27CC9E3D" w14:textId="77777777" w:rsidR="000F19C6" w:rsidRDefault="000F19C6">
      <w:pPr>
        <w:spacing w:after="0"/>
        <w:ind w:firstLine="284"/>
        <w:rPr>
          <w:rFonts w:ascii="Tahoma" w:eastAsia="Times New Roman" w:hAnsi="Tahoma"/>
          <w:sz w:val="20"/>
          <w:szCs w:val="24"/>
        </w:rPr>
      </w:pPr>
    </w:p>
    <w:p w14:paraId="26DEB24B" w14:textId="3D25026A" w:rsidR="000B6E98" w:rsidRDefault="008A7A17">
      <w:pPr>
        <w:spacing w:after="0"/>
        <w:ind w:firstLine="284"/>
        <w:rPr>
          <w:rFonts w:ascii="Tahoma" w:eastAsia="Times New Roman" w:hAnsi="Tahoma"/>
          <w:sz w:val="20"/>
          <w:szCs w:val="24"/>
        </w:rPr>
      </w:pPr>
      <w:r>
        <w:rPr>
          <w:rFonts w:ascii="Tahoma" w:eastAsia="Times New Roman" w:hAnsi="Tahoma"/>
          <w:sz w:val="20"/>
          <w:szCs w:val="24"/>
        </w:rPr>
        <w:t>Qualora la stazione appaltante, nei limiti previsti dalla vigente normativa, non ritenga necessario conferire l’incarico di collaudo dell’opera, si darà luogo ad un certificato di regolare esecuzione emesso dal direttore dei lavori contenente gli elementi di cui all’articolo 229 del d.P.R. n. 207/2010. Entro i</w:t>
      </w:r>
      <w:r>
        <w:rPr>
          <w:rFonts w:ascii="Tahoma" w:eastAsia="Times New Roman" w:hAnsi="Tahoma"/>
          <w:color w:val="000000"/>
          <w:sz w:val="20"/>
          <w:szCs w:val="24"/>
        </w:rPr>
        <w:t xml:space="preserve">l termine massimo di tre mesi </w:t>
      </w:r>
      <w:r>
        <w:rPr>
          <w:rFonts w:ascii="Tahoma" w:eastAsia="Times New Roman" w:hAnsi="Tahoma"/>
          <w:sz w:val="20"/>
          <w:szCs w:val="24"/>
        </w:rPr>
        <w:t xml:space="preserve">dalla data di ultimazione dei lavori il direttore dei lavori sarà tenuto a rilasciare il certificato di regolare esecuzione, salvo che sia diversamente ed espressamente previsto nella documentazione di gara e nel contratto e purché ciò non sia gravemente iniquo per l’impresa affidataria. Il certificato sarà quindi confermato dal responsabile del procedimento. </w:t>
      </w:r>
    </w:p>
    <w:p w14:paraId="486AAB95"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 data di emissione del certificato di regolare esecuzione costituirà riferimento temporale essenziale per i seguenti elementi:</w:t>
      </w:r>
    </w:p>
    <w:p w14:paraId="3F453FC8"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1) il permanere dell'ammontare residuo della cauzione definitiva (di solito il 20%), o comunque fino a dodici mesi dalla data di ultimazione dei lavori risultante dal relativo certificato;</w:t>
      </w:r>
    </w:p>
    <w:p w14:paraId="5EACAE87"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2) la decorrenza della copertura assicurativa prevista all’articolo 103 comma 7 del d.lgs. n. 50/2016, dalla data di consegna dei lavori, o comunque decorsi dodici mesi dalla data di ultimazione dei lavori risultante dal relativo certificato;</w:t>
      </w:r>
    </w:p>
    <w:p w14:paraId="21B046D7" w14:textId="77777777" w:rsidR="000B6E98" w:rsidRDefault="008A7A17">
      <w:pPr>
        <w:spacing w:after="0"/>
        <w:ind w:left="568" w:hanging="284"/>
        <w:rPr>
          <w:rFonts w:ascii="Tahoma" w:eastAsia="Times New Roman" w:hAnsi="Tahoma"/>
          <w:sz w:val="20"/>
          <w:szCs w:val="24"/>
        </w:rPr>
      </w:pPr>
      <w:r>
        <w:rPr>
          <w:rFonts w:ascii="Tahoma" w:eastAsia="Times New Roman" w:hAnsi="Tahoma"/>
          <w:sz w:val="20"/>
          <w:szCs w:val="24"/>
        </w:rPr>
        <w:t>3) la decorrenza della polizza di assicurazione della responsabilità civile per danni cagionati a terzi che l'esecutore dei lavori è obbligato a stipulare, per i lavori di cui all’articolo 103 comma 8 del d.lgs. n. 50/2016, per la durata di dieci anni.</w:t>
      </w:r>
    </w:p>
    <w:p w14:paraId="029A58C3"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Per i lavori di importo inferiore a 40.000 euro potrà essere tenuta una contabilità semplificata, mediante apposizione sulle fatture di spesa di un visto del Direttore dei Lavori, volto ad attestare la corrispondenza del lavoro svolto con quanto fatturato, tenendo conto dei lavori effettivamente eseguiti. In questo caso, il certificato di regolare esecuzione potrà essere sostituito con l’apposizione del visto del direttore dei lavori sulle fatture di spesa.</w:t>
      </w:r>
    </w:p>
    <w:p w14:paraId="764BDC38"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All’esito positivo del collaudo o della verifica di conformità, e comunque entro un termine non superiore a </w:t>
      </w:r>
      <w:r>
        <w:rPr>
          <w:rFonts w:ascii="Tahoma" w:eastAsia="Times New Roman" w:hAnsi="Tahoma"/>
          <w:color w:val="000000"/>
          <w:sz w:val="20"/>
          <w:szCs w:val="24"/>
        </w:rPr>
        <w:lastRenderedPageBreak/>
        <w:t xml:space="preserve">sette giorni dagli stessi, il responsabile unico del procedimento rilascia il certificato di pagamento ai fini dell’emissione della fattura da parte dell’appaltatore; il relativo pagamento è effettuato nel termine di trenta giorni decorrenti dal suddetto esito positivo del collaudo o della verifica di conformità, salvo che sia espressamente concordato nel contratto un diverso termine, comunque non superiore a sessanta giorni e purché ciò sia oggettivamente giustificato dalla natura particolare del contratto o da talune sue caratteristiche. </w:t>
      </w:r>
    </w:p>
    <w:p w14:paraId="574C5711"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Il certificato di pagamento non costituisce presunzione di accettazione dell’opera, ai sensi dell’articolo 1666, secondo comma, del codice civile.</w:t>
      </w:r>
    </w:p>
    <w:p w14:paraId="26B5085C" w14:textId="4FDA8029" w:rsidR="000B6E98" w:rsidRDefault="000B6E98">
      <w:pPr>
        <w:spacing w:after="0"/>
        <w:ind w:firstLine="284"/>
        <w:rPr>
          <w:rFonts w:ascii="Tahoma" w:eastAsia="Times New Roman" w:hAnsi="Tahoma"/>
          <w:color w:val="000000"/>
          <w:sz w:val="20"/>
          <w:szCs w:val="24"/>
        </w:rPr>
      </w:pPr>
    </w:p>
    <w:p w14:paraId="0C739511" w14:textId="77777777" w:rsidR="009D45AA" w:rsidRDefault="009D45AA">
      <w:pPr>
        <w:spacing w:after="0"/>
        <w:ind w:firstLine="284"/>
        <w:rPr>
          <w:rFonts w:ascii="Tahoma" w:eastAsia="Times New Roman" w:hAnsi="Tahoma"/>
          <w:color w:val="000000"/>
          <w:sz w:val="20"/>
          <w:szCs w:val="24"/>
        </w:rPr>
      </w:pPr>
    </w:p>
    <w:p w14:paraId="0A0E7B74"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#{GUID_81EA93A0-1C45-4C18-B848-17D20863FEDE|LIVELLO_2|TESTO_Oneri ed obblighi diversi a carico dell'Appaltatore - Responsabilità dell'Appaltatore_END}&amp;</w:t>
      </w:r>
      <w:bookmarkStart w:id="28" w:name="4250"/>
      <w:bookmarkEnd w:id="28"/>
      <w:r>
        <w:rPr>
          <w:rFonts w:ascii="Tahoma" w:eastAsia="Times New Roman" w:hAnsi="Tahoma"/>
          <w:b/>
          <w:sz w:val="20"/>
          <w:szCs w:val="24"/>
        </w:rPr>
        <w:t>Art. 2.20</w:t>
      </w:r>
    </w:p>
    <w:p w14:paraId="68A2D64C"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 xml:space="preserve">ONERI ED OBBLIGHI DIVERSI A CARICO DELL'APPALTATORE </w:t>
      </w:r>
    </w:p>
    <w:p w14:paraId="4A04148D"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RESPONSABILITA' DELL'APPALTATORE</w:t>
      </w:r>
    </w:p>
    <w:p w14:paraId="19953121" w14:textId="77777777" w:rsidR="000B6E98" w:rsidRDefault="000B6E98">
      <w:pPr>
        <w:spacing w:after="0"/>
        <w:rPr>
          <w:rFonts w:ascii="Tahoma" w:eastAsia="Times New Roman" w:hAnsi="Tahoma"/>
          <w:sz w:val="20"/>
          <w:szCs w:val="24"/>
        </w:rPr>
      </w:pPr>
    </w:p>
    <w:p w14:paraId="0B8A728B" w14:textId="77777777" w:rsidR="000B6E98" w:rsidRPr="009D45AA" w:rsidRDefault="008A7A17">
      <w:pPr>
        <w:spacing w:after="0"/>
        <w:ind w:firstLine="284"/>
        <w:rPr>
          <w:rFonts w:ascii="Tahoma" w:eastAsia="Times New Roman" w:hAnsi="Tahoma"/>
          <w:sz w:val="20"/>
          <w:szCs w:val="24"/>
        </w:rPr>
      </w:pPr>
      <w:r>
        <w:rPr>
          <w:rFonts w:ascii="Tahoma" w:eastAsia="Times New Roman" w:hAnsi="Tahoma"/>
          <w:sz w:val="20"/>
          <w:szCs w:val="24"/>
        </w:rPr>
        <w:t xml:space="preserve">Sono a carico dell'Appaltatore, gli oneri e gli obblighi di cui al </w:t>
      </w:r>
      <w:proofErr w:type="spellStart"/>
      <w:r>
        <w:rPr>
          <w:rFonts w:ascii="Tahoma" w:eastAsia="Times New Roman" w:hAnsi="Tahoma"/>
          <w:sz w:val="20"/>
          <w:szCs w:val="24"/>
        </w:rPr>
        <w:t>d.m.</w:t>
      </w:r>
      <w:proofErr w:type="spellEnd"/>
      <w:r>
        <w:rPr>
          <w:rFonts w:ascii="Tahoma" w:eastAsia="Times New Roman" w:hAnsi="Tahoma"/>
          <w:sz w:val="20"/>
          <w:szCs w:val="24"/>
        </w:rPr>
        <w:t xml:space="preserve"> 145/2000 Capitolato Generale d'Appalto, alla vigente normativa e al presente Capitolato Speciale d'Appalto, nonché quanto previsto da tutti i piani per le misure di sicurezza fisica dei lavoratori; in particolare anche gli oneri </w:t>
      </w:r>
      <w:r w:rsidRPr="009D45AA">
        <w:rPr>
          <w:rFonts w:ascii="Tahoma" w:eastAsia="Times New Roman" w:hAnsi="Tahoma"/>
          <w:sz w:val="20"/>
          <w:szCs w:val="24"/>
        </w:rPr>
        <w:t>di seguito elencati:</w:t>
      </w:r>
    </w:p>
    <w:p w14:paraId="5958F0C6" w14:textId="77777777" w:rsidR="000B6E98" w:rsidRDefault="008A7A17" w:rsidP="008A7A17">
      <w:pPr>
        <w:numPr>
          <w:ilvl w:val="0"/>
          <w:numId w:val="8"/>
        </w:numPr>
        <w:spacing w:after="0"/>
        <w:ind w:left="710" w:hanging="284"/>
        <w:rPr>
          <w:rFonts w:ascii="Tahoma" w:eastAsia="Times New Roman" w:hAnsi="Tahoma"/>
          <w:sz w:val="20"/>
          <w:szCs w:val="24"/>
        </w:rPr>
      </w:pPr>
      <w:r>
        <w:rPr>
          <w:rFonts w:ascii="Tahoma" w:eastAsia="Times New Roman" w:hAnsi="Tahoma"/>
          <w:sz w:val="20"/>
          <w:szCs w:val="24"/>
        </w:rPr>
        <w:t>la nomina, prima dell'inizio dei lavori, del Direttore tecnico di cantiere, che dovrà essere professionalmente abilitato ed iscritto all'albo professionale e dovrà fornire alla Direzione dei Lavori apposita dichiarazione di accettazione dell'incarico del Direttore tecnico di cantiere;</w:t>
      </w:r>
    </w:p>
    <w:p w14:paraId="4419B133" w14:textId="77777777" w:rsidR="000B6E98" w:rsidRDefault="008A7A17" w:rsidP="008A7A17">
      <w:pPr>
        <w:numPr>
          <w:ilvl w:val="0"/>
          <w:numId w:val="9"/>
        </w:numPr>
        <w:spacing w:after="0"/>
        <w:ind w:left="710" w:hanging="284"/>
        <w:rPr>
          <w:rFonts w:ascii="Tahoma" w:eastAsia="Times New Roman" w:hAnsi="Tahoma"/>
          <w:sz w:val="20"/>
          <w:szCs w:val="24"/>
        </w:rPr>
      </w:pPr>
      <w:r>
        <w:rPr>
          <w:rFonts w:ascii="Tahoma" w:eastAsia="Times New Roman" w:hAnsi="Tahoma"/>
          <w:sz w:val="20"/>
          <w:szCs w:val="24"/>
        </w:rPr>
        <w:t xml:space="preserve">i movimenti di terra ed ogni altro onere relativo alla formazione del cantiere, in relazione all'entità dell'opera, con tutti i più moderni ed avanzati impianti per assicurare una perfetta e rapida esecuzione di tutte le opere prestabilite; </w:t>
      </w:r>
    </w:p>
    <w:p w14:paraId="28AFC021" w14:textId="77777777" w:rsidR="000B6E98" w:rsidRDefault="008A7A17" w:rsidP="008A7A17">
      <w:pPr>
        <w:numPr>
          <w:ilvl w:val="0"/>
          <w:numId w:val="9"/>
        </w:numPr>
        <w:spacing w:after="0"/>
        <w:ind w:left="710" w:hanging="284"/>
        <w:rPr>
          <w:rFonts w:ascii="Tahoma" w:eastAsia="Times New Roman" w:hAnsi="Tahoma"/>
          <w:sz w:val="20"/>
          <w:szCs w:val="24"/>
        </w:rPr>
      </w:pPr>
      <w:r>
        <w:rPr>
          <w:rFonts w:ascii="Tahoma" w:eastAsia="Times New Roman" w:hAnsi="Tahoma"/>
          <w:sz w:val="20"/>
          <w:szCs w:val="24"/>
        </w:rPr>
        <w:t>la recinzione del cantiere con solido steccato in materiale idoneo, secondo le prescrizioni del Piano di Sicurezza ovvero della Direzione dei Lavori, nonché la pulizia e la manutenzione del cantiere, l'</w:t>
      </w:r>
      <w:proofErr w:type="spellStart"/>
      <w:r>
        <w:rPr>
          <w:rFonts w:ascii="Tahoma" w:eastAsia="Times New Roman" w:hAnsi="Tahoma"/>
          <w:sz w:val="20"/>
          <w:szCs w:val="24"/>
        </w:rPr>
        <w:t>inghiaiamento</w:t>
      </w:r>
      <w:proofErr w:type="spellEnd"/>
      <w:r>
        <w:rPr>
          <w:rFonts w:ascii="Tahoma" w:eastAsia="Times New Roman" w:hAnsi="Tahoma"/>
          <w:sz w:val="20"/>
          <w:szCs w:val="24"/>
        </w:rPr>
        <w:t xml:space="preserve"> ove possibile e la sistemazione dei suoi percorsi in modo da renderne sicuri il transito e la circolazione dei veicoli e delle persone;</w:t>
      </w:r>
    </w:p>
    <w:p w14:paraId="796A7A37" w14:textId="492A5D6E" w:rsidR="000B6E98" w:rsidRDefault="008A7A17" w:rsidP="008A7A17">
      <w:pPr>
        <w:numPr>
          <w:ilvl w:val="0"/>
          <w:numId w:val="10"/>
        </w:numPr>
        <w:spacing w:after="0"/>
        <w:ind w:left="710" w:hanging="284"/>
        <w:rPr>
          <w:rFonts w:ascii="Tahoma" w:eastAsia="Times New Roman" w:hAnsi="Tahoma"/>
          <w:sz w:val="20"/>
          <w:szCs w:val="24"/>
        </w:rPr>
      </w:pPr>
      <w:r>
        <w:rPr>
          <w:rFonts w:ascii="Tahoma" w:eastAsia="Times New Roman" w:hAnsi="Tahoma"/>
          <w:sz w:val="20"/>
          <w:szCs w:val="24"/>
        </w:rPr>
        <w:t>la sorveglianza sia di giorno che di notte del cantiere e di tutti i materiali in esso esistenti, nonché di tutti i beni di proprietà della Stazione Appaltante e delle piantagioni consegnate all'Appaltatore. Per la custodia di cantieri allestiti per la realizzazione di opere pubbliche, l'Appaltatore dovrà servirsi di personale addetto con la qualifica di guardia giurata;</w:t>
      </w:r>
    </w:p>
    <w:p w14:paraId="04DF9415" w14:textId="77777777" w:rsidR="000B6E98" w:rsidRDefault="008A7A17" w:rsidP="008A7A17">
      <w:pPr>
        <w:numPr>
          <w:ilvl w:val="0"/>
          <w:numId w:val="11"/>
        </w:numPr>
        <w:spacing w:after="0"/>
        <w:ind w:left="710" w:hanging="284"/>
        <w:rPr>
          <w:rFonts w:ascii="Tahoma" w:eastAsia="Times New Roman" w:hAnsi="Tahoma"/>
          <w:sz w:val="20"/>
          <w:szCs w:val="24"/>
        </w:rPr>
      </w:pPr>
      <w:r>
        <w:rPr>
          <w:rFonts w:ascii="Tahoma" w:eastAsia="Times New Roman" w:hAnsi="Tahoma"/>
          <w:sz w:val="20"/>
          <w:szCs w:val="24"/>
        </w:rPr>
        <w:t>la costruzione, entro la recinzione del cantiere e nei luoghi che saranno designati dalla Direzione dei Lavori, di locali ad uso ufficio del personale, della Direzione ed assistenza, sufficientemente arredati, illuminati e riscaldati, compresa la relativa manutenzione. Tali locali dovranno essere dotati di adeguati servizi igienici con relativi impianti di scarico funzionanti;</w:t>
      </w:r>
    </w:p>
    <w:p w14:paraId="1040A619" w14:textId="77777777" w:rsidR="000B6E98" w:rsidRDefault="008A7A17" w:rsidP="008A7A17">
      <w:pPr>
        <w:numPr>
          <w:ilvl w:val="0"/>
          <w:numId w:val="12"/>
        </w:numPr>
        <w:spacing w:after="0"/>
        <w:ind w:left="710" w:hanging="284"/>
        <w:rPr>
          <w:rFonts w:ascii="Tahoma" w:eastAsia="Times New Roman" w:hAnsi="Tahoma"/>
          <w:sz w:val="20"/>
          <w:szCs w:val="24"/>
        </w:rPr>
      </w:pPr>
      <w:r>
        <w:rPr>
          <w:rFonts w:ascii="Tahoma" w:eastAsia="Times New Roman" w:hAnsi="Tahoma"/>
          <w:sz w:val="20"/>
          <w:szCs w:val="24"/>
        </w:rPr>
        <w:t>la fornitura e manutenzione di cartelli di avviso, di fanali di segnalazione notturna nei punti prescritti e di quanto altro venisse particolarmente indicato dalla Direzione dei Lavori o dal Coordinatore in fase di esecuzione, allo scopo di migliorare la sicurezza del cantiere;</w:t>
      </w:r>
    </w:p>
    <w:p w14:paraId="1B30D6F7" w14:textId="77777777" w:rsidR="000B6E98" w:rsidRDefault="008A7A17" w:rsidP="008A7A17">
      <w:pPr>
        <w:numPr>
          <w:ilvl w:val="0"/>
          <w:numId w:val="13"/>
        </w:numPr>
        <w:spacing w:after="0"/>
        <w:ind w:left="710" w:hanging="284"/>
        <w:rPr>
          <w:rFonts w:ascii="Tahoma" w:eastAsia="Times New Roman" w:hAnsi="Tahoma"/>
          <w:sz w:val="20"/>
          <w:szCs w:val="24"/>
        </w:rPr>
      </w:pPr>
      <w:r>
        <w:rPr>
          <w:rFonts w:ascii="Tahoma" w:eastAsia="Times New Roman" w:hAnsi="Tahoma"/>
          <w:sz w:val="20"/>
          <w:szCs w:val="24"/>
        </w:rPr>
        <w:t>il mantenimento, fino al collaudo, della continuità degli scoli delle acque e del transito sulle vie o sentieri pubblici o privati latistanti le opere da eseguire;</w:t>
      </w:r>
    </w:p>
    <w:p w14:paraId="3BB378F4" w14:textId="77777777" w:rsidR="000B6E98" w:rsidRDefault="008A7A17" w:rsidP="008A7A17">
      <w:pPr>
        <w:numPr>
          <w:ilvl w:val="0"/>
          <w:numId w:val="14"/>
        </w:numPr>
        <w:spacing w:after="0"/>
        <w:ind w:left="710" w:hanging="284"/>
        <w:rPr>
          <w:rFonts w:ascii="Tahoma" w:eastAsia="Times New Roman" w:hAnsi="Tahoma"/>
          <w:sz w:val="20"/>
          <w:szCs w:val="24"/>
        </w:rPr>
      </w:pPr>
      <w:r>
        <w:rPr>
          <w:rFonts w:ascii="Tahoma" w:eastAsia="Times New Roman" w:hAnsi="Tahoma"/>
          <w:sz w:val="20"/>
          <w:szCs w:val="24"/>
        </w:rPr>
        <w:t>la fornitura di acqua potabile per il cantiere;</w:t>
      </w:r>
    </w:p>
    <w:p w14:paraId="6F33FD75" w14:textId="77777777" w:rsidR="000B6E98" w:rsidRDefault="008A7A17" w:rsidP="008A7A17">
      <w:pPr>
        <w:numPr>
          <w:ilvl w:val="0"/>
          <w:numId w:val="15"/>
        </w:numPr>
        <w:spacing w:after="0"/>
        <w:ind w:left="710" w:hanging="284"/>
        <w:rPr>
          <w:rFonts w:ascii="Tahoma" w:eastAsia="Times New Roman" w:hAnsi="Tahoma"/>
          <w:sz w:val="20"/>
          <w:szCs w:val="24"/>
        </w:rPr>
      </w:pPr>
      <w:r>
        <w:rPr>
          <w:rFonts w:ascii="Tahoma" w:eastAsia="Times New Roman" w:hAnsi="Tahoma"/>
          <w:sz w:val="20"/>
          <w:szCs w:val="24"/>
        </w:rPr>
        <w:t>l'osservanza delle norme, leggi e decreti vigenti, relative alle varie assicurazioni degli operai per previdenza, prevenzione infortuni e assistenza sanitaria che potranno intervenire in corso di appalto;</w:t>
      </w:r>
    </w:p>
    <w:p w14:paraId="388F6305" w14:textId="77777777" w:rsidR="000B6E98" w:rsidRDefault="008A7A17" w:rsidP="008A7A17">
      <w:pPr>
        <w:numPr>
          <w:ilvl w:val="0"/>
          <w:numId w:val="16"/>
        </w:numPr>
        <w:spacing w:after="0"/>
        <w:ind w:left="710" w:hanging="284"/>
        <w:rPr>
          <w:rFonts w:ascii="Tahoma" w:eastAsia="Times New Roman" w:hAnsi="Tahoma"/>
          <w:sz w:val="20"/>
          <w:szCs w:val="24"/>
        </w:rPr>
      </w:pPr>
      <w:r>
        <w:rPr>
          <w:rFonts w:ascii="Tahoma" w:eastAsia="Times New Roman" w:hAnsi="Tahoma"/>
          <w:sz w:val="20"/>
          <w:szCs w:val="24"/>
        </w:rPr>
        <w:t>la comunicazione all'Ufficio da cui i lavori dipendono, entro i termini prefissati dallo stesso, di tutte le notizie relative all'impiego della manodopera;</w:t>
      </w:r>
    </w:p>
    <w:p w14:paraId="6FD697D9" w14:textId="77777777" w:rsidR="000B6E98" w:rsidRDefault="008A7A17" w:rsidP="008A7A17">
      <w:pPr>
        <w:numPr>
          <w:ilvl w:val="0"/>
          <w:numId w:val="17"/>
        </w:numPr>
        <w:spacing w:after="0"/>
        <w:ind w:left="710" w:hanging="284"/>
        <w:rPr>
          <w:rFonts w:ascii="Tahoma" w:eastAsia="Times New Roman" w:hAnsi="Tahoma"/>
          <w:sz w:val="20"/>
          <w:szCs w:val="24"/>
        </w:rPr>
      </w:pPr>
      <w:r>
        <w:rPr>
          <w:rFonts w:ascii="Tahoma" w:eastAsia="Times New Roman" w:hAnsi="Tahoma"/>
          <w:sz w:val="20"/>
          <w:szCs w:val="24"/>
        </w:rPr>
        <w:t xml:space="preserve">l'osservanza delle norme contenute nelle vigenti disposizioni sulla polizia mineraria di cui al d.P.R. 128/59 e </w:t>
      </w:r>
      <w:proofErr w:type="spellStart"/>
      <w:r>
        <w:rPr>
          <w:rFonts w:ascii="Tahoma" w:eastAsia="Times New Roman" w:hAnsi="Tahoma"/>
          <w:sz w:val="20"/>
          <w:szCs w:val="24"/>
        </w:rPr>
        <w:t>s.m.i.</w:t>
      </w:r>
      <w:proofErr w:type="spellEnd"/>
      <w:r>
        <w:rPr>
          <w:rFonts w:ascii="Tahoma" w:eastAsia="Times New Roman" w:hAnsi="Tahoma"/>
          <w:sz w:val="20"/>
          <w:szCs w:val="24"/>
        </w:rPr>
        <w:t>;</w:t>
      </w:r>
    </w:p>
    <w:p w14:paraId="168C424A" w14:textId="77777777" w:rsidR="000B6E98" w:rsidRDefault="008A7A17" w:rsidP="008A7A17">
      <w:pPr>
        <w:numPr>
          <w:ilvl w:val="0"/>
          <w:numId w:val="18"/>
        </w:numPr>
        <w:spacing w:after="0"/>
        <w:ind w:left="710" w:hanging="284"/>
        <w:rPr>
          <w:rFonts w:ascii="Tahoma" w:eastAsia="Times New Roman" w:hAnsi="Tahoma"/>
          <w:sz w:val="20"/>
          <w:szCs w:val="24"/>
        </w:rPr>
      </w:pPr>
      <w:r>
        <w:rPr>
          <w:rFonts w:ascii="Tahoma" w:eastAsia="Times New Roman" w:hAnsi="Tahoma"/>
          <w:sz w:val="20"/>
          <w:szCs w:val="24"/>
        </w:rPr>
        <w:t>le spese per la realizzazione di fotografie delle opere in corso nei vari periodi dell'appalto, nel numero indicato dalla Direzione dei Lavori;</w:t>
      </w:r>
    </w:p>
    <w:p w14:paraId="1DD7DE70" w14:textId="77777777" w:rsidR="000B6E98" w:rsidRDefault="008A7A17" w:rsidP="008A7A17">
      <w:pPr>
        <w:numPr>
          <w:ilvl w:val="0"/>
          <w:numId w:val="19"/>
        </w:numPr>
        <w:spacing w:after="0"/>
        <w:ind w:left="710" w:hanging="284"/>
        <w:rPr>
          <w:rFonts w:ascii="Tahoma" w:eastAsia="Times New Roman" w:hAnsi="Tahoma"/>
          <w:sz w:val="20"/>
          <w:szCs w:val="24"/>
        </w:rPr>
      </w:pPr>
      <w:r>
        <w:rPr>
          <w:rFonts w:ascii="Tahoma" w:eastAsia="Times New Roman" w:hAnsi="Tahoma"/>
          <w:sz w:val="20"/>
          <w:szCs w:val="24"/>
        </w:rPr>
        <w:t>l'assicurazione che copra i danni subiti dalle stazioni appaltanti a causa del danneggiamento o della distruzione totale o parziale di impianti ed opere, anche preesistenti;</w:t>
      </w:r>
    </w:p>
    <w:p w14:paraId="7D7D2216" w14:textId="77777777" w:rsidR="000B6E98" w:rsidRDefault="008A7A17" w:rsidP="008A7A17">
      <w:pPr>
        <w:numPr>
          <w:ilvl w:val="0"/>
          <w:numId w:val="20"/>
        </w:numPr>
        <w:spacing w:after="0"/>
        <w:ind w:left="710" w:hanging="284"/>
        <w:rPr>
          <w:rFonts w:ascii="Tahoma" w:eastAsia="Times New Roman" w:hAnsi="Tahoma"/>
          <w:sz w:val="20"/>
          <w:szCs w:val="24"/>
        </w:rPr>
      </w:pPr>
      <w:r>
        <w:rPr>
          <w:rFonts w:ascii="Tahoma" w:eastAsia="Times New Roman" w:hAnsi="Tahoma"/>
          <w:sz w:val="20"/>
          <w:szCs w:val="24"/>
        </w:rPr>
        <w:t xml:space="preserve">il pagamento delle tasse e di altri oneri per concessioni comunali (titoli abilitativi per la costruzione, l'occupazione temporanea di suolo pubblico, passi carrabili, ecc.), nonché il pagamento di ogni tassa presente e futura inerente </w:t>
      </w:r>
      <w:proofErr w:type="gramStart"/>
      <w:r>
        <w:rPr>
          <w:rFonts w:ascii="Tahoma" w:eastAsia="Times New Roman" w:hAnsi="Tahoma"/>
          <w:sz w:val="20"/>
          <w:szCs w:val="24"/>
        </w:rPr>
        <w:t>i</w:t>
      </w:r>
      <w:proofErr w:type="gramEnd"/>
      <w:r>
        <w:rPr>
          <w:rFonts w:ascii="Tahoma" w:eastAsia="Times New Roman" w:hAnsi="Tahoma"/>
          <w:sz w:val="20"/>
          <w:szCs w:val="24"/>
        </w:rPr>
        <w:t xml:space="preserve"> materiali e mezzi d'opera da impiegarsi, ovvero alle stesse opere finite, esclusi, nei Comuni in cui essi sono dovuti, i diritti per gli allacciamenti e gli scarichi;</w:t>
      </w:r>
    </w:p>
    <w:p w14:paraId="4491970F" w14:textId="77777777" w:rsidR="000B6E98" w:rsidRDefault="008A7A17" w:rsidP="008A7A17">
      <w:pPr>
        <w:numPr>
          <w:ilvl w:val="0"/>
          <w:numId w:val="22"/>
        </w:numPr>
        <w:spacing w:after="0"/>
        <w:ind w:left="710" w:hanging="284"/>
        <w:rPr>
          <w:rFonts w:ascii="Tahoma" w:eastAsia="Times New Roman" w:hAnsi="Tahoma"/>
          <w:sz w:val="20"/>
          <w:szCs w:val="24"/>
        </w:rPr>
      </w:pPr>
      <w:r>
        <w:rPr>
          <w:rFonts w:ascii="Tahoma" w:eastAsia="Times New Roman" w:hAnsi="Tahoma"/>
          <w:sz w:val="20"/>
          <w:szCs w:val="24"/>
        </w:rPr>
        <w:t>la pulizia quotidiana dei locali in costruzione e delle vie di transito del cantiere, col personale necessario, compreso lo sgombero dei materiali di rifiuto lasciati da altre Ditte;</w:t>
      </w:r>
    </w:p>
    <w:p w14:paraId="205CF809" w14:textId="77777777" w:rsidR="000B6E98" w:rsidRDefault="008A7A17" w:rsidP="008A7A17">
      <w:pPr>
        <w:numPr>
          <w:ilvl w:val="0"/>
          <w:numId w:val="21"/>
        </w:numPr>
        <w:spacing w:after="0"/>
        <w:ind w:left="710" w:hanging="284"/>
        <w:rPr>
          <w:rFonts w:ascii="Tahoma" w:eastAsia="Times New Roman" w:hAnsi="Tahoma"/>
          <w:sz w:val="20"/>
          <w:szCs w:val="24"/>
        </w:rPr>
      </w:pPr>
      <w:r>
        <w:rPr>
          <w:rFonts w:ascii="Tahoma" w:eastAsia="Times New Roman" w:hAnsi="Tahoma"/>
          <w:sz w:val="20"/>
          <w:szCs w:val="24"/>
        </w:rPr>
        <w:t xml:space="preserve">il libero accesso ed il transito nel cantiere e sulle opere eseguite od in corso d'esecuzione, alle persone addette ed a qualunque altra Impresa alla quale siano stati affidati lavori per conto diretto della Stazione Appaltante; </w:t>
      </w:r>
    </w:p>
    <w:p w14:paraId="29A44617" w14:textId="77777777" w:rsidR="000B6E98" w:rsidRDefault="008A7A17" w:rsidP="008A7A17">
      <w:pPr>
        <w:numPr>
          <w:ilvl w:val="0"/>
          <w:numId w:val="23"/>
        </w:numPr>
        <w:spacing w:after="0"/>
        <w:ind w:left="710" w:hanging="284"/>
        <w:rPr>
          <w:rFonts w:ascii="Tahoma" w:eastAsia="Times New Roman" w:hAnsi="Tahoma"/>
          <w:sz w:val="20"/>
          <w:szCs w:val="24"/>
        </w:rPr>
      </w:pPr>
      <w:r>
        <w:rPr>
          <w:rFonts w:ascii="Tahoma" w:eastAsia="Times New Roman" w:hAnsi="Tahoma"/>
          <w:sz w:val="20"/>
          <w:szCs w:val="24"/>
        </w:rPr>
        <w:t xml:space="preserve">l'uso gratuito parziale o totale, a richiesta della Direzione dei Lavori, da parte di dette Imprese o </w:t>
      </w:r>
      <w:r>
        <w:rPr>
          <w:rFonts w:ascii="Tahoma" w:eastAsia="Times New Roman" w:hAnsi="Tahoma"/>
          <w:sz w:val="20"/>
          <w:szCs w:val="24"/>
        </w:rPr>
        <w:lastRenderedPageBreak/>
        <w:t>persone, dei ponti di servizio, impalcature, costruzioni provvisorie, ed apparecchi di sollevamento, per tutto il tempo occorrente all'esecuzione dei lavori;</w:t>
      </w:r>
    </w:p>
    <w:p w14:paraId="1E21AB83" w14:textId="77777777" w:rsidR="000B6E98" w:rsidRDefault="008A7A17" w:rsidP="008A7A17">
      <w:pPr>
        <w:numPr>
          <w:ilvl w:val="0"/>
          <w:numId w:val="24"/>
        </w:numPr>
        <w:spacing w:after="0"/>
        <w:ind w:left="710" w:hanging="284"/>
        <w:rPr>
          <w:rFonts w:ascii="Tahoma" w:eastAsia="Times New Roman" w:hAnsi="Tahoma"/>
          <w:sz w:val="20"/>
          <w:szCs w:val="24"/>
        </w:rPr>
      </w:pPr>
      <w:r>
        <w:rPr>
          <w:rFonts w:ascii="Tahoma" w:eastAsia="Times New Roman" w:hAnsi="Tahoma"/>
          <w:sz w:val="20"/>
          <w:szCs w:val="24"/>
        </w:rPr>
        <w:t>il ricevimento, lo scarico ed il trasporto in cantiere e nei luoghi di deposito o a piè d'opera, a sua cura e spese, secondo le disposizioni della Direzione dei Lavori nonché alla buona conservazione ed alla perfetta custodia, dei materiali e dei manufatti esclusi dal presente appalto e provvisti od eseguiti da altre Ditte per conto della Stazione Appaltante. I danni che per cause dipendenti o per sua negligenza fossero apportati a tali materiali e manufatti dovranno essere riparati a carico esclusivo dell'Appaltatore;</w:t>
      </w:r>
    </w:p>
    <w:p w14:paraId="0CBD7B30" w14:textId="77777777" w:rsidR="000B6E98" w:rsidRDefault="008A7A17" w:rsidP="008A7A17">
      <w:pPr>
        <w:numPr>
          <w:ilvl w:val="0"/>
          <w:numId w:val="25"/>
        </w:numPr>
        <w:spacing w:after="0"/>
        <w:ind w:left="710" w:hanging="284"/>
        <w:rPr>
          <w:rFonts w:ascii="Tahoma" w:eastAsia="Times New Roman" w:hAnsi="Tahoma"/>
          <w:sz w:val="20"/>
          <w:szCs w:val="24"/>
        </w:rPr>
      </w:pPr>
      <w:r>
        <w:rPr>
          <w:rFonts w:ascii="Tahoma" w:eastAsia="Times New Roman" w:hAnsi="Tahoma"/>
          <w:sz w:val="20"/>
          <w:szCs w:val="24"/>
        </w:rPr>
        <w:t xml:space="preserve">la predisposizione, prima dell'inizio dei lavori, del piano delle misure per la sicurezza fisica dei lavoratori di cui al comma 17 dell'art. 105 del d.lgs. n. 50/2016 e </w:t>
      </w:r>
      <w:proofErr w:type="spellStart"/>
      <w:r>
        <w:rPr>
          <w:rFonts w:ascii="Tahoma" w:eastAsia="Times New Roman" w:hAnsi="Tahoma"/>
          <w:sz w:val="20"/>
          <w:szCs w:val="24"/>
        </w:rPr>
        <w:t>s.m.i.</w:t>
      </w:r>
      <w:proofErr w:type="spellEnd"/>
      <w:r>
        <w:rPr>
          <w:rFonts w:ascii="Tahoma" w:eastAsia="Times New Roman" w:hAnsi="Tahoma"/>
          <w:sz w:val="20"/>
          <w:szCs w:val="24"/>
        </w:rPr>
        <w:t>;</w:t>
      </w:r>
    </w:p>
    <w:p w14:paraId="5C2B958F" w14:textId="77777777" w:rsidR="000B6E98" w:rsidRDefault="008A7A17" w:rsidP="008A7A17">
      <w:pPr>
        <w:numPr>
          <w:ilvl w:val="0"/>
          <w:numId w:val="26"/>
        </w:numPr>
        <w:spacing w:after="0"/>
        <w:ind w:left="710" w:hanging="284"/>
        <w:rPr>
          <w:rFonts w:ascii="Tahoma" w:eastAsia="Times New Roman" w:hAnsi="Tahoma"/>
          <w:sz w:val="20"/>
          <w:szCs w:val="24"/>
        </w:rPr>
      </w:pPr>
      <w:r>
        <w:rPr>
          <w:rFonts w:ascii="Tahoma" w:eastAsia="Times New Roman" w:hAnsi="Tahoma"/>
          <w:sz w:val="20"/>
          <w:szCs w:val="24"/>
        </w:rPr>
        <w:t xml:space="preserve">l'adozione, nell'esecuzione di tutti i lavori, dei procedimenti e delle cautele necessarie per garantire la salute e la sicurezza dei lavoratori e dei terzi, nonché per evitare danni ai beni pubblici e privati, osservando le disposizioni contenute nel d.lgs. 9 aprile 2008, n. 81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e di tutte le norme in vigore in materia di sicurezza;</w:t>
      </w:r>
    </w:p>
    <w:p w14:paraId="0F1586D6" w14:textId="77777777" w:rsidR="000B6E98" w:rsidRDefault="008A7A17" w:rsidP="008A7A17">
      <w:pPr>
        <w:numPr>
          <w:ilvl w:val="0"/>
          <w:numId w:val="27"/>
        </w:numPr>
        <w:spacing w:after="0"/>
        <w:ind w:left="710" w:hanging="284"/>
        <w:rPr>
          <w:rFonts w:ascii="Tahoma" w:eastAsia="Times New Roman" w:hAnsi="Tahoma"/>
          <w:sz w:val="20"/>
          <w:szCs w:val="24"/>
        </w:rPr>
      </w:pPr>
      <w:r>
        <w:rPr>
          <w:rFonts w:ascii="Tahoma" w:eastAsia="Times New Roman" w:hAnsi="Tahoma"/>
          <w:sz w:val="20"/>
          <w:szCs w:val="24"/>
        </w:rPr>
        <w:t>il consenso all'uso anticipato delle opere qualora venisse richiesto dalla Direzione dei Lavori, senza che l'Appaltatore abbia perciò diritto a speciali compensi. Egli potrà, però, richiedere che sia redatto apposito verbale circa lo stato delle opere, per essere garantito dai possibili danni che potrebbero derivarne dall'uso;</w:t>
      </w:r>
    </w:p>
    <w:p w14:paraId="47E28B32" w14:textId="77777777" w:rsidR="000B6E98" w:rsidRDefault="008A7A17" w:rsidP="008A7A17">
      <w:pPr>
        <w:numPr>
          <w:ilvl w:val="0"/>
          <w:numId w:val="29"/>
        </w:numPr>
        <w:spacing w:after="0"/>
        <w:ind w:left="710" w:hanging="284"/>
        <w:rPr>
          <w:rFonts w:ascii="Tahoma" w:eastAsia="Times New Roman" w:hAnsi="Tahoma"/>
          <w:sz w:val="20"/>
          <w:szCs w:val="24"/>
        </w:rPr>
      </w:pPr>
      <w:r>
        <w:rPr>
          <w:rFonts w:ascii="Tahoma" w:eastAsia="Times New Roman" w:hAnsi="Tahoma"/>
          <w:sz w:val="20"/>
          <w:szCs w:val="24"/>
        </w:rPr>
        <w:t xml:space="preserve">la fornitura e posa in opera nel cantiere, a sua cura e spese, delle apposite tabelle indicative dei lavori, anche ai sensi di quanto previsto dall'art. 105 comma 15 del d.lgs. 50/2016 e </w:t>
      </w:r>
      <w:proofErr w:type="spellStart"/>
      <w:r>
        <w:rPr>
          <w:rFonts w:ascii="Tahoma" w:eastAsia="Times New Roman" w:hAnsi="Tahoma"/>
          <w:sz w:val="20"/>
          <w:szCs w:val="24"/>
        </w:rPr>
        <w:t>s.m.i.</w:t>
      </w:r>
      <w:proofErr w:type="spellEnd"/>
      <w:r>
        <w:rPr>
          <w:rFonts w:ascii="Tahoma" w:eastAsia="Times New Roman" w:hAnsi="Tahoma"/>
          <w:sz w:val="20"/>
          <w:szCs w:val="24"/>
        </w:rPr>
        <w:t>;</w:t>
      </w:r>
    </w:p>
    <w:p w14:paraId="5902D3A1" w14:textId="77777777" w:rsidR="000B6E98" w:rsidRDefault="008A7A17" w:rsidP="008A7A17">
      <w:pPr>
        <w:numPr>
          <w:ilvl w:val="0"/>
          <w:numId w:val="28"/>
        </w:numPr>
        <w:spacing w:after="0"/>
        <w:ind w:left="710" w:hanging="284"/>
        <w:rPr>
          <w:rFonts w:ascii="Tahoma" w:eastAsia="Times New Roman" w:hAnsi="Tahoma"/>
          <w:sz w:val="20"/>
          <w:szCs w:val="24"/>
        </w:rPr>
      </w:pPr>
      <w:r>
        <w:rPr>
          <w:rFonts w:ascii="Tahoma" w:eastAsia="Times New Roman" w:hAnsi="Tahoma"/>
          <w:sz w:val="20"/>
          <w:szCs w:val="24"/>
        </w:rPr>
        <w:t xml:space="preserve">la trasmissione alla Stazione Appaltante, a sua cura e spese, degli eventuali contratti di subappalto che dovesse stipulare, almeno 20 giorni prima della data di effettivo inizio dell'esecuzione delle relative prestazioni, ai sensi del comma 7 dell'art. 105 del d.lgs. n. 50/2016 e </w:t>
      </w:r>
      <w:proofErr w:type="spellStart"/>
      <w:r>
        <w:rPr>
          <w:rFonts w:ascii="Tahoma" w:eastAsia="Times New Roman" w:hAnsi="Tahoma"/>
          <w:sz w:val="20"/>
          <w:szCs w:val="24"/>
        </w:rPr>
        <w:t>s.m.i.</w:t>
      </w:r>
      <w:proofErr w:type="spellEnd"/>
      <w:r>
        <w:rPr>
          <w:rFonts w:ascii="Tahoma" w:eastAsia="Times New Roman" w:hAnsi="Tahoma"/>
          <w:sz w:val="20"/>
          <w:szCs w:val="24"/>
        </w:rPr>
        <w:t xml:space="preserve"> La disposizione si applica anche ai noli a caldo ed ai contratti similari;</w:t>
      </w:r>
    </w:p>
    <w:p w14:paraId="5C7DB8DA" w14:textId="77777777" w:rsidR="000B6E98" w:rsidRDefault="008A7A17" w:rsidP="008A7A17">
      <w:pPr>
        <w:numPr>
          <w:ilvl w:val="0"/>
          <w:numId w:val="30"/>
        </w:numPr>
        <w:spacing w:after="0"/>
        <w:ind w:left="710" w:hanging="284"/>
        <w:rPr>
          <w:rFonts w:ascii="Tahoma" w:eastAsia="Times New Roman" w:hAnsi="Tahoma"/>
          <w:sz w:val="20"/>
          <w:szCs w:val="24"/>
        </w:rPr>
      </w:pPr>
      <w:r>
        <w:rPr>
          <w:rFonts w:ascii="Tahoma" w:eastAsia="Times New Roman" w:hAnsi="Tahoma"/>
          <w:sz w:val="20"/>
          <w:szCs w:val="24"/>
        </w:rPr>
        <w:t>la disciplina e il buon ordine dei cantieri. L'appaltatore è responsabile della disciplina e del buon ordine nel cantiere e ha l'obbligo di osservare e far osservare al proprio personale le norme di legge e di regolamento. L'appaltatore, tramite il direttore di cantiere, assicura l'organizzazione, la gestione tecnica e la conduzione del cantiere. La direzione del cantiere è assunta dal direttore tecnico dell'impresa o da altro tecnico formalmente incaricato dall'appaltatore. In caso di appalto affidato ad associazione temporanea di imprese o a consorzio, l'incarico della direzione di cantiere è attribuito mediante delega conferita da tutte le imprese operanti nel cantiere; la delega deve indicare specificamente le attribuzioni da esercitare dal direttore anche in rapporto a quelle degli altri soggetti operanti nel cantiere. La Direzione dei Lavori ha il diritto, previa motivata comunicazione all'appaltatore, di esigere il cambiamento del direttore di cantiere e del personale per indisciplina, incapacità o grave negligenza. L'appaltatore è comunque responsabile dei danni causati dall'imperizia o dalla negligenza di detti soggetti, e risponde nei confronti dell'amministrazione committente per la malafede o la frode dei medesimi nell'impiego dei materiali.</w:t>
      </w:r>
    </w:p>
    <w:p w14:paraId="5E297C94" w14:textId="77777777" w:rsidR="000B6E98" w:rsidRDefault="000B6E98">
      <w:pPr>
        <w:spacing w:after="0"/>
        <w:ind w:firstLine="284"/>
        <w:rPr>
          <w:rFonts w:ascii="Tahoma" w:eastAsia="Times New Roman" w:hAnsi="Tahoma"/>
          <w:sz w:val="20"/>
          <w:szCs w:val="24"/>
        </w:rPr>
      </w:pPr>
    </w:p>
    <w:p w14:paraId="789D1D7E" w14:textId="618106D5" w:rsidR="000B6E98" w:rsidRDefault="008A7A17">
      <w:pPr>
        <w:spacing w:after="0"/>
        <w:ind w:firstLine="284"/>
        <w:rPr>
          <w:rFonts w:ascii="Tahoma" w:eastAsia="Times New Roman" w:hAnsi="Tahoma"/>
          <w:sz w:val="20"/>
          <w:szCs w:val="24"/>
        </w:rPr>
      </w:pPr>
      <w:r w:rsidRPr="009D45AA">
        <w:rPr>
          <w:rFonts w:ascii="Tahoma" w:eastAsia="Times New Roman" w:hAnsi="Tahoma"/>
          <w:sz w:val="20"/>
          <w:szCs w:val="24"/>
        </w:rPr>
        <w:t xml:space="preserve">Il corrispettivo per tutti gli obblighi ed oneri sopra specificati è conglobato nei prezzi dei lavori e nell'eventuale compenso di cui all'articolo </w:t>
      </w:r>
      <w:hyperlink r:id="rId11" w:history="1">
        <w:r w:rsidRPr="009D45AA">
          <w:rPr>
            <w:rFonts w:ascii="Tahoma" w:eastAsia="Times New Roman" w:hAnsi="Tahoma"/>
            <w:sz w:val="20"/>
            <w:szCs w:val="24"/>
            <w:u w:val="single"/>
          </w:rPr>
          <w:t>"Ammontare dell'Appalto"</w:t>
        </w:r>
      </w:hyperlink>
      <w:r w:rsidRPr="009D45AA">
        <w:rPr>
          <w:rFonts w:ascii="Tahoma" w:eastAsia="Times New Roman" w:hAnsi="Tahoma"/>
          <w:sz w:val="20"/>
          <w:szCs w:val="24"/>
        </w:rPr>
        <w:t xml:space="preserve"> del presente Capitolato. Detto eventuale compenso è fisso ed invariabile, essendo soggetto soltanto alla riduzione relativa all'offerto ribasso contrattuale</w:t>
      </w:r>
      <w:r>
        <w:rPr>
          <w:rFonts w:ascii="Tahoma" w:eastAsia="Times New Roman" w:hAnsi="Tahoma"/>
          <w:sz w:val="20"/>
          <w:szCs w:val="24"/>
        </w:rPr>
        <w:t>.</w:t>
      </w:r>
    </w:p>
    <w:p w14:paraId="3E8161E9"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L'Appaltatore si obbliga a garantire il trattamento dei dati acquisiti in merito alle opere appaltate, in conformità a quanto previsto dal Regolamento (UE) 2016/679 del Parlamento europeo e del Consiglio del 27 aprile 2016 "REGOLAMENTO GENERALE SULLA PROTEZIONE DEI DATI" e dal </w:t>
      </w:r>
      <w:proofErr w:type="spellStart"/>
      <w:r>
        <w:rPr>
          <w:rFonts w:ascii="Tahoma" w:eastAsia="Times New Roman" w:hAnsi="Tahoma"/>
          <w:color w:val="000000"/>
          <w:sz w:val="20"/>
          <w:szCs w:val="24"/>
        </w:rPr>
        <w:t>D.Lgs.</w:t>
      </w:r>
      <w:proofErr w:type="spellEnd"/>
      <w:r>
        <w:rPr>
          <w:rFonts w:ascii="Tahoma" w:eastAsia="Times New Roman" w:hAnsi="Tahoma"/>
          <w:color w:val="000000"/>
          <w:sz w:val="20"/>
          <w:szCs w:val="24"/>
        </w:rPr>
        <w:t xml:space="preserve"> 30 giugno 2003, n. 196 "Codice in materia di protezione dei dati personali" e </w:t>
      </w:r>
      <w:proofErr w:type="spellStart"/>
      <w:r>
        <w:rPr>
          <w:rFonts w:ascii="Tahoma" w:eastAsia="Times New Roman" w:hAnsi="Tahoma"/>
          <w:color w:val="000000"/>
          <w:sz w:val="20"/>
          <w:szCs w:val="24"/>
        </w:rPr>
        <w:t>s.m.i.</w:t>
      </w:r>
      <w:proofErr w:type="spellEnd"/>
    </w:p>
    <w:p w14:paraId="0495FA4B" w14:textId="794F1DE6" w:rsidR="000B6E98" w:rsidRDefault="000B6E98">
      <w:pPr>
        <w:spacing w:after="0"/>
        <w:ind w:firstLine="284"/>
        <w:rPr>
          <w:rFonts w:ascii="Tahoma" w:eastAsia="Times New Roman" w:hAnsi="Tahoma"/>
          <w:color w:val="008080"/>
          <w:sz w:val="20"/>
          <w:szCs w:val="24"/>
        </w:rPr>
      </w:pPr>
    </w:p>
    <w:p w14:paraId="6B3AF1B2" w14:textId="77777777" w:rsidR="009D45AA" w:rsidRDefault="009D45AA">
      <w:pPr>
        <w:spacing w:after="0"/>
        <w:ind w:firstLine="284"/>
        <w:rPr>
          <w:rFonts w:ascii="Tahoma" w:eastAsia="Times New Roman" w:hAnsi="Tahoma"/>
          <w:color w:val="008080"/>
          <w:sz w:val="20"/>
          <w:szCs w:val="24"/>
        </w:rPr>
      </w:pPr>
    </w:p>
    <w:p w14:paraId="08AFD023"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#{GUID_8107C836-C258-476D-A3EB-5EFE057A40A1|LIVELLO_2|TESTO_Cartelli all'esterno del cantiere_END}&amp;</w:t>
      </w:r>
      <w:bookmarkStart w:id="29" w:name="4251"/>
      <w:bookmarkEnd w:id="29"/>
      <w:r>
        <w:rPr>
          <w:rFonts w:ascii="Tahoma" w:eastAsia="Times New Roman" w:hAnsi="Tahoma"/>
          <w:b/>
          <w:sz w:val="20"/>
          <w:szCs w:val="24"/>
        </w:rPr>
        <w:t>Art. 2.21</w:t>
      </w:r>
    </w:p>
    <w:p w14:paraId="5BD08DBA"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CARTELLI ALL'ESTERNO DEL CANTIERE</w:t>
      </w:r>
    </w:p>
    <w:p w14:paraId="6ADA0F8E" w14:textId="77777777" w:rsidR="000B6E98" w:rsidRDefault="000B6E98">
      <w:pPr>
        <w:spacing w:after="0"/>
        <w:rPr>
          <w:rFonts w:ascii="Tahoma" w:eastAsia="Times New Roman" w:hAnsi="Tahoma"/>
          <w:sz w:val="20"/>
          <w:szCs w:val="24"/>
        </w:rPr>
      </w:pPr>
    </w:p>
    <w:p w14:paraId="4A93A58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ha l'obbligo di fornire in opera a sua cura e spese e di esporre all'esterno del cantiere, come dispone la Circolare Min. LL.PP. 1 giugno 1990, n. 1729/UL, due cartelli di dimensioni non inferiori a m. 1,00 (larghezza) per m. 2,00 (altezza) in cui devono essere indicati la Stazione Appaltante, l'oggetto dei lavori, i nominativi dell'Impresa, del Progettista, della Direzione dei Lavori e dell'Assistente ai lavori; in detti cartelli, ai sensi dall'art. 105 comma 15 del d.lgs. 50/2016 e </w:t>
      </w:r>
      <w:proofErr w:type="spellStart"/>
      <w:r>
        <w:rPr>
          <w:rFonts w:ascii="Tahoma" w:eastAsia="Times New Roman" w:hAnsi="Tahoma"/>
          <w:sz w:val="20"/>
          <w:szCs w:val="24"/>
        </w:rPr>
        <w:t>s.m.i.</w:t>
      </w:r>
      <w:proofErr w:type="spellEnd"/>
      <w:r>
        <w:rPr>
          <w:rFonts w:ascii="Tahoma" w:eastAsia="Times New Roman" w:hAnsi="Tahoma"/>
          <w:sz w:val="20"/>
          <w:szCs w:val="24"/>
        </w:rPr>
        <w:t>, devono essere indicati, altresì, i nominativi di tutte le imprese subappaltatrici nonché tutti i dati richiesti dalle vigenti normative nazionali e locali.</w:t>
      </w:r>
    </w:p>
    <w:p w14:paraId="1D414DDC" w14:textId="1D441912" w:rsidR="000B6E98" w:rsidRDefault="000B6E98">
      <w:pPr>
        <w:spacing w:after="0"/>
        <w:ind w:firstLine="284"/>
        <w:rPr>
          <w:rFonts w:ascii="Tahoma" w:eastAsia="Times New Roman" w:hAnsi="Tahoma"/>
          <w:sz w:val="20"/>
          <w:szCs w:val="24"/>
        </w:rPr>
      </w:pPr>
    </w:p>
    <w:p w14:paraId="58827AF0" w14:textId="77777777" w:rsidR="00A80620" w:rsidRDefault="00A80620">
      <w:pPr>
        <w:spacing w:after="0"/>
        <w:ind w:firstLine="284"/>
        <w:rPr>
          <w:rFonts w:ascii="Tahoma" w:eastAsia="Times New Roman" w:hAnsi="Tahoma"/>
          <w:sz w:val="20"/>
          <w:szCs w:val="24"/>
        </w:rPr>
      </w:pPr>
    </w:p>
    <w:p w14:paraId="6D54BE65"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#{GUID_E1B7624D-F0D3-485B-AE72-6E042B0B5EAB|LIVELLO_2|TESTO_Proprietà dei materiali di escavazione e di demolizione_END}&amp;</w:t>
      </w:r>
      <w:bookmarkStart w:id="30" w:name="4252"/>
      <w:bookmarkEnd w:id="30"/>
      <w:r>
        <w:rPr>
          <w:rFonts w:ascii="Tahoma" w:eastAsia="Times New Roman" w:hAnsi="Tahoma"/>
          <w:b/>
          <w:sz w:val="20"/>
          <w:szCs w:val="24"/>
        </w:rPr>
        <w:t>Art. 2.22</w:t>
      </w:r>
    </w:p>
    <w:p w14:paraId="671921D9"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lastRenderedPageBreak/>
        <w:t>PROPRIETA' DEI MATERIALI DI ESCAVAZIONE E DI DEMOLIZIONE</w:t>
      </w:r>
    </w:p>
    <w:p w14:paraId="4A347718" w14:textId="77777777" w:rsidR="000B6E98" w:rsidRDefault="000B6E98">
      <w:pPr>
        <w:spacing w:after="0"/>
        <w:rPr>
          <w:rFonts w:ascii="Tahoma" w:eastAsia="Times New Roman" w:hAnsi="Tahoma"/>
          <w:sz w:val="20"/>
          <w:szCs w:val="24"/>
        </w:rPr>
      </w:pPr>
    </w:p>
    <w:p w14:paraId="59C9B7D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In attuazione dell'art. 36 del Capitolato generale d'appalto </w:t>
      </w:r>
      <w:proofErr w:type="spellStart"/>
      <w:r>
        <w:rPr>
          <w:rFonts w:ascii="Tahoma" w:eastAsia="Times New Roman" w:hAnsi="Tahoma"/>
          <w:sz w:val="20"/>
          <w:szCs w:val="24"/>
        </w:rPr>
        <w:t>d.m.</w:t>
      </w:r>
      <w:proofErr w:type="spellEnd"/>
      <w:r>
        <w:rPr>
          <w:rFonts w:ascii="Tahoma" w:eastAsia="Times New Roman" w:hAnsi="Tahoma"/>
          <w:sz w:val="20"/>
          <w:szCs w:val="24"/>
        </w:rPr>
        <w:t xml:space="preserve"> 145/2000, i materiali provenienti da escavazioni o demolizioni sono di proprietà della Stazione Appaltante.</w:t>
      </w:r>
    </w:p>
    <w:p w14:paraId="2A9DE6E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L'Ap</w:t>
      </w:r>
      <w:r>
        <w:rPr>
          <w:rFonts w:ascii="Tahoma" w:eastAsia="Times New Roman" w:hAnsi="Tahoma"/>
          <w:color w:val="000000"/>
          <w:sz w:val="20"/>
          <w:szCs w:val="24"/>
        </w:rPr>
        <w:t>paltatore dovrà trasportarli e regolarmente accatastarli nel sito di stoccaggio indicato dalla Stazione appaltante intendendosi di ciò com</w:t>
      </w:r>
      <w:r>
        <w:rPr>
          <w:rFonts w:ascii="Tahoma" w:eastAsia="Times New Roman" w:hAnsi="Tahoma"/>
          <w:sz w:val="20"/>
          <w:szCs w:val="24"/>
        </w:rPr>
        <w:t>pensato coi prezzi degli scavi e delle demolizioni relative.</w:t>
      </w:r>
    </w:p>
    <w:p w14:paraId="06B0102D"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Qualora detti materiali siano ceduti all'Appaltatore, il prezzo ad essi convenzionalmente attribuito deve essere dedotto dall'importo netto dei lavori, salvo che la deduzione non sia stata già fatta nella determinazione dei prezzi di contratto.</w:t>
      </w:r>
    </w:p>
    <w:p w14:paraId="2B69432C" w14:textId="20B33A42" w:rsidR="000B6E98" w:rsidRDefault="000B6E98">
      <w:pPr>
        <w:spacing w:after="0"/>
        <w:ind w:firstLine="284"/>
        <w:rPr>
          <w:rFonts w:ascii="Tahoma" w:eastAsia="Times New Roman" w:hAnsi="Tahoma"/>
          <w:sz w:val="20"/>
          <w:szCs w:val="24"/>
        </w:rPr>
      </w:pPr>
    </w:p>
    <w:p w14:paraId="16CEAD20" w14:textId="77777777" w:rsidR="00A80620" w:rsidRDefault="00A80620">
      <w:pPr>
        <w:spacing w:after="0"/>
        <w:ind w:firstLine="284"/>
        <w:rPr>
          <w:rFonts w:ascii="Tahoma" w:eastAsia="Times New Roman" w:hAnsi="Tahoma"/>
          <w:sz w:val="20"/>
          <w:szCs w:val="24"/>
        </w:rPr>
      </w:pPr>
    </w:p>
    <w:p w14:paraId="0042CB00"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#{GUID_5FE36844-3305-4F5F-B311-06DB9B0BA997|LIVELLO_2|TESTO_Rinvenimenti_END}&amp;</w:t>
      </w:r>
      <w:bookmarkStart w:id="31" w:name="4253"/>
      <w:bookmarkEnd w:id="31"/>
      <w:r>
        <w:rPr>
          <w:rFonts w:ascii="Tahoma" w:eastAsia="Times New Roman" w:hAnsi="Tahoma"/>
          <w:b/>
          <w:sz w:val="20"/>
          <w:szCs w:val="24"/>
        </w:rPr>
        <w:t>Art. 2.23</w:t>
      </w:r>
    </w:p>
    <w:p w14:paraId="1D727493"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RINVENIMENTI</w:t>
      </w:r>
    </w:p>
    <w:p w14:paraId="4AEF005F" w14:textId="77777777" w:rsidR="000B6E98" w:rsidRDefault="000B6E98">
      <w:pPr>
        <w:spacing w:after="0"/>
        <w:rPr>
          <w:rFonts w:ascii="Tahoma" w:eastAsia="Times New Roman" w:hAnsi="Tahoma"/>
          <w:sz w:val="20"/>
          <w:szCs w:val="24"/>
        </w:rPr>
      </w:pPr>
    </w:p>
    <w:p w14:paraId="4DEE23FD" w14:textId="6360E6CD" w:rsidR="000B6E98" w:rsidRDefault="008A7A17">
      <w:pPr>
        <w:spacing w:after="0"/>
        <w:ind w:firstLine="284"/>
        <w:rPr>
          <w:rFonts w:ascii="Tahoma" w:eastAsia="Times New Roman" w:hAnsi="Tahoma"/>
          <w:sz w:val="20"/>
          <w:szCs w:val="24"/>
        </w:rPr>
      </w:pPr>
      <w:r>
        <w:rPr>
          <w:rFonts w:ascii="Tahoma" w:eastAsia="Times New Roman" w:hAnsi="Tahoma"/>
          <w:sz w:val="20"/>
          <w:szCs w:val="24"/>
        </w:rPr>
        <w:t>Nel caso la verifica preventiva di interesse archeologico di cui all'articolo 25 del d.lgs. 50/2016 risultasse negativa, al successivo eventuale rinvenimento di tutti gli oggetti di pregio intrinseco ed archeologico esistenti nelle demolizioni, negli scavi e comunque nella zona dei lavori, si applicherà l'art. 35 del Capitolato generale d'appalto (</w:t>
      </w:r>
      <w:proofErr w:type="spellStart"/>
      <w:r>
        <w:rPr>
          <w:rFonts w:ascii="Tahoma" w:eastAsia="Times New Roman" w:hAnsi="Tahoma"/>
          <w:sz w:val="20"/>
          <w:szCs w:val="24"/>
        </w:rPr>
        <w:t>d.m.</w:t>
      </w:r>
      <w:proofErr w:type="spellEnd"/>
      <w:r>
        <w:rPr>
          <w:rFonts w:ascii="Tahoma" w:eastAsia="Times New Roman" w:hAnsi="Tahoma"/>
          <w:sz w:val="20"/>
          <w:szCs w:val="24"/>
        </w:rPr>
        <w:t xml:space="preserve"> 145/2000); essi spettano di pieno diritto alla Stazione Appaltante, salvo quanto su di essi possa competere allo Stato. L'Appaltatore dovrà dare immediato avviso de</w:t>
      </w:r>
      <w:r w:rsidR="009A4BF8">
        <w:rPr>
          <w:rFonts w:ascii="Tahoma" w:eastAsia="Times New Roman" w:hAnsi="Tahoma"/>
          <w:sz w:val="20"/>
          <w:szCs w:val="24"/>
        </w:rPr>
        <w:t>l</w:t>
      </w:r>
      <w:r>
        <w:rPr>
          <w:rFonts w:ascii="Tahoma" w:eastAsia="Times New Roman" w:hAnsi="Tahoma"/>
          <w:sz w:val="20"/>
          <w:szCs w:val="24"/>
        </w:rPr>
        <w:t xml:space="preserve"> loro rinvenimento, quindi depositarli negli uffici della Direzione dei Lavori, ovvero nel sito da questi indicato, che redigerà regolare verbale in proposito da trasmettere alle competenti autorità. </w:t>
      </w:r>
    </w:p>
    <w:p w14:paraId="43E774D4"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avrà diritto al rimborso delle spese sostenute per la loro conservazione e per le speciali operazioni che fossero state espressamente ordinate al fine di assicurarne l'integrità ed il diligente recupero. </w:t>
      </w:r>
    </w:p>
    <w:p w14:paraId="2179D3A4"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L'appaltatore non può demolire o comunque alterare i reperti, né può rimuoverli senza autorizzazione della stazione appaltante.</w:t>
      </w:r>
    </w:p>
    <w:p w14:paraId="59B90043"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Per quanto detto, però, non saranno pregiudicati i diritti spettanti per legge agli autori della scoperta.</w:t>
      </w:r>
    </w:p>
    <w:p w14:paraId="294BE155" w14:textId="11D4727B" w:rsidR="000B6E98" w:rsidRDefault="000B6E98">
      <w:pPr>
        <w:spacing w:after="0"/>
        <w:ind w:firstLine="284"/>
        <w:rPr>
          <w:rFonts w:ascii="Tahoma" w:eastAsia="Times New Roman" w:hAnsi="Tahoma"/>
          <w:sz w:val="20"/>
          <w:szCs w:val="24"/>
        </w:rPr>
      </w:pPr>
    </w:p>
    <w:p w14:paraId="1E388199" w14:textId="77777777" w:rsidR="00A80620" w:rsidRDefault="00A80620">
      <w:pPr>
        <w:spacing w:after="0"/>
        <w:ind w:firstLine="284"/>
        <w:rPr>
          <w:rFonts w:ascii="Tahoma" w:eastAsia="Times New Roman" w:hAnsi="Tahoma"/>
          <w:sz w:val="20"/>
          <w:szCs w:val="24"/>
        </w:rPr>
      </w:pPr>
    </w:p>
    <w:p w14:paraId="5F104F4C"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#{GUID_964AD293-34A9-4788-AB6F-5287BAD1A6DE|LIVELLO_2|TESTO_Brevetti di invenzione_END}&amp;</w:t>
      </w:r>
      <w:bookmarkStart w:id="32" w:name="4254"/>
      <w:bookmarkEnd w:id="32"/>
      <w:r>
        <w:rPr>
          <w:rFonts w:ascii="Tahoma" w:eastAsia="Times New Roman" w:hAnsi="Tahoma"/>
          <w:b/>
          <w:sz w:val="20"/>
          <w:szCs w:val="24"/>
        </w:rPr>
        <w:t>Art. 2.24</w:t>
      </w:r>
    </w:p>
    <w:p w14:paraId="0FBEF326"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BREVETTI DI INVENZIONE</w:t>
      </w:r>
    </w:p>
    <w:p w14:paraId="2B82B8CC" w14:textId="77777777" w:rsidR="000B6E98" w:rsidRDefault="000B6E98">
      <w:pPr>
        <w:spacing w:after="0"/>
        <w:rPr>
          <w:rFonts w:ascii="Tahoma" w:eastAsia="Times New Roman" w:hAnsi="Tahoma"/>
          <w:sz w:val="20"/>
          <w:szCs w:val="24"/>
        </w:rPr>
      </w:pPr>
    </w:p>
    <w:p w14:paraId="50F8223B"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 requisiti tecnici e funzionali dei lavori da eseguire possono riferirsi anche allo specifico processo di produzione o di esecuzione dei lavori, a condizione che siano collegati all'oggetto del contratto e commisurati al valore e agli obiettivi dello stesso. A meno che non siano giustificati dall'oggetto del contratto, i requisiti tecnici e funzionali non fanno riferimento a una fabbricazione o provenienza determinata o a un procedimento particolare caratteristico dei prodotti o dei servizi forniti da un determinato operatore economico, né a marchi, brevetti, tipi o a una produzione specifica che avrebbero come effetto di favorire o eliminare talune imprese o taluni prodotti. Tale riferimento è autorizzato, in via eccezionale, nel caso in cui una descrizione sufficientemente precisa e intelligibile dell'oggetto del contratto non sia possibile: un siffatto riferimento sarà accompagnato dall'espressione «o equivalente».</w:t>
      </w:r>
    </w:p>
    <w:p w14:paraId="5A460D25" w14:textId="78D084CC" w:rsidR="000B6E98" w:rsidRDefault="008A7A17">
      <w:pPr>
        <w:spacing w:after="0"/>
        <w:ind w:firstLine="284"/>
        <w:rPr>
          <w:rFonts w:ascii="Tahoma" w:eastAsia="Times New Roman" w:hAnsi="Tahoma"/>
          <w:sz w:val="20"/>
          <w:szCs w:val="24"/>
        </w:rPr>
      </w:pPr>
      <w:r>
        <w:rPr>
          <w:rFonts w:ascii="Tahoma" w:eastAsia="Times New Roman" w:hAnsi="Tahoma"/>
          <w:sz w:val="20"/>
          <w:szCs w:val="24"/>
        </w:rPr>
        <w:t>Nel caso la Stazione Appaltante prescriva l'impiego di disposizioni o sistemi protetti da brevetti d'invenzione, ovvero l'Appaltatore vi ricorra di propria iniziativa con il consenso della Direzione dei Lavori, l'Appaltatore deve dimostrare di aver pagato i dovuti canoni e diritti e di aver adempiuto a tutti i relativi obblighi di legge.</w:t>
      </w:r>
    </w:p>
    <w:p w14:paraId="72838B7B" w14:textId="3B8AD3D0" w:rsidR="00A80620" w:rsidRDefault="00A80620">
      <w:pPr>
        <w:spacing w:after="0"/>
        <w:ind w:firstLine="284"/>
        <w:rPr>
          <w:rFonts w:ascii="Tahoma" w:eastAsia="Times New Roman" w:hAnsi="Tahoma"/>
          <w:sz w:val="20"/>
          <w:szCs w:val="24"/>
        </w:rPr>
      </w:pPr>
    </w:p>
    <w:p w14:paraId="57EC9C37" w14:textId="77777777" w:rsidR="00A80620" w:rsidRDefault="00A80620">
      <w:pPr>
        <w:spacing w:after="0"/>
        <w:ind w:firstLine="284"/>
        <w:rPr>
          <w:rFonts w:ascii="Tahoma" w:eastAsia="Times New Roman" w:hAnsi="Tahoma"/>
          <w:sz w:val="20"/>
          <w:szCs w:val="24"/>
        </w:rPr>
      </w:pPr>
    </w:p>
    <w:p w14:paraId="4C732ADE"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#{GUID_C6458F7B-C8B7-49A5-A982-1AA077B185E8|LIVELLO_2|TESTO_Gestione delle contestazioni e riserve_END}&amp;</w:t>
      </w:r>
      <w:bookmarkStart w:id="33" w:name="4255"/>
      <w:bookmarkEnd w:id="33"/>
      <w:r>
        <w:rPr>
          <w:rFonts w:ascii="Tahoma" w:eastAsia="Times New Roman" w:hAnsi="Tahoma"/>
          <w:b/>
          <w:sz w:val="20"/>
          <w:szCs w:val="24"/>
        </w:rPr>
        <w:t>Art. 2.25</w:t>
      </w:r>
    </w:p>
    <w:p w14:paraId="79406C19"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GESTIONE DELLE CONTESTAZIONI E RISERVE</w:t>
      </w:r>
    </w:p>
    <w:p w14:paraId="377FF90A" w14:textId="77777777" w:rsidR="000B6E98" w:rsidRDefault="000B6E98">
      <w:pPr>
        <w:spacing w:after="0"/>
        <w:rPr>
          <w:rFonts w:ascii="Tahoma" w:eastAsia="Times New Roman" w:hAnsi="Tahoma"/>
          <w:sz w:val="20"/>
          <w:szCs w:val="24"/>
        </w:rPr>
      </w:pPr>
    </w:p>
    <w:p w14:paraId="4381B525" w14:textId="77777777" w:rsidR="000B6E98" w:rsidRPr="00A80620" w:rsidRDefault="008A7A17">
      <w:pPr>
        <w:spacing w:after="0"/>
        <w:ind w:firstLine="284"/>
        <w:rPr>
          <w:rFonts w:ascii="Tahoma" w:eastAsia="Times New Roman" w:hAnsi="Tahoma"/>
          <w:sz w:val="20"/>
          <w:szCs w:val="24"/>
        </w:rPr>
      </w:pPr>
      <w:r>
        <w:rPr>
          <w:rFonts w:ascii="Tahoma" w:eastAsia="Times New Roman" w:hAnsi="Tahoma"/>
          <w:color w:val="000000"/>
          <w:sz w:val="20"/>
          <w:szCs w:val="24"/>
        </w:rPr>
        <w:t xml:space="preserve">Ai sensi degli </w:t>
      </w:r>
      <w:r w:rsidRPr="00A80620">
        <w:rPr>
          <w:rFonts w:ascii="Tahoma" w:eastAsia="Times New Roman" w:hAnsi="Tahoma"/>
          <w:sz w:val="20"/>
          <w:szCs w:val="24"/>
        </w:rPr>
        <w:t>articoli 9 e 21 del D.M. 7 marzo 2018, n. 49 si riporta la disciplina prevista dalla stazione appaltante relativa alla gestione delle contestazioni su aspetti tecnici e riserve.</w:t>
      </w:r>
    </w:p>
    <w:p w14:paraId="620F3557" w14:textId="77777777" w:rsidR="000B6E98" w:rsidRDefault="008A7A17">
      <w:pPr>
        <w:spacing w:after="0"/>
        <w:ind w:firstLine="284"/>
        <w:rPr>
          <w:rFonts w:ascii="Tahoma" w:eastAsia="Times New Roman" w:hAnsi="Tahoma"/>
          <w:color w:val="000000"/>
          <w:sz w:val="20"/>
          <w:szCs w:val="24"/>
        </w:rPr>
      </w:pPr>
      <w:r w:rsidRPr="00A80620">
        <w:rPr>
          <w:rFonts w:ascii="Tahoma" w:eastAsia="Times New Roman" w:hAnsi="Tahoma"/>
          <w:sz w:val="20"/>
          <w:szCs w:val="24"/>
        </w:rPr>
        <w:t xml:space="preserve">L'esecutore, è sempre tenuto ad uniformarsi </w:t>
      </w:r>
      <w:r>
        <w:rPr>
          <w:rFonts w:ascii="Tahoma" w:eastAsia="Times New Roman" w:hAnsi="Tahoma"/>
          <w:color w:val="000000"/>
          <w:sz w:val="20"/>
          <w:szCs w:val="24"/>
        </w:rPr>
        <w:t>alle disposizioni del direttore dei lavori, senza poter sospendere o ritardare il regolare sviluppo dei lavori, quale che sia la contestazione o la riserva che egli iscriva negli atti contabili.</w:t>
      </w:r>
    </w:p>
    <w:p w14:paraId="7C7E2FD5" w14:textId="77777777" w:rsidR="000B6E98" w:rsidRDefault="008A7A17">
      <w:pPr>
        <w:spacing w:after="0"/>
        <w:ind w:firstLine="284"/>
        <w:rPr>
          <w:rFonts w:ascii="Tahoma" w:eastAsia="Times New Roman" w:hAnsi="Tahoma"/>
          <w:color w:val="FF0000"/>
          <w:sz w:val="20"/>
          <w:szCs w:val="24"/>
        </w:rPr>
      </w:pPr>
      <w:r>
        <w:rPr>
          <w:rFonts w:ascii="Tahoma" w:eastAsia="Times New Roman" w:hAnsi="Tahoma"/>
          <w:color w:val="000000"/>
          <w:sz w:val="20"/>
          <w:szCs w:val="24"/>
        </w:rPr>
        <w:t>Le riserve sono iscritte a pena di decadenza sul primo atto dell'appalto idoneo a riceverle, successivo all'insorgenza o alla cessazione del fatto che ha determinato il pregiudizio dell'esecutore. In ogni caso, sempre a pena di decadenza, le riserve sono iscritte anche nel registro di contabilità all'atto della sottoscrizione.</w:t>
      </w:r>
      <w:r>
        <w:rPr>
          <w:rFonts w:ascii="Tahoma" w:eastAsia="Times New Roman" w:hAnsi="Tahoma"/>
          <w:color w:val="FF0000"/>
          <w:sz w:val="20"/>
          <w:szCs w:val="24"/>
        </w:rPr>
        <w:t xml:space="preserve"> </w:t>
      </w:r>
      <w:r>
        <w:rPr>
          <w:rFonts w:ascii="Tahoma" w:eastAsia="Times New Roman" w:hAnsi="Tahoma"/>
          <w:color w:val="000000"/>
          <w:sz w:val="20"/>
          <w:szCs w:val="24"/>
        </w:rPr>
        <w:t xml:space="preserve">Il registro di contabilità è sottoposto all’esecutore per la sua sottoscrizione in occasione di ogni stato di avanzamento. </w:t>
      </w:r>
    </w:p>
    <w:p w14:paraId="0FFDE76F"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 riserve devono essere formulate in modo specifico ed indicare con precisione le ragioni sulle quali esse si fondano. In particolare, le riserve devono contenere a pena di inammissibilità la precisa quantificazione delle </w:t>
      </w:r>
      <w:r>
        <w:rPr>
          <w:rFonts w:ascii="Tahoma" w:eastAsia="Times New Roman" w:hAnsi="Tahoma"/>
          <w:color w:val="000000"/>
          <w:sz w:val="20"/>
          <w:szCs w:val="24"/>
        </w:rPr>
        <w:lastRenderedPageBreak/>
        <w:t>somme che l'esecutore, ritiene gli siano dovute.</w:t>
      </w:r>
    </w:p>
    <w:p w14:paraId="1AA433EA"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La quantificazione della riserva è effettuata in via definitiva, senza possibilità di successive integrazioni o incrementi rispetto all'importo iscritto.</w:t>
      </w:r>
    </w:p>
    <w:p w14:paraId="28686064" w14:textId="2366BCB8" w:rsidR="000B6E98" w:rsidRPr="00A80620" w:rsidRDefault="008A7A17">
      <w:pPr>
        <w:spacing w:after="0"/>
        <w:ind w:firstLine="284"/>
        <w:rPr>
          <w:rFonts w:ascii="Tahoma" w:eastAsia="Times New Roman" w:hAnsi="Tahoma"/>
          <w:sz w:val="20"/>
          <w:szCs w:val="24"/>
          <w:u w:val="single"/>
        </w:rPr>
      </w:pPr>
      <w:r>
        <w:rPr>
          <w:rFonts w:ascii="Tahoma" w:eastAsia="Times New Roman" w:hAnsi="Tahoma"/>
          <w:color w:val="000000"/>
          <w:sz w:val="20"/>
          <w:szCs w:val="24"/>
        </w:rPr>
        <w:t xml:space="preserve">Le riserve non </w:t>
      </w:r>
      <w:r w:rsidRPr="00A80620">
        <w:rPr>
          <w:rFonts w:ascii="Tahoma" w:eastAsia="Times New Roman" w:hAnsi="Tahoma"/>
          <w:sz w:val="20"/>
          <w:szCs w:val="24"/>
        </w:rPr>
        <w:t xml:space="preserve">espressamente confermate sul </w:t>
      </w:r>
      <w:hyperlink r:id="rId12" w:history="1">
        <w:r w:rsidRPr="00A80620">
          <w:rPr>
            <w:rFonts w:ascii="Tahoma" w:eastAsia="Times New Roman" w:hAnsi="Tahoma"/>
            <w:sz w:val="20"/>
            <w:szCs w:val="24"/>
            <w:u w:val="single"/>
          </w:rPr>
          <w:t>conto finale</w:t>
        </w:r>
      </w:hyperlink>
      <w:r w:rsidRPr="00A80620">
        <w:rPr>
          <w:rFonts w:ascii="Tahoma" w:eastAsia="Times New Roman" w:hAnsi="Tahoma"/>
          <w:sz w:val="20"/>
          <w:szCs w:val="24"/>
        </w:rPr>
        <w:t xml:space="preserve"> si intendono abbandonate.</w:t>
      </w:r>
    </w:p>
    <w:p w14:paraId="4746A1A3" w14:textId="77777777" w:rsidR="000B6E98" w:rsidRDefault="008A7A17">
      <w:pPr>
        <w:spacing w:after="0"/>
        <w:ind w:firstLine="284"/>
        <w:rPr>
          <w:rFonts w:ascii="Tahoma" w:eastAsia="Times New Roman" w:hAnsi="Tahoma"/>
          <w:color w:val="000000"/>
          <w:sz w:val="20"/>
          <w:szCs w:val="24"/>
        </w:rPr>
      </w:pPr>
      <w:r w:rsidRPr="00A80620">
        <w:rPr>
          <w:rFonts w:ascii="Tahoma" w:eastAsia="Times New Roman" w:hAnsi="Tahoma"/>
          <w:sz w:val="20"/>
          <w:szCs w:val="24"/>
        </w:rPr>
        <w:t xml:space="preserve">Nel caso in cui l'esecutore, non firmi il registro, è invitato a farlo entro il termine </w:t>
      </w:r>
      <w:r>
        <w:rPr>
          <w:rFonts w:ascii="Tahoma" w:eastAsia="Times New Roman" w:hAnsi="Tahoma"/>
          <w:color w:val="000000"/>
          <w:sz w:val="20"/>
          <w:szCs w:val="24"/>
        </w:rPr>
        <w:t>perentorio di quindici giorni e, qualora persista nell'astensione o nel rifiuto, se ne fa espressa menzione nel registro.</w:t>
      </w:r>
    </w:p>
    <w:p w14:paraId="7BB3C4BA"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Se l'esecutore, ha firmato con riserva, qualora l'esplicazione e la quantificazione non siano possibili al momento della formulazione della stessa, egli esplica, a pena di decadenza, nel termine di quindici giorni, le sue riserve, scrivendo e firmando nel registro le corrispondenti domande di indennità e indicando con precisione le cifre di compenso cui crede aver diritto, e le ragioni di ciascuna domanda.</w:t>
      </w:r>
    </w:p>
    <w:p w14:paraId="3A8EFD98"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Il direttore dei lavori, nei successivi quindici giorni, espone nel registro le sue motivate deduzioni. Se il direttore dei lavori omette di motivare in modo esauriente le proprie deduzioni e non consente alla stazione appaltante la percezione delle ragioni ostative al riconoscimento delle pretese dell'esecutore, incorre in responsabilità per le somme che, per tale negligenza, la stazione appaltante dovesse essere tenuta a sborsare.</w:t>
      </w:r>
    </w:p>
    <w:p w14:paraId="1AA38AF6" w14:textId="77777777" w:rsidR="000B6E98" w:rsidRDefault="008A7A17">
      <w:pPr>
        <w:spacing w:after="0"/>
        <w:ind w:firstLine="284"/>
        <w:rPr>
          <w:rFonts w:ascii="Tahoma" w:eastAsia="Times New Roman" w:hAnsi="Tahoma"/>
          <w:color w:val="FF0000"/>
          <w:sz w:val="20"/>
          <w:szCs w:val="24"/>
        </w:rPr>
      </w:pPr>
      <w:r>
        <w:rPr>
          <w:rFonts w:ascii="Tahoma" w:eastAsia="Times New Roman" w:hAnsi="Tahoma"/>
          <w:color w:val="000000"/>
          <w:sz w:val="20"/>
          <w:szCs w:val="24"/>
        </w:rPr>
        <w:t>Nel caso in cui l'esecutore non ha firmato il registro nel termine di cui sopra, oppure lo ha fatto con riserva, ma senza esplicare le sue riserve nel modo e nel termine sopraindicati, i fatti registrati si intendono definitivamente accertati, e l'esecutore decade dal diritto di far valere in qualunque termine e modo le riserve o le domande che ad essi si riferiscono.</w:t>
      </w:r>
    </w:p>
    <w:p w14:paraId="0F16B193" w14:textId="77777777" w:rsidR="000B6E98" w:rsidRPr="00A80620" w:rsidRDefault="000B6E98">
      <w:pPr>
        <w:spacing w:after="0"/>
        <w:ind w:firstLine="284"/>
        <w:rPr>
          <w:rFonts w:ascii="Tahoma" w:eastAsia="Times New Roman" w:hAnsi="Tahoma"/>
          <w:strike/>
          <w:sz w:val="20"/>
          <w:szCs w:val="24"/>
        </w:rPr>
      </w:pPr>
    </w:p>
    <w:p w14:paraId="74A6FC56" w14:textId="77777777" w:rsidR="000B6E98" w:rsidRPr="00A80620" w:rsidRDefault="008A7A17">
      <w:pPr>
        <w:spacing w:after="0"/>
        <w:ind w:firstLine="284"/>
        <w:rPr>
          <w:rFonts w:ascii="Tahoma" w:eastAsia="Times New Roman" w:hAnsi="Tahoma"/>
          <w:b/>
          <w:sz w:val="20"/>
          <w:szCs w:val="24"/>
        </w:rPr>
      </w:pPr>
      <w:r w:rsidRPr="00A80620">
        <w:rPr>
          <w:rFonts w:ascii="Tahoma" w:eastAsia="Times New Roman" w:hAnsi="Tahoma"/>
          <w:b/>
          <w:sz w:val="20"/>
          <w:szCs w:val="24"/>
        </w:rPr>
        <w:t>Accordo bonario</w:t>
      </w:r>
    </w:p>
    <w:p w14:paraId="452B6854"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sz w:val="20"/>
          <w:szCs w:val="24"/>
        </w:rPr>
        <w:t>Qualora in seguito all’iscrizione di riserve sui documenti contabili, l'importo economico dell'opera possa variare tra il 5 ed il 15 per cento dell’importo contrattuale, si attiverà il procedimento dell’accordo bonario di tutte le riserve iscritte fino al momento dell’avvio del procedimento stesso.</w:t>
      </w:r>
    </w:p>
    <w:p w14:paraId="2D4E2660"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sz w:val="20"/>
          <w:szCs w:val="24"/>
        </w:rPr>
        <w:t>Il procedimento dell'accordo bonario può essere reiterato quando le riserve iscritte, ulteriori e diverse rispetto a quelle già esaminate, raggiungano nuovamente l'importo di cui al periodo precedente, nell'ambito comunque di un limite massimo complessivo del 15 per cento dell'importo del contratto.</w:t>
      </w:r>
    </w:p>
    <w:p w14:paraId="2A22EBC5"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sz w:val="20"/>
          <w:szCs w:val="24"/>
        </w:rPr>
        <w:t xml:space="preserve">Prima dell’approvazione del certificato di collaudo ovvero del certificato di regolare esecuzione, qualunque sia l’importo delle riserve, il responsabile unico del procedimento attiverà l’accordo bonario per la risoluzione delle riserve e valuterà l'ammissibilità e la non manifesta infondatezza delle riserve ai fini dell'effettivo raggiungimento del limite di valore del 15 per cento del contratto. </w:t>
      </w:r>
    </w:p>
    <w:p w14:paraId="18BBB591"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sz w:val="20"/>
          <w:szCs w:val="24"/>
        </w:rPr>
        <w:t xml:space="preserve">Possono essere oggetto di riserva gli aspetti progettuali che sono stati oggetto di verifica ai sensi dell'art. 26, del </w:t>
      </w:r>
      <w:proofErr w:type="spellStart"/>
      <w:r w:rsidRPr="00A80620">
        <w:rPr>
          <w:rFonts w:ascii="Tahoma" w:eastAsia="Times New Roman" w:hAnsi="Tahoma"/>
          <w:sz w:val="20"/>
          <w:szCs w:val="24"/>
        </w:rPr>
        <w:t>DLgs</w:t>
      </w:r>
      <w:proofErr w:type="spellEnd"/>
      <w:r w:rsidRPr="00A80620">
        <w:rPr>
          <w:rFonts w:ascii="Tahoma" w:eastAsia="Times New Roman" w:hAnsi="Tahoma"/>
          <w:sz w:val="20"/>
          <w:szCs w:val="24"/>
        </w:rPr>
        <w:t xml:space="preserve"> n. 50/2016.</w:t>
      </w:r>
    </w:p>
    <w:p w14:paraId="74313CB6"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sz w:val="20"/>
          <w:szCs w:val="24"/>
        </w:rPr>
        <w:t>Il direttore dei lavori darà immediata comunicazione al responsabile unico del procedimento delle riserve, trasmettendo nel più breve tempo possibile una propria relazione riservata.</w:t>
      </w:r>
    </w:p>
    <w:p w14:paraId="1FF3056F"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sz w:val="20"/>
          <w:szCs w:val="24"/>
        </w:rPr>
        <w:t>Il responsabile unico del procedimento, acquisita la relazione riservata del direttore dei lavori e, ove costituito, dell’organo di collaudo, provvederà direttamente alla formulazione di una proposta di accordo bonario ovvero per il tramite degli esperti segnalati dalla Camera arbitrale istituita presso l'ANAC con le modalità previste dall'articolo 205 comma 5 del d.lgs. n. 50/2016.</w:t>
      </w:r>
    </w:p>
    <w:p w14:paraId="49243BC8"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sz w:val="20"/>
          <w:szCs w:val="24"/>
        </w:rPr>
        <w:t>Se la proposta è accettata dalle parti, entro quarantacinque giorni dal suo ricevimento, l’accordo bonario è concluso e viene redatto verbale sottoscritto dalle parti. L’accordo ha natura di transazione. Sulla somma riconosciuta in sede di accordo bonario sono dovuti gli interessi al tasso legale a decorrere dal sessantesimo giorno successivo alla accettazione dell’accordo bonario da parte della stazione appaltante. In caso di reiezione della proposta da parte del soggetto che ha formulato le riserve ovvero di inutile decorso del termine di cui al secondo periodo possono essere aditi gli arbitri o il giudice ordinario.</w:t>
      </w:r>
    </w:p>
    <w:p w14:paraId="0E1633F0"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sz w:val="20"/>
          <w:szCs w:val="24"/>
        </w:rPr>
        <w:t>L'impresa, in caso di rifiuto della proposta di accordo bonario ovvero di inutile decorso del termine per l'accettazione, può instaurare un contenzioso giudiziario entro i successivi sessanta giorni, a pena di decadenza.</w:t>
      </w:r>
    </w:p>
    <w:p w14:paraId="04D32E38" w14:textId="77777777" w:rsidR="000B6E98" w:rsidRPr="00A80620" w:rsidRDefault="000B6E98">
      <w:pPr>
        <w:spacing w:after="0"/>
        <w:ind w:firstLine="284"/>
        <w:rPr>
          <w:rFonts w:ascii="Tahoma" w:eastAsia="Times New Roman" w:hAnsi="Tahoma"/>
          <w:sz w:val="20"/>
          <w:szCs w:val="24"/>
        </w:rPr>
      </w:pPr>
    </w:p>
    <w:p w14:paraId="34A0DE61"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b/>
          <w:sz w:val="20"/>
          <w:szCs w:val="24"/>
        </w:rPr>
        <w:t>Arbitrato</w:t>
      </w:r>
    </w:p>
    <w:p w14:paraId="1A80066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Se non si procede all’accordo bonario e l’appaltatore conferma le riserve, la definizione di tutte le controversie derivanti dall'esecuzione del contratto è attribuita al procedimento arbitrale ai sensi dell’articolo 209 del Codice dei contratti, in quanto applicabile, come previsto da autorizzazione disposta dalla Stazione appaltante</w:t>
      </w:r>
      <w:r>
        <w:rPr>
          <w:rFonts w:ascii="Tahoma" w:eastAsia="Times New Roman" w:hAnsi="Tahoma"/>
          <w:color w:val="000000"/>
          <w:sz w:val="20"/>
          <w:szCs w:val="24"/>
        </w:rPr>
        <w:t>.</w:t>
      </w:r>
      <w:r>
        <w:rPr>
          <w:rFonts w:ascii="Tahoma" w:eastAsia="Times New Roman" w:hAnsi="Tahoma"/>
          <w:sz w:val="20"/>
          <w:szCs w:val="24"/>
        </w:rPr>
        <w:t xml:space="preserve"> L’arbitrato è nullo in assenza della preventiva autorizzazione o di inclusione della clausola compromissoria, senza preventiva autorizzazione, nel bando o nell'avviso con cui è indetta la gara, ovvero, per le procedure senza bando, nell'invito.</w:t>
      </w:r>
    </w:p>
    <w:p w14:paraId="3C819A9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L’appaltatore può ricusare la clausola compromissoria, che in tale caso non sarà inserita nel contratto, comunicandolo alla stazione appaltante entro 20 (venti) giorni dalla conoscenza dell'aggiudicazione. In ogni caso è vietato il compromesso.</w:t>
      </w:r>
    </w:p>
    <w:p w14:paraId="53148D83"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Ciascuna delle parti, nella domanda di arbitrato o nell'atto di resistenza alla domanda, designerà l'arbitro di propria competenza scelto tra soggetti di provata esperienza e indipendenza nella materia oggetto del contratto cui l'arbitrato si riferisce. Il Presidente del collegio arbitrale sarà designato dalla Camera arbitrale </w:t>
      </w:r>
      <w:r>
        <w:rPr>
          <w:rFonts w:ascii="Tahoma" w:eastAsia="Times New Roman" w:hAnsi="Tahoma"/>
          <w:sz w:val="20"/>
          <w:szCs w:val="24"/>
        </w:rPr>
        <w:lastRenderedPageBreak/>
        <w:t>istituita presso l'ANAC tra i soggetti iscritti all’albo in possesso di particolare esperienza nella materia. La nomina del collegio arbitrale effettuata in violazione delle disposizioni di cui ai commi 4, 5 e 6 dell'articolo 209 del d.lgs. n. 50/2016, determina la nullità del lodo.</w:t>
      </w:r>
    </w:p>
    <w:p w14:paraId="5685C1B1"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Esauriti gli adempimenti necessari alla costituzione del collegio, il giudizio si svolgerà secondo i disposti dell'articolo 209 e 210 del d.lgs. n. 50/2016 e </w:t>
      </w:r>
      <w:proofErr w:type="spellStart"/>
      <w:r>
        <w:rPr>
          <w:rFonts w:ascii="Tahoma" w:eastAsia="Times New Roman" w:hAnsi="Tahoma"/>
          <w:sz w:val="20"/>
          <w:szCs w:val="24"/>
        </w:rPr>
        <w:t>s.m.i.</w:t>
      </w:r>
      <w:proofErr w:type="spellEnd"/>
    </w:p>
    <w:p w14:paraId="64647ABD"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Le parti sono tenute solidalmente al pagamento del compenso dovuto agli arbitri e delle spese relative al collegio e al giudizio arbitrale, salvo rivalsa fra loro.</w:t>
      </w:r>
    </w:p>
    <w:p w14:paraId="7DC5A3E3" w14:textId="77777777" w:rsidR="000B6E98" w:rsidRPr="00A80620" w:rsidRDefault="000B6E98">
      <w:pPr>
        <w:spacing w:after="0"/>
        <w:ind w:firstLine="284"/>
        <w:rPr>
          <w:rFonts w:ascii="Tahoma" w:eastAsia="Times New Roman" w:hAnsi="Tahoma"/>
          <w:b/>
          <w:sz w:val="20"/>
          <w:szCs w:val="24"/>
        </w:rPr>
      </w:pPr>
    </w:p>
    <w:p w14:paraId="222D25A4" w14:textId="77777777" w:rsidR="000B6E98" w:rsidRPr="00A80620" w:rsidRDefault="008A7A17">
      <w:pPr>
        <w:spacing w:after="0"/>
        <w:ind w:firstLine="284"/>
        <w:rPr>
          <w:rFonts w:ascii="Tahoma" w:eastAsia="Times New Roman" w:hAnsi="Tahoma"/>
          <w:sz w:val="20"/>
          <w:szCs w:val="24"/>
        </w:rPr>
      </w:pPr>
      <w:r w:rsidRPr="00A80620">
        <w:rPr>
          <w:rFonts w:ascii="Tahoma" w:eastAsia="Times New Roman" w:hAnsi="Tahoma"/>
          <w:b/>
          <w:sz w:val="20"/>
          <w:szCs w:val="24"/>
        </w:rPr>
        <w:t>Collegio consultivo tecnico</w:t>
      </w:r>
    </w:p>
    <w:p w14:paraId="3909C6E4" w14:textId="77777777" w:rsidR="000B6E98" w:rsidRDefault="008A7A17">
      <w:pPr>
        <w:spacing w:after="0"/>
        <w:ind w:firstLine="284"/>
        <w:rPr>
          <w:rFonts w:ascii="Tahoma" w:eastAsia="Times New Roman" w:hAnsi="Tahoma"/>
          <w:color w:val="000000"/>
          <w:sz w:val="20"/>
          <w:szCs w:val="24"/>
        </w:rPr>
      </w:pPr>
      <w:r w:rsidRPr="00A80620">
        <w:rPr>
          <w:rFonts w:ascii="Tahoma" w:eastAsia="Times New Roman" w:hAnsi="Tahoma"/>
          <w:sz w:val="20"/>
          <w:szCs w:val="24"/>
        </w:rPr>
        <w:t>Fino al</w:t>
      </w:r>
      <w:r w:rsidRPr="00A80620">
        <w:rPr>
          <w:rFonts w:ascii="Tahoma" w:eastAsia="Times New Roman" w:hAnsi="Tahoma"/>
          <w:b/>
          <w:sz w:val="20"/>
          <w:szCs w:val="24"/>
        </w:rPr>
        <w:t xml:space="preserve"> 30 giugno 2023</w:t>
      </w:r>
      <w:r w:rsidRPr="00A80620">
        <w:rPr>
          <w:rFonts w:ascii="Tahoma" w:eastAsia="Times New Roman" w:hAnsi="Tahoma"/>
          <w:sz w:val="20"/>
          <w:szCs w:val="24"/>
        </w:rPr>
        <w:t xml:space="preserve"> per i lavori diretti alla realizzazione delle opere pubbliche di importo pari o </w:t>
      </w:r>
      <w:r>
        <w:rPr>
          <w:rFonts w:ascii="Tahoma" w:eastAsia="Times New Roman" w:hAnsi="Tahoma"/>
          <w:color w:val="000000"/>
          <w:sz w:val="20"/>
          <w:szCs w:val="24"/>
        </w:rPr>
        <w:t>superiore alle soglie di cui all’articolo 35 del decreto legislativo 18 aprile 2016 n. 50, è obbligatoria, presso ogni stazione appaltante, la costituzione di un collegio consultivo tecnico, prima dell’avvio dell’esecuzione, o comunque non oltre dieci giorni da tale data, con i compiti previsti dall’articolo 5 del cd. "Decreto Semplificazioni" e con funzioni di assistenza per la rapida risoluzione delle controversie o delle dispute tecniche di ogni natura suscettibili di insorgere nel corso dell’esecuzione del contratto stesso. Per i contratti la cui esecuzione sia già iniziata alla data di entrata in vigore del presente decreto, il collegio consultivo tecnico è nominato entro il termine di trenta giorni decorrenti dalla medesima data.</w:t>
      </w:r>
    </w:p>
    <w:p w14:paraId="471FE927"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Il collegio consultivo tecnico è formato, a scelta della stazione appaltante, da tre componenti, o cinque in caso di motivata complessità dell’opera e di eterogeneità delle professionalità richieste, dotati di esperienza e qualificazione professionale adeguata alla tipologia dell’opera, tra ingegneri, architetti, giuristi ed economisti con comprovata esperienza nel settore degli appalti delle concessioni e degli investimenti pubblici, anche in relazione allo specifico oggetto del contratto e alla specifica conoscenza di metodi e strumenti elettronici quali quelli di modellazione per l’edilizia e le infrastrutture (BIM), maturata per effetto del conseguimento di un dottorato di ricerca oppure che siano in grado di dimostrare un'esperienza pratica e professionale di almeno dieci anni nel settore di riferimento. I componenti del collegio possono essere scelti dalle parti di comune accordo, ovvero le parti possono concordare che ciascuna di esse nomini uno o due componenti,</w:t>
      </w:r>
      <w:r>
        <w:rPr>
          <w:rFonts w:ascii="Tahoma" w:eastAsia="Times New Roman" w:hAnsi="Tahoma"/>
          <w:color w:val="0000FF"/>
          <w:sz w:val="20"/>
          <w:szCs w:val="24"/>
        </w:rPr>
        <w:t xml:space="preserve"> </w:t>
      </w:r>
      <w:r>
        <w:rPr>
          <w:rFonts w:ascii="Tahoma" w:eastAsia="Times New Roman" w:hAnsi="Tahoma"/>
          <w:color w:val="000000"/>
          <w:sz w:val="20"/>
          <w:szCs w:val="24"/>
        </w:rPr>
        <w:t>individuati anche tra il proprio personale dipendente ovvero tra persone ad esse legate da rapporti di lavoro autonomo o di collaborazione anche continuativa in possesso dei requisiti previsti dal primo periodo, e che il terzo o il quinto componente, con funzioni di presidente, sia scelto dai componenti di nomina di parte.</w:t>
      </w:r>
    </w:p>
    <w:p w14:paraId="2E404C38"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Il collegio consultivo tecnico si intende costituito al momento della designazione del terzo o del quinto componente. All’atto della costituzione è fornita al collegio consultivo copia dell’intera documentazione inerente al contratto. Le funzioni del collegio consultivo sono disciplinate dagli articoli 5 e 6 del decreto-legge 16 luglio 2020, n. 76.</w:t>
      </w:r>
    </w:p>
    <w:p w14:paraId="73B8CC05"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Nell’adozione delle proprie determinazioni, il collegio consultivo può operare anche in videoconferenza o con qualsiasi altro collegamento da remoto e può procedere ad audizioni informali delle parti per favorire, nella risoluzione delle controversie o delle dispute tecniche eventualmente insorte, la scelta della migliore soluzione per la celere esecuzione dell’opera a regola d’arte.</w:t>
      </w:r>
    </w:p>
    <w:p w14:paraId="1377C731"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Il collegio può altresì convocare le parti per consentire l’esposizione in contraddittorio delle rispettive ragioni.</w:t>
      </w:r>
    </w:p>
    <w:p w14:paraId="75216183"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L’inosservanza delle determinazioni del collegio consultivo tecnico viene valutata ai fini della responsabilità del soggetto agente per danno erariale e costituisce, salvo prova contraria, grave inadempimento degli obblighi contrattuali; l’osservanza delle determinazioni del collegio consultivo tecnico è causa di esclusione della responsabilità del soggetto agente per danno erariale, salvo il dolo.</w:t>
      </w:r>
    </w:p>
    <w:p w14:paraId="1CA6E012"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 determinazioni del collegio consultivo tecnico hanno la natura del lodo contrattuale previsto dall’articolo 808-ter del codice di procedura civile, salva diversa e motivata volontà espressamente manifestata in forma scritta dalle parti stesse. Salva diversa previsione di legge, le determinazioni del collegio consultivo tecnico sono adottate con atto sottoscritto dalla maggioranza dei componenti, entro il termine di quindici giorni decorrenti dalla data della comunicazione dei quesiti, recante succinta motivazione, che può essere integrata nei successivi quindici giorni, sottoscritta dalla maggioranza dei componenti. In caso di particolari esigenze istruttorie le determinazioni possono essere adottate entro venti giorni dalla comunicazione dei quesiti. Le decisioni sono assunte a maggioranza. </w:t>
      </w:r>
    </w:p>
    <w:p w14:paraId="48EEC138" w14:textId="77777777" w:rsidR="000B6E98" w:rsidRDefault="008A7A17">
      <w:pPr>
        <w:spacing w:after="0"/>
        <w:ind w:firstLine="284"/>
        <w:rPr>
          <w:rFonts w:ascii="Tahoma" w:eastAsia="Times New Roman" w:hAnsi="Tahoma"/>
          <w:color w:val="0000FF"/>
          <w:sz w:val="20"/>
          <w:szCs w:val="24"/>
        </w:rPr>
      </w:pPr>
      <w:r>
        <w:rPr>
          <w:rFonts w:ascii="Tahoma" w:eastAsia="Times New Roman" w:hAnsi="Tahoma"/>
          <w:color w:val="000000"/>
          <w:sz w:val="20"/>
          <w:szCs w:val="24"/>
        </w:rPr>
        <w:t>I componenti del collegio consultivo tecnico hanno diritto a un compenso a carico delle parti e proporzionato al valore dell’opera, al numero, alla qualità e alla tempestività delle determinazioni assunte. In caso di ritardo nell’assunzione delle determinazioni è prevista una decurtazione del compenso stabilito in base al primo periodo da un decimo a un terzo, per ogni ritardo. Il compenso è liquidato dal collegio consultivo tecnico unitamente all’atto contenente le determinazioni, salva la emissione di parcelle di acconto, in applicazione delle tariffe richiamate dall’articolo 9 del decreto-legge 24 gennaio 2012, n. 1, convertito, con modificazioni, dalla legge 24 marzo 2012, n. 27, aumentate fino a un quarto e di quanto previsto dalle linee guida di cui al comma 8-ter.</w:t>
      </w:r>
    </w:p>
    <w:p w14:paraId="0A776168" w14:textId="77777777" w:rsidR="000B6E98" w:rsidRDefault="008A7A17">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I compensi dei membri del collegio sono computati all’interno del quadro economico dell’opera alla voce </w:t>
      </w:r>
      <w:r>
        <w:rPr>
          <w:rFonts w:ascii="Tahoma" w:eastAsia="Times New Roman" w:hAnsi="Tahoma"/>
          <w:color w:val="000000"/>
          <w:sz w:val="20"/>
          <w:szCs w:val="24"/>
        </w:rPr>
        <w:lastRenderedPageBreak/>
        <w:t>spese impreviste. Il collegio consultivo tecnico è sciolto al termine dell'esecuzione del contratto ovvero, nelle ipotesi in cui non ne è obbligatoria la costituzione, in data anteriore su accordo delle parti.</w:t>
      </w:r>
      <w:r>
        <w:rPr>
          <w:rFonts w:ascii="Tahoma" w:eastAsia="Times New Roman" w:hAnsi="Tahoma"/>
          <w:color w:val="0000FF"/>
          <w:sz w:val="20"/>
          <w:szCs w:val="24"/>
        </w:rPr>
        <w:t xml:space="preserve"> </w:t>
      </w:r>
      <w:r>
        <w:rPr>
          <w:rFonts w:ascii="Tahoma" w:eastAsia="Times New Roman" w:hAnsi="Tahoma"/>
          <w:color w:val="000000"/>
          <w:sz w:val="20"/>
          <w:szCs w:val="24"/>
        </w:rPr>
        <w:t>Nelle ipotesi in cui ne è obbligatoria la costituzione, il collegio può essere sciolto dal 31 dicembre 2021 in qualsiasi momento, su accordo tra le parti.</w:t>
      </w:r>
    </w:p>
    <w:p w14:paraId="20E08104" w14:textId="2B31D907" w:rsidR="000B6E98" w:rsidRDefault="000B6E98">
      <w:pPr>
        <w:spacing w:after="0"/>
        <w:ind w:firstLine="284"/>
        <w:rPr>
          <w:rFonts w:ascii="Tahoma" w:eastAsia="Times New Roman" w:hAnsi="Tahoma"/>
          <w:strike/>
          <w:sz w:val="20"/>
          <w:szCs w:val="24"/>
        </w:rPr>
      </w:pPr>
    </w:p>
    <w:p w14:paraId="325F9C5D" w14:textId="77777777" w:rsidR="00A80620" w:rsidRDefault="00A80620">
      <w:pPr>
        <w:spacing w:after="0"/>
        <w:ind w:firstLine="284"/>
        <w:rPr>
          <w:rFonts w:ascii="Tahoma" w:eastAsia="Times New Roman" w:hAnsi="Tahoma"/>
          <w:strike/>
          <w:sz w:val="20"/>
          <w:szCs w:val="24"/>
        </w:rPr>
      </w:pPr>
    </w:p>
    <w:p w14:paraId="5FC22CB3"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#{GUID_C4C42C1C-D7E7-4F41-9E83-521C35C2CE27|LIVELLO_2|TESTO_Disposizioni generali relative ai prezzi_END}&amp;</w:t>
      </w:r>
      <w:bookmarkStart w:id="34" w:name="4256"/>
      <w:bookmarkEnd w:id="34"/>
      <w:r>
        <w:rPr>
          <w:rFonts w:ascii="Tahoma" w:eastAsia="Times New Roman" w:hAnsi="Tahoma"/>
          <w:b/>
          <w:sz w:val="20"/>
          <w:szCs w:val="24"/>
        </w:rPr>
        <w:t>Art. 2.26</w:t>
      </w:r>
    </w:p>
    <w:p w14:paraId="3739BC59"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DISPOSIZIONI GENERALI RELATIVE AI PREZZI</w:t>
      </w:r>
    </w:p>
    <w:p w14:paraId="66B66CA7" w14:textId="77777777" w:rsidR="000B6E98" w:rsidRDefault="000B6E98">
      <w:pPr>
        <w:spacing w:after="0"/>
        <w:ind w:left="425"/>
        <w:jc w:val="left"/>
        <w:rPr>
          <w:rFonts w:ascii="Tahoma" w:eastAsia="Times New Roman" w:hAnsi="Tahoma"/>
          <w:color w:val="0000FF"/>
          <w:sz w:val="20"/>
          <w:szCs w:val="24"/>
        </w:rPr>
      </w:pPr>
    </w:p>
    <w:p w14:paraId="7F7339E0"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I prezzi unitari in base ai quali saranno pagati i lavori appaltati a misura comprendono e compensano:</w:t>
      </w:r>
    </w:p>
    <w:p w14:paraId="02804635" w14:textId="77777777" w:rsidR="000B6E98" w:rsidRDefault="008A7A17" w:rsidP="008A7A17">
      <w:pPr>
        <w:numPr>
          <w:ilvl w:val="1"/>
          <w:numId w:val="35"/>
        </w:numPr>
        <w:spacing w:after="0"/>
        <w:ind w:left="850" w:hanging="425"/>
        <w:jc w:val="left"/>
        <w:rPr>
          <w:rFonts w:ascii="Tahoma" w:eastAsia="Times New Roman" w:hAnsi="Tahoma"/>
          <w:sz w:val="20"/>
          <w:szCs w:val="24"/>
        </w:rPr>
      </w:pPr>
      <w:r>
        <w:rPr>
          <w:rFonts w:ascii="Tahoma" w:eastAsia="Times New Roman" w:hAnsi="Tahoma"/>
          <w:sz w:val="20"/>
          <w:szCs w:val="24"/>
        </w:rPr>
        <w:t>circa i materiali: ogni spesa (per fornitura, trasporto, dazi, cali, perdite, sprechi, ecc.), nessuna eccettuata, che venga sostenuta per darli pronti all'impiego, a piede di qualunque opera;</w:t>
      </w:r>
    </w:p>
    <w:p w14:paraId="0E120E3D" w14:textId="77777777" w:rsidR="000B6E98" w:rsidRDefault="008A7A17" w:rsidP="008A7A17">
      <w:pPr>
        <w:numPr>
          <w:ilvl w:val="1"/>
          <w:numId w:val="33"/>
        </w:numPr>
        <w:spacing w:after="0"/>
        <w:ind w:left="850" w:hanging="425"/>
        <w:jc w:val="left"/>
        <w:rPr>
          <w:rFonts w:ascii="Tahoma" w:eastAsia="Times New Roman" w:hAnsi="Tahoma"/>
          <w:sz w:val="20"/>
          <w:szCs w:val="24"/>
        </w:rPr>
      </w:pPr>
      <w:r>
        <w:rPr>
          <w:rFonts w:ascii="Tahoma" w:eastAsia="Times New Roman" w:hAnsi="Tahoma"/>
          <w:sz w:val="20"/>
          <w:szCs w:val="24"/>
        </w:rPr>
        <w:t>circa gli operai e mezzi d'opera: ogni spesa per fornire i medesimi di attrezzi e utensili del mestiere, nonché per premi di assicurazioni sociali, per illuminazione dei cantieri in caso di lavoro notturno;</w:t>
      </w:r>
    </w:p>
    <w:p w14:paraId="65B8E95E" w14:textId="77777777" w:rsidR="000B6E98" w:rsidRDefault="008A7A17" w:rsidP="008A7A17">
      <w:pPr>
        <w:numPr>
          <w:ilvl w:val="1"/>
          <w:numId w:val="33"/>
        </w:numPr>
        <w:spacing w:after="0"/>
        <w:ind w:left="850" w:hanging="425"/>
        <w:jc w:val="left"/>
        <w:rPr>
          <w:rFonts w:ascii="Tahoma" w:eastAsia="Times New Roman" w:hAnsi="Tahoma"/>
          <w:sz w:val="20"/>
          <w:szCs w:val="24"/>
        </w:rPr>
      </w:pPr>
      <w:r>
        <w:rPr>
          <w:rFonts w:ascii="Tahoma" w:eastAsia="Times New Roman" w:hAnsi="Tahoma"/>
          <w:sz w:val="20"/>
          <w:szCs w:val="24"/>
        </w:rPr>
        <w:t>circa i noli: ogni spesa per dare a piè d'opera i macchinari e mezzi pronti al loro uso;</w:t>
      </w:r>
    </w:p>
    <w:p w14:paraId="01DD9644" w14:textId="77777777" w:rsidR="000B6E98" w:rsidRDefault="008A7A17" w:rsidP="008A7A17">
      <w:pPr>
        <w:numPr>
          <w:ilvl w:val="1"/>
          <w:numId w:val="33"/>
        </w:numPr>
        <w:spacing w:after="0"/>
        <w:ind w:left="850" w:hanging="425"/>
        <w:jc w:val="left"/>
        <w:rPr>
          <w:rFonts w:ascii="Tahoma" w:eastAsia="Times New Roman" w:hAnsi="Tahoma"/>
          <w:sz w:val="20"/>
          <w:szCs w:val="24"/>
        </w:rPr>
      </w:pPr>
      <w:r>
        <w:rPr>
          <w:rFonts w:ascii="Tahoma" w:eastAsia="Times New Roman" w:hAnsi="Tahoma"/>
          <w:sz w:val="20"/>
          <w:szCs w:val="24"/>
        </w:rPr>
        <w:t>circa i lavori a misura ed a corpo: tutte le spese per forniture, lavorazioni, mezzi d'opera, assicurazioni d'ogni specie, indennità di cave, di passaggi o di deposito, di cantiere, di occupazione temporanea e d'altra specie, mezzi d'opera provvisionali, carichi, trasporti e scarichi in ascesa o discesa, ecc., e per quanto occorre per dare il lavoro compiuto a perfetta regola d'arte, intendendosi nei prezzi stessi compreso ogni compenso per tutti gli oneri che l'Appaltatore dovrà sostenere a tale scopo, anche se non esplicitamente detti o richiamati nei vari articoli e nell'elenco dei prezzi del presente Capitolato.</w:t>
      </w:r>
    </w:p>
    <w:p w14:paraId="2CDA5D63" w14:textId="77777777" w:rsidR="000B6E98" w:rsidRDefault="000B6E98">
      <w:pPr>
        <w:spacing w:after="0"/>
        <w:ind w:left="425"/>
        <w:jc w:val="left"/>
        <w:rPr>
          <w:rFonts w:ascii="Tahoma" w:eastAsia="Times New Roman" w:hAnsi="Tahoma"/>
          <w:sz w:val="20"/>
          <w:szCs w:val="24"/>
        </w:rPr>
      </w:pPr>
    </w:p>
    <w:p w14:paraId="503D58A9" w14:textId="77777777" w:rsidR="000B6E98" w:rsidRPr="00CC5A03" w:rsidRDefault="008A7A17">
      <w:pPr>
        <w:spacing w:after="0"/>
        <w:ind w:firstLine="284"/>
        <w:rPr>
          <w:rFonts w:ascii="Tahoma" w:eastAsia="Times New Roman" w:hAnsi="Tahoma"/>
          <w:sz w:val="20"/>
          <w:szCs w:val="24"/>
        </w:rPr>
      </w:pPr>
      <w:r>
        <w:rPr>
          <w:rFonts w:ascii="Tahoma" w:eastAsia="Times New Roman" w:hAnsi="Tahoma"/>
          <w:sz w:val="20"/>
          <w:szCs w:val="24"/>
        </w:rPr>
        <w:t xml:space="preserve">I prezzi medesimi, per lavori a misura ed a corpo, nonché il compenso a corpo, diminuiti del ribasso offerto, si intendono accettati dall'Appaltatore in base ai calcoli di sua convenienza, a tutto suo rischio e sono fissi ed </w:t>
      </w:r>
      <w:r w:rsidRPr="00CC5A03">
        <w:rPr>
          <w:rFonts w:ascii="Tahoma" w:eastAsia="Times New Roman" w:hAnsi="Tahoma"/>
          <w:sz w:val="20"/>
          <w:szCs w:val="24"/>
        </w:rPr>
        <w:t>invariabili.</w:t>
      </w:r>
    </w:p>
    <w:p w14:paraId="5C7F36FD" w14:textId="77777777" w:rsidR="000B6E98" w:rsidRPr="00CC5A03" w:rsidRDefault="000B6E98">
      <w:pPr>
        <w:spacing w:after="0"/>
        <w:ind w:firstLine="284"/>
        <w:rPr>
          <w:rFonts w:ascii="Tahoma" w:eastAsia="Times New Roman" w:hAnsi="Tahoma"/>
          <w:b/>
          <w:sz w:val="20"/>
          <w:szCs w:val="24"/>
        </w:rPr>
      </w:pPr>
    </w:p>
    <w:p w14:paraId="176D81D2" w14:textId="77777777" w:rsidR="000B6E98" w:rsidRPr="00CC5A03" w:rsidRDefault="008A7A17">
      <w:pPr>
        <w:spacing w:after="0"/>
        <w:ind w:firstLine="284"/>
        <w:rPr>
          <w:rFonts w:ascii="Tahoma" w:eastAsia="Times New Roman" w:hAnsi="Tahoma"/>
          <w:b/>
          <w:sz w:val="20"/>
          <w:szCs w:val="24"/>
        </w:rPr>
      </w:pPr>
      <w:r w:rsidRPr="00CC5A03">
        <w:rPr>
          <w:rFonts w:ascii="Tahoma" w:eastAsia="Times New Roman" w:hAnsi="Tahoma"/>
          <w:b/>
          <w:sz w:val="20"/>
          <w:szCs w:val="24"/>
        </w:rPr>
        <w:t>Fino al 31 dicembre 2023</w:t>
      </w:r>
      <w:r w:rsidRPr="00CC5A03">
        <w:rPr>
          <w:rFonts w:ascii="Tahoma" w:eastAsia="Times New Roman" w:hAnsi="Tahoma"/>
          <w:b/>
          <w:sz w:val="20"/>
          <w:szCs w:val="24"/>
          <w:vertAlign w:val="superscript"/>
        </w:rPr>
        <w:t>(1)</w:t>
      </w:r>
    </w:p>
    <w:p w14:paraId="5F1A1D12" w14:textId="77777777" w:rsidR="000B6E98" w:rsidRPr="00CC5A03" w:rsidRDefault="008A7A17">
      <w:pPr>
        <w:spacing w:after="0"/>
        <w:ind w:firstLine="284"/>
        <w:rPr>
          <w:rFonts w:ascii="Tahoma" w:eastAsia="Times New Roman" w:hAnsi="Tahoma"/>
          <w:sz w:val="20"/>
          <w:szCs w:val="24"/>
        </w:rPr>
      </w:pPr>
      <w:r w:rsidRPr="00CC5A03">
        <w:rPr>
          <w:rFonts w:ascii="Tahoma" w:eastAsia="Times New Roman" w:hAnsi="Tahoma"/>
          <w:sz w:val="20"/>
          <w:szCs w:val="24"/>
        </w:rPr>
        <w:t xml:space="preserve">Qualora nel corso dell'esecuzione del contratto d'appalto, i prezzi dei materiali da costruzione subiscano delle variazioni in aumento o in diminuzione, tali da determinare un aumento o una diminuzione dei prezzi unitari utilizzati, l'appaltatore avrà diritto ad un adeguamento compensativo (ai sensi </w:t>
      </w:r>
      <w:r w:rsidRPr="00CC5A03">
        <w:rPr>
          <w:rFonts w:ascii="Tahoma" w:eastAsia="Times New Roman" w:hAnsi="Tahoma"/>
          <w:b/>
          <w:sz w:val="20"/>
          <w:szCs w:val="24"/>
        </w:rPr>
        <w:t>dell'art. 29, comma 1 DL 27 gennaio 2022 n. 4</w:t>
      </w:r>
      <w:r w:rsidRPr="00CC5A03">
        <w:rPr>
          <w:rFonts w:ascii="Tahoma" w:eastAsia="Times New Roman" w:hAnsi="Tahoma"/>
          <w:sz w:val="20"/>
          <w:szCs w:val="24"/>
        </w:rPr>
        <w:t>).</w:t>
      </w:r>
    </w:p>
    <w:p w14:paraId="07DA15D5" w14:textId="77777777" w:rsidR="000B6E98" w:rsidRPr="00CC5A03" w:rsidRDefault="008A7A17">
      <w:pPr>
        <w:spacing w:after="0"/>
        <w:ind w:firstLine="284"/>
        <w:rPr>
          <w:rFonts w:ascii="Tahoma" w:eastAsia="Times New Roman" w:hAnsi="Tahoma"/>
          <w:b/>
          <w:sz w:val="20"/>
          <w:szCs w:val="24"/>
        </w:rPr>
      </w:pPr>
      <w:r w:rsidRPr="00CC5A03">
        <w:rPr>
          <w:rFonts w:ascii="Tahoma" w:eastAsia="Times New Roman" w:hAnsi="Tahoma"/>
          <w:sz w:val="20"/>
          <w:szCs w:val="24"/>
        </w:rPr>
        <w:t xml:space="preserve">Per i contratti relativi ai lavori, in deroga, all'art. 106, comma 1, lettera a), quarto periodo del </w:t>
      </w:r>
      <w:proofErr w:type="spellStart"/>
      <w:r w:rsidRPr="00CC5A03">
        <w:rPr>
          <w:rFonts w:ascii="Tahoma" w:eastAsia="Times New Roman" w:hAnsi="Tahoma"/>
          <w:sz w:val="20"/>
          <w:szCs w:val="24"/>
        </w:rPr>
        <w:t>DLgs</w:t>
      </w:r>
      <w:proofErr w:type="spellEnd"/>
      <w:r w:rsidRPr="00CC5A03">
        <w:rPr>
          <w:rFonts w:ascii="Tahoma" w:eastAsia="Times New Roman" w:hAnsi="Tahoma"/>
          <w:sz w:val="20"/>
          <w:szCs w:val="24"/>
        </w:rPr>
        <w:t xml:space="preserve"> 50/2016, qualora il prezzo dei singoli materiali da costruzione subisca variazioni di prezzo in aumento o in diminuzione superiori al </w:t>
      </w:r>
      <w:r w:rsidRPr="00CC5A03">
        <w:rPr>
          <w:rFonts w:ascii="Tahoma" w:eastAsia="Times New Roman" w:hAnsi="Tahoma"/>
          <w:b/>
          <w:sz w:val="20"/>
          <w:szCs w:val="24"/>
        </w:rPr>
        <w:t>5%</w:t>
      </w:r>
      <w:r w:rsidRPr="00CC5A03">
        <w:rPr>
          <w:rFonts w:ascii="Tahoma" w:eastAsia="Times New Roman" w:hAnsi="Tahoma"/>
          <w:sz w:val="20"/>
          <w:szCs w:val="24"/>
        </w:rPr>
        <w:t xml:space="preserve"> rispetto al prezzo rilevato con decreto dal Ministero delle infrastrutture e mobilità sostenibili, nell'anno di presentazione dell'offerta, si fa luogo a compensazioni, in aumento o in diminuzione, per la percentuale</w:t>
      </w:r>
      <w:r w:rsidRPr="00CC5A03">
        <w:rPr>
          <w:rFonts w:ascii="Tahoma" w:eastAsia="Times New Roman" w:hAnsi="Tahoma"/>
          <w:b/>
          <w:sz w:val="20"/>
          <w:szCs w:val="24"/>
        </w:rPr>
        <w:t xml:space="preserve"> eccedente il 5% e comunque in misura pari all'80% di detta eccedenza alle seguenti condizioni:</w:t>
      </w:r>
    </w:p>
    <w:p w14:paraId="54843B22" w14:textId="77777777" w:rsidR="000B6E98" w:rsidRPr="00CC5A03" w:rsidRDefault="008A7A17">
      <w:pPr>
        <w:spacing w:after="0"/>
        <w:ind w:firstLine="284"/>
        <w:rPr>
          <w:rFonts w:ascii="Tahoma" w:eastAsia="Times New Roman" w:hAnsi="Tahoma"/>
          <w:sz w:val="20"/>
          <w:szCs w:val="24"/>
        </w:rPr>
      </w:pPr>
      <w:r w:rsidRPr="00CC5A03">
        <w:rPr>
          <w:rFonts w:ascii="Tahoma" w:eastAsia="Times New Roman" w:hAnsi="Tahoma"/>
          <w:sz w:val="20"/>
          <w:szCs w:val="24"/>
        </w:rPr>
        <w:t>le compensazioni sono ammesse nel limite delle risorse indicate nel comma 7 dell'art. 29 ovverosia:</w:t>
      </w:r>
    </w:p>
    <w:p w14:paraId="6FDD6E60" w14:textId="77777777" w:rsidR="000B6E98" w:rsidRPr="00CC5A03" w:rsidRDefault="008A7A17" w:rsidP="008A7A17">
      <w:pPr>
        <w:numPr>
          <w:ilvl w:val="1"/>
          <w:numId w:val="32"/>
        </w:numPr>
        <w:spacing w:after="0"/>
        <w:ind w:left="850" w:hanging="425"/>
        <w:jc w:val="left"/>
        <w:rPr>
          <w:rFonts w:ascii="Tahoma" w:eastAsia="Times New Roman" w:hAnsi="Tahoma"/>
          <w:sz w:val="20"/>
          <w:szCs w:val="24"/>
        </w:rPr>
      </w:pPr>
      <w:r w:rsidRPr="00CC5A03">
        <w:rPr>
          <w:rFonts w:ascii="Tahoma" w:eastAsia="Times New Roman" w:hAnsi="Tahoma"/>
          <w:sz w:val="20"/>
          <w:szCs w:val="24"/>
        </w:rPr>
        <w:t>somme appositamente accantonate per imprevisti, nel quadro economico dell’intervento, in misura non inferiore all'1% (uno per cento) del totale dell'importo dei lavori, fatte salve le somme relative agli impegni contrattuali già assunti, nonché le eventuali ulteriori somme a disposizione della stazione appaltante per lo stesso intervento nei limiti della relativa autorizzazione annuale di spesa;</w:t>
      </w:r>
    </w:p>
    <w:p w14:paraId="1CE04FB7" w14:textId="77777777" w:rsidR="000B6E98" w:rsidRPr="00CC5A03" w:rsidRDefault="008A7A17" w:rsidP="008A7A17">
      <w:pPr>
        <w:numPr>
          <w:ilvl w:val="1"/>
          <w:numId w:val="32"/>
        </w:numPr>
        <w:spacing w:after="0"/>
        <w:ind w:left="850" w:hanging="425"/>
        <w:jc w:val="left"/>
        <w:rPr>
          <w:rFonts w:ascii="Tahoma" w:eastAsia="Times New Roman" w:hAnsi="Tahoma"/>
          <w:sz w:val="20"/>
          <w:szCs w:val="24"/>
        </w:rPr>
      </w:pPr>
      <w:r w:rsidRPr="00CC5A03">
        <w:rPr>
          <w:rFonts w:ascii="Tahoma" w:eastAsia="Times New Roman" w:hAnsi="Tahoma"/>
          <w:sz w:val="20"/>
          <w:szCs w:val="24"/>
        </w:rPr>
        <w:t>somme derivanti dal ribasso d'asta, qualora non ne sia stata prevista una diversa destinazione;</w:t>
      </w:r>
    </w:p>
    <w:p w14:paraId="645ED640" w14:textId="77777777" w:rsidR="000B6E98" w:rsidRPr="00CC5A03" w:rsidRDefault="008A7A17" w:rsidP="008A7A17">
      <w:pPr>
        <w:numPr>
          <w:ilvl w:val="1"/>
          <w:numId w:val="32"/>
        </w:numPr>
        <w:spacing w:after="0"/>
        <w:ind w:left="850" w:hanging="425"/>
        <w:jc w:val="left"/>
        <w:rPr>
          <w:rFonts w:ascii="Tahoma" w:eastAsia="Times New Roman" w:hAnsi="Tahoma"/>
          <w:sz w:val="20"/>
          <w:szCs w:val="24"/>
        </w:rPr>
      </w:pPr>
      <w:r w:rsidRPr="00CC5A03">
        <w:rPr>
          <w:rFonts w:ascii="Tahoma" w:eastAsia="Times New Roman" w:hAnsi="Tahoma"/>
          <w:sz w:val="20"/>
          <w:szCs w:val="24"/>
        </w:rPr>
        <w:t>somme disponibili relative ad altri interventi ultimati di competenza della stazione appaltante per i quali siano stati eseguiti i relativi collaudi ed emanati i certificati di regolare esecuzione nel rispetto delle procedure contabili della spesa, nei limiti della residua spesa autorizzata e disponibile.</w:t>
      </w:r>
    </w:p>
    <w:p w14:paraId="254E4CFD" w14:textId="77777777" w:rsidR="000B6E98" w:rsidRPr="00CC5A03" w:rsidRDefault="000B6E98">
      <w:pPr>
        <w:spacing w:after="0"/>
        <w:ind w:firstLine="284"/>
        <w:rPr>
          <w:rFonts w:ascii="Tahoma" w:eastAsia="Times New Roman" w:hAnsi="Tahoma"/>
          <w:sz w:val="20"/>
          <w:szCs w:val="24"/>
        </w:rPr>
      </w:pPr>
    </w:p>
    <w:p w14:paraId="47EC436D" w14:textId="77777777" w:rsidR="000B6E98" w:rsidRPr="00CC5A03" w:rsidRDefault="008A7A17">
      <w:pPr>
        <w:spacing w:after="0"/>
        <w:ind w:firstLine="284"/>
        <w:rPr>
          <w:rFonts w:ascii="Tahoma" w:eastAsia="Times New Roman" w:hAnsi="Tahoma"/>
          <w:sz w:val="20"/>
          <w:szCs w:val="24"/>
        </w:rPr>
      </w:pPr>
      <w:r w:rsidRPr="00CC5A03">
        <w:rPr>
          <w:rFonts w:ascii="Tahoma" w:eastAsia="Times New Roman" w:hAnsi="Tahoma"/>
          <w:sz w:val="20"/>
          <w:szCs w:val="24"/>
        </w:rPr>
        <w:t>La compensazione è determinata applicando la percentuale di variazione che eccede il</w:t>
      </w:r>
      <w:r w:rsidRPr="00CC5A03">
        <w:rPr>
          <w:rFonts w:ascii="Tahoma" w:eastAsia="Times New Roman" w:hAnsi="Tahoma"/>
          <w:b/>
          <w:sz w:val="20"/>
          <w:szCs w:val="24"/>
        </w:rPr>
        <w:t xml:space="preserve"> 5%</w:t>
      </w:r>
      <w:r w:rsidRPr="00CC5A03">
        <w:rPr>
          <w:rFonts w:ascii="Tahoma" w:eastAsia="Times New Roman" w:hAnsi="Tahoma"/>
          <w:sz w:val="20"/>
          <w:szCs w:val="24"/>
        </w:rPr>
        <w:t xml:space="preserve"> al prezzo dei singoli materiali da costruzione impiegati nelle lavorazioni, contabilizzate nei dodici mesi precedenti all'emanazione del decreto da parte del MIMS e nelle quantità accertate dal DL.</w:t>
      </w:r>
    </w:p>
    <w:p w14:paraId="4DE38B4E" w14:textId="77777777" w:rsidR="000B6E98" w:rsidRPr="00CC5A03" w:rsidRDefault="008A7A17">
      <w:pPr>
        <w:spacing w:after="0"/>
        <w:ind w:firstLine="284"/>
        <w:rPr>
          <w:rFonts w:ascii="Tahoma" w:eastAsia="Times New Roman" w:hAnsi="Tahoma"/>
          <w:sz w:val="20"/>
          <w:szCs w:val="24"/>
        </w:rPr>
      </w:pPr>
      <w:r w:rsidRPr="00CC5A03">
        <w:rPr>
          <w:rFonts w:ascii="Tahoma" w:eastAsia="Times New Roman" w:hAnsi="Tahoma"/>
          <w:sz w:val="20"/>
          <w:szCs w:val="24"/>
        </w:rPr>
        <w:t>Le compensazioni sono liquidate previa presentazione da parte</w:t>
      </w:r>
      <w:r w:rsidRPr="00CC5A03">
        <w:rPr>
          <w:rFonts w:ascii="Tahoma" w:eastAsia="Times New Roman" w:hAnsi="Tahoma"/>
          <w:b/>
          <w:sz w:val="20"/>
          <w:szCs w:val="24"/>
        </w:rPr>
        <w:t xml:space="preserve"> dell'appaltatore entro 60 giorni</w:t>
      </w:r>
      <w:r w:rsidRPr="00CC5A03">
        <w:rPr>
          <w:rFonts w:ascii="Tahoma" w:eastAsia="Times New Roman" w:hAnsi="Tahoma"/>
          <w:sz w:val="20"/>
          <w:szCs w:val="24"/>
        </w:rPr>
        <w:t xml:space="preserve"> dalla pubblicazione nella Gazzetta Ufficiale del decreto MIMS di cui al comma 2 dell'art. 29,</w:t>
      </w:r>
      <w:r w:rsidRPr="00CC5A03">
        <w:rPr>
          <w:rFonts w:ascii="Tahoma" w:eastAsia="Times New Roman" w:hAnsi="Tahoma"/>
          <w:b/>
          <w:sz w:val="20"/>
          <w:szCs w:val="24"/>
        </w:rPr>
        <w:t xml:space="preserve"> di un'istanza di compensazione alla Stazione appaltante</w:t>
      </w:r>
      <w:r w:rsidRPr="00CC5A03">
        <w:rPr>
          <w:rFonts w:ascii="Tahoma" w:eastAsia="Times New Roman" w:hAnsi="Tahoma"/>
          <w:sz w:val="20"/>
          <w:szCs w:val="24"/>
        </w:rPr>
        <w:t xml:space="preserve">, per i lavori eseguiti nel rispetto del </w:t>
      </w:r>
      <w:proofErr w:type="gramStart"/>
      <w:r w:rsidRPr="00CC5A03">
        <w:rPr>
          <w:rFonts w:ascii="Tahoma" w:eastAsia="Times New Roman" w:hAnsi="Tahoma"/>
          <w:sz w:val="20"/>
          <w:szCs w:val="24"/>
        </w:rPr>
        <w:t>cronoprogramma</w:t>
      </w:r>
      <w:r w:rsidRPr="00CC5A03">
        <w:rPr>
          <w:rFonts w:ascii="Tahoma" w:eastAsia="Times New Roman" w:hAnsi="Tahoma"/>
          <w:b/>
          <w:sz w:val="20"/>
          <w:szCs w:val="24"/>
          <w:vertAlign w:val="superscript"/>
        </w:rPr>
        <w:t>(</w:t>
      </w:r>
      <w:proofErr w:type="gramEnd"/>
      <w:r w:rsidRPr="00CC5A03">
        <w:rPr>
          <w:rFonts w:ascii="Tahoma" w:eastAsia="Times New Roman" w:hAnsi="Tahoma"/>
          <w:b/>
          <w:sz w:val="20"/>
          <w:szCs w:val="24"/>
          <w:vertAlign w:val="superscript"/>
        </w:rPr>
        <w:t>2)</w:t>
      </w:r>
      <w:r w:rsidRPr="00CC5A03">
        <w:rPr>
          <w:rFonts w:ascii="Tahoma" w:eastAsia="Times New Roman" w:hAnsi="Tahoma"/>
          <w:sz w:val="20"/>
          <w:szCs w:val="24"/>
        </w:rPr>
        <w:t>.</w:t>
      </w:r>
    </w:p>
    <w:p w14:paraId="2D641FF4" w14:textId="77777777" w:rsidR="000B6E98" w:rsidRPr="00CC5A03" w:rsidRDefault="008A7A17">
      <w:pPr>
        <w:spacing w:after="0"/>
        <w:ind w:firstLine="284"/>
        <w:rPr>
          <w:rFonts w:ascii="Tahoma" w:eastAsia="Times New Roman" w:hAnsi="Tahoma"/>
          <w:sz w:val="20"/>
          <w:szCs w:val="24"/>
        </w:rPr>
      </w:pPr>
      <w:r w:rsidRPr="00CC5A03">
        <w:rPr>
          <w:rFonts w:ascii="Tahoma" w:eastAsia="Times New Roman" w:hAnsi="Tahoma"/>
          <w:sz w:val="20"/>
          <w:szCs w:val="24"/>
        </w:rPr>
        <w:t xml:space="preserve"> Il DL verificato il rispetto del cronoprogramma nell'esecuzione dei lavori e valutata la documentazione probante la maggiore onerosità subita dall'appaltatore riconosce la compensazione così come segue:</w:t>
      </w:r>
    </w:p>
    <w:p w14:paraId="752AADB4" w14:textId="77777777" w:rsidR="000B6E98" w:rsidRPr="00CC5A03" w:rsidRDefault="008A7A17" w:rsidP="008A7A17">
      <w:pPr>
        <w:numPr>
          <w:ilvl w:val="1"/>
          <w:numId w:val="31"/>
        </w:numPr>
        <w:spacing w:after="0"/>
        <w:ind w:left="850" w:hanging="425"/>
        <w:jc w:val="left"/>
        <w:rPr>
          <w:rFonts w:ascii="Tahoma" w:eastAsia="Times New Roman" w:hAnsi="Tahoma"/>
          <w:sz w:val="20"/>
          <w:szCs w:val="24"/>
        </w:rPr>
      </w:pPr>
      <w:r w:rsidRPr="00CC5A03">
        <w:rPr>
          <w:rFonts w:ascii="Tahoma" w:eastAsia="Times New Roman" w:hAnsi="Tahoma"/>
          <w:sz w:val="20"/>
          <w:szCs w:val="24"/>
        </w:rPr>
        <w:t xml:space="preserve">se la maggiore onerosità provata dall'appaltatore è relativa ad una </w:t>
      </w:r>
      <w:r w:rsidRPr="00CC5A03">
        <w:rPr>
          <w:rFonts w:ascii="Tahoma" w:eastAsia="Times New Roman" w:hAnsi="Tahoma"/>
          <w:b/>
          <w:sz w:val="20"/>
          <w:szCs w:val="24"/>
        </w:rPr>
        <w:t>variazione percentuale inferiore a quella riportata nel decreto MIMS, la compensazione viene riconosciuta limitatamente alla predetta inferiore variazione e per la sola parte eccedente il 5% e in misura pari all'80% di detta eccedenza</w:t>
      </w:r>
      <w:r w:rsidRPr="00CC5A03">
        <w:rPr>
          <w:rFonts w:ascii="Tahoma" w:eastAsia="Times New Roman" w:hAnsi="Tahoma"/>
          <w:sz w:val="20"/>
          <w:szCs w:val="24"/>
        </w:rPr>
        <w:t>;</w:t>
      </w:r>
    </w:p>
    <w:p w14:paraId="0156B8F9" w14:textId="77777777" w:rsidR="000B6E98" w:rsidRPr="00CC5A03" w:rsidRDefault="008A7A17" w:rsidP="008A7A17">
      <w:pPr>
        <w:numPr>
          <w:ilvl w:val="1"/>
          <w:numId w:val="31"/>
        </w:numPr>
        <w:spacing w:after="0"/>
        <w:ind w:left="850" w:hanging="425"/>
        <w:jc w:val="left"/>
        <w:rPr>
          <w:rFonts w:ascii="Tahoma" w:eastAsia="Times New Roman" w:hAnsi="Tahoma"/>
          <w:sz w:val="20"/>
          <w:szCs w:val="24"/>
        </w:rPr>
      </w:pPr>
      <w:r w:rsidRPr="00CC5A03">
        <w:rPr>
          <w:rFonts w:ascii="Tahoma" w:eastAsia="Times New Roman" w:hAnsi="Tahoma"/>
          <w:sz w:val="20"/>
          <w:szCs w:val="24"/>
        </w:rPr>
        <w:lastRenderedPageBreak/>
        <w:t xml:space="preserve">se la maggiore onerosità provata dall'appaltatore è relativa ad una </w:t>
      </w:r>
      <w:r w:rsidRPr="00CC5A03">
        <w:rPr>
          <w:rFonts w:ascii="Tahoma" w:eastAsia="Times New Roman" w:hAnsi="Tahoma"/>
          <w:b/>
          <w:sz w:val="20"/>
          <w:szCs w:val="24"/>
        </w:rPr>
        <w:t>variazione percentuale superiore a quella riportata nel decreto MIMS, la compensazione viene riconosciuta per la sola parte eccedente il 5% e in misura pari all'80% di detta eccedenza.</w:t>
      </w:r>
    </w:p>
    <w:p w14:paraId="7702CF31" w14:textId="77777777" w:rsidR="000B6E98" w:rsidRPr="00CC5A03" w:rsidRDefault="000B6E98">
      <w:pPr>
        <w:spacing w:after="0"/>
        <w:ind w:firstLine="284"/>
        <w:rPr>
          <w:rFonts w:ascii="Tahoma" w:eastAsia="Times New Roman" w:hAnsi="Tahoma"/>
          <w:sz w:val="20"/>
          <w:szCs w:val="24"/>
        </w:rPr>
      </w:pPr>
    </w:p>
    <w:p w14:paraId="41D3877C" w14:textId="77777777" w:rsidR="000B6E98" w:rsidRPr="00CC5A03" w:rsidRDefault="008A7A17">
      <w:pPr>
        <w:spacing w:after="0"/>
        <w:ind w:firstLine="284"/>
        <w:rPr>
          <w:rFonts w:ascii="Tahoma" w:eastAsia="Times New Roman" w:hAnsi="Tahoma"/>
          <w:sz w:val="20"/>
          <w:szCs w:val="24"/>
        </w:rPr>
      </w:pPr>
      <w:r w:rsidRPr="00CC5A03">
        <w:rPr>
          <w:rFonts w:ascii="Tahoma" w:eastAsia="Times New Roman" w:hAnsi="Tahoma"/>
          <w:sz w:val="20"/>
          <w:szCs w:val="24"/>
        </w:rPr>
        <w:t>La compensazione non è soggetta al ribasso d'asta ed è al netto delle eventuali compensazioni precedentemente accordate, inoltre, restano esclusi dalla stessa i lavori contabilizzati nell'anno solare di presentazione dell'offerta.</w:t>
      </w:r>
    </w:p>
    <w:p w14:paraId="6B0168A6" w14:textId="77777777" w:rsidR="000B6E98" w:rsidRPr="00CC5A03" w:rsidRDefault="000B6E98">
      <w:pPr>
        <w:spacing w:after="0"/>
        <w:ind w:firstLine="284"/>
        <w:rPr>
          <w:rFonts w:ascii="Tahoma" w:eastAsia="Times New Roman" w:hAnsi="Tahoma"/>
          <w:sz w:val="20"/>
          <w:szCs w:val="24"/>
        </w:rPr>
      </w:pPr>
    </w:p>
    <w:p w14:paraId="3018A8E2" w14:textId="77777777" w:rsidR="000B6E98" w:rsidRDefault="008A7A17">
      <w:pPr>
        <w:spacing w:after="0"/>
        <w:ind w:firstLine="284"/>
        <w:rPr>
          <w:rFonts w:ascii="Tahoma" w:eastAsia="Times New Roman" w:hAnsi="Tahoma"/>
          <w:sz w:val="20"/>
          <w:szCs w:val="24"/>
        </w:rPr>
      </w:pPr>
      <w:r w:rsidRPr="00CC5A03">
        <w:rPr>
          <w:rFonts w:ascii="Tahoma" w:eastAsia="Times New Roman" w:hAnsi="Tahoma"/>
          <w:sz w:val="20"/>
          <w:szCs w:val="24"/>
        </w:rPr>
        <w:t xml:space="preserve">Se le variazioni ai prezzi di contratto comportino categorie di lavorazioni non previste o si debbano </w:t>
      </w:r>
      <w:r>
        <w:rPr>
          <w:rFonts w:ascii="Tahoma" w:eastAsia="Times New Roman" w:hAnsi="Tahoma"/>
          <w:sz w:val="20"/>
          <w:szCs w:val="24"/>
        </w:rPr>
        <w:t>impiegare materiali per i quali non risulta fissato il prezzo contrattuale si provvederà alla formazione di nuovi prezzi. I nuovi prezzi delle lavorazioni o materiali saranno valutati:</w:t>
      </w:r>
    </w:p>
    <w:p w14:paraId="3D13B441" w14:textId="77777777" w:rsidR="000B6E98" w:rsidRDefault="008A7A17" w:rsidP="008A7A17">
      <w:pPr>
        <w:numPr>
          <w:ilvl w:val="1"/>
          <w:numId w:val="34"/>
        </w:numPr>
        <w:spacing w:after="0"/>
        <w:ind w:left="850" w:hanging="425"/>
        <w:jc w:val="left"/>
        <w:rPr>
          <w:rFonts w:ascii="Tahoma" w:eastAsia="Times New Roman" w:hAnsi="Tahoma"/>
          <w:sz w:val="20"/>
          <w:szCs w:val="24"/>
        </w:rPr>
      </w:pPr>
      <w:r>
        <w:rPr>
          <w:rFonts w:ascii="Tahoma" w:eastAsia="Times New Roman" w:hAnsi="Tahoma"/>
          <w:sz w:val="20"/>
          <w:szCs w:val="24"/>
        </w:rPr>
        <w:t>desumendoli dal prezzario della stazione appaltante o dal prezzario predisposti dalle regioni e dalle province autonome territorialmente competenti, ove esistenti;</w:t>
      </w:r>
    </w:p>
    <w:p w14:paraId="37F6E666" w14:textId="77777777" w:rsidR="000B6E98" w:rsidRDefault="008A7A17" w:rsidP="008A7A17">
      <w:pPr>
        <w:numPr>
          <w:ilvl w:val="1"/>
          <w:numId w:val="34"/>
        </w:numPr>
        <w:spacing w:after="0"/>
        <w:ind w:left="850" w:hanging="425"/>
        <w:jc w:val="left"/>
        <w:rPr>
          <w:rFonts w:ascii="Tahoma" w:eastAsia="Times New Roman" w:hAnsi="Tahoma"/>
          <w:sz w:val="20"/>
          <w:szCs w:val="24"/>
        </w:rPr>
      </w:pPr>
      <w:r>
        <w:rPr>
          <w:rFonts w:ascii="Tahoma" w:eastAsia="Times New Roman" w:hAnsi="Tahoma"/>
          <w:sz w:val="20"/>
          <w:szCs w:val="24"/>
        </w:rPr>
        <w:t xml:space="preserve">ricavandoli totalmente o parzialmente da nuove analisi effettuate avendo a riferimento i prezzi elementari di mano d’opera, materiali, noli e trasporti alla data di formulazione dell’offerta, attraverso un contraddittorio tra il direttore dei lavori e l’esecutore, e approvati dal RUP. </w:t>
      </w:r>
    </w:p>
    <w:p w14:paraId="15F1A72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Ove da tali calcoli risultino maggiori spese rispetto alle somme previste nel quadro economico, i prezzi prima di essere ammessi nella contabilità dei lavori saranno approvati dalla stazione appaltante, su proposta del RUP.</w:t>
      </w:r>
    </w:p>
    <w:p w14:paraId="72A663AC" w14:textId="0DB38234"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Se l’esecutore non accetterà i nuovi prezzi così determinati e approvati, la stazione appaltante può </w:t>
      </w:r>
      <w:r>
        <w:rPr>
          <w:rFonts w:ascii="Tahoma" w:eastAsia="Times New Roman" w:hAnsi="Tahoma"/>
          <w:color w:val="000000"/>
          <w:sz w:val="20"/>
          <w:szCs w:val="24"/>
        </w:rPr>
        <w:t xml:space="preserve">ingiungere </w:t>
      </w:r>
      <w:r>
        <w:rPr>
          <w:rFonts w:ascii="Tahoma" w:eastAsia="Times New Roman" w:hAnsi="Tahoma"/>
          <w:sz w:val="20"/>
          <w:szCs w:val="24"/>
        </w:rPr>
        <w:t>l’esecuzione delle lavorazioni o la somministrazione dei materiali sulla base di detti prezzi, comunque ammessi nella contabilità; ove l’impresa affidataria non iscriva riserva negli atti contabili, i prezzi si intenderanno definitivamente accettati.</w:t>
      </w:r>
    </w:p>
    <w:p w14:paraId="3A96B106" w14:textId="42120C7F" w:rsidR="00CC5A03" w:rsidRDefault="00CC5A03">
      <w:pPr>
        <w:spacing w:after="0"/>
        <w:ind w:firstLine="284"/>
        <w:rPr>
          <w:rFonts w:ascii="Tahoma" w:eastAsia="Times New Roman" w:hAnsi="Tahoma"/>
          <w:sz w:val="20"/>
          <w:szCs w:val="24"/>
        </w:rPr>
      </w:pPr>
    </w:p>
    <w:p w14:paraId="49762B65" w14:textId="77777777" w:rsidR="00CC5A03" w:rsidRDefault="00CC5A03">
      <w:pPr>
        <w:spacing w:after="0"/>
        <w:ind w:firstLine="284"/>
        <w:rPr>
          <w:rFonts w:ascii="Tahoma" w:eastAsia="Times New Roman" w:hAnsi="Tahoma"/>
          <w:sz w:val="20"/>
          <w:szCs w:val="24"/>
        </w:rPr>
      </w:pPr>
    </w:p>
    <w:p w14:paraId="744ABBE3" w14:textId="77777777" w:rsidR="000B6E98" w:rsidRDefault="008A7A17">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#{GUID_131F14BB-8652-4C41-A59F-7565C9445ABD|LIVELLO_2|TESTO_Osservanza Regolamento UE materiali_END}&amp;</w:t>
      </w:r>
      <w:bookmarkStart w:id="35" w:name="4257"/>
      <w:bookmarkEnd w:id="35"/>
      <w:r>
        <w:rPr>
          <w:rFonts w:ascii="Tahoma" w:eastAsia="Times New Roman" w:hAnsi="Tahoma"/>
          <w:b/>
          <w:sz w:val="20"/>
          <w:szCs w:val="24"/>
        </w:rPr>
        <w:t>Art. 2.27</w:t>
      </w:r>
    </w:p>
    <w:p w14:paraId="7216DDC9" w14:textId="77777777" w:rsidR="000B6E98" w:rsidRDefault="008A7A17">
      <w:pPr>
        <w:spacing w:after="0"/>
        <w:jc w:val="center"/>
        <w:rPr>
          <w:rFonts w:ascii="Tahoma" w:eastAsia="Times New Roman" w:hAnsi="Tahoma"/>
          <w:b/>
          <w:sz w:val="20"/>
          <w:szCs w:val="24"/>
        </w:rPr>
      </w:pPr>
      <w:r>
        <w:rPr>
          <w:rFonts w:ascii="Tahoma" w:eastAsia="Times New Roman" w:hAnsi="Tahoma"/>
          <w:b/>
          <w:sz w:val="20"/>
          <w:szCs w:val="24"/>
        </w:rPr>
        <w:t xml:space="preserve">OSSERVANZA REGOLAMENTO UE SUI MATERIALI </w:t>
      </w:r>
    </w:p>
    <w:p w14:paraId="72475EA1" w14:textId="77777777" w:rsidR="000B6E98" w:rsidRDefault="000B6E98">
      <w:pPr>
        <w:spacing w:after="0"/>
        <w:rPr>
          <w:rFonts w:ascii="Tahoma" w:eastAsia="Times New Roman" w:hAnsi="Tahoma"/>
          <w:sz w:val="20"/>
          <w:szCs w:val="24"/>
        </w:rPr>
      </w:pPr>
    </w:p>
    <w:p w14:paraId="37063502"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La progettazione, i materiali prescritti e utilizzati nell'opera dovranno essere conformi sia alla direttiva del Parlamento Europeo UE n.305/2011 sia a quelle del Consiglio dei LL.PP. Le nuove regole sulla armonizzazione e la commercializzazione dei prodotti da costruzione sono contenute nel Decreto Legislativo 16 giugno 2017 n. 106, riguardante il “Regolamento dei prodotti da costruzione”.</w:t>
      </w:r>
    </w:p>
    <w:p w14:paraId="042C6493" w14:textId="77777777" w:rsidR="000B6E98" w:rsidRDefault="000B6E98">
      <w:pPr>
        <w:spacing w:after="0"/>
        <w:ind w:firstLine="284"/>
        <w:rPr>
          <w:rFonts w:ascii="Tahoma" w:eastAsia="Times New Roman" w:hAnsi="Tahoma"/>
          <w:sz w:val="20"/>
          <w:szCs w:val="24"/>
        </w:rPr>
      </w:pPr>
    </w:p>
    <w:p w14:paraId="361AFC86"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 xml:space="preserve">L'appaltatore, il progettista, il direttore dei lavori, il direttore dell’esecuzione o il collaudatore, ognuno secondo la propria sfera d'azione e competenza, saranno tenuti a rispettare l’obbligo di impiego di prodotti da costruzione di cui al citato Regolamento UE. </w:t>
      </w:r>
    </w:p>
    <w:p w14:paraId="44565F18" w14:textId="77777777" w:rsidR="000B6E98" w:rsidRDefault="008A7A17">
      <w:pPr>
        <w:spacing w:after="0"/>
        <w:ind w:firstLine="284"/>
        <w:rPr>
          <w:rFonts w:ascii="Tahoma" w:eastAsia="Times New Roman" w:hAnsi="Tahoma"/>
          <w:sz w:val="20"/>
          <w:szCs w:val="24"/>
        </w:rPr>
      </w:pPr>
      <w:r>
        <w:rPr>
          <w:rFonts w:ascii="Tahoma" w:eastAsia="Times New Roman" w:hAnsi="Tahoma"/>
          <w:sz w:val="20"/>
          <w:szCs w:val="24"/>
        </w:rPr>
        <w:t>Anche qualora il progettista avesse per errore prescritto prodotti non conformi alla norma, rendendosi soggetto alle sanzioni previste dal D.lgs. 106/2017, l'appaltatore è tenuto a comunicare per iscritto alla Stazione appaltante ed al Direttore dei lavori il proprio dissenso in merito e ad astenersi dalla fornitura e/o messa in opera dei prodotti prescritti non conformi.</w:t>
      </w:r>
    </w:p>
    <w:p w14:paraId="408B0152" w14:textId="77777777" w:rsidR="000B6E98" w:rsidRDefault="000B6E98">
      <w:pPr>
        <w:spacing w:after="0"/>
        <w:ind w:firstLine="284"/>
        <w:rPr>
          <w:rFonts w:ascii="Tahoma" w:eastAsia="Times New Roman" w:hAnsi="Tahoma"/>
          <w:sz w:val="20"/>
          <w:szCs w:val="24"/>
        </w:rPr>
      </w:pPr>
    </w:p>
    <w:p w14:paraId="2FBE8C51" w14:textId="556B9190" w:rsidR="000B6E98" w:rsidRDefault="008A7A17">
      <w:pPr>
        <w:spacing w:after="0"/>
        <w:ind w:firstLine="284"/>
        <w:rPr>
          <w:rFonts w:ascii="Tahoma" w:eastAsia="Times New Roman" w:hAnsi="Tahoma"/>
          <w:sz w:val="20"/>
          <w:szCs w:val="24"/>
        </w:rPr>
      </w:pPr>
      <w:r>
        <w:rPr>
          <w:rFonts w:ascii="Tahoma" w:eastAsia="Times New Roman" w:hAnsi="Tahoma"/>
          <w:sz w:val="20"/>
          <w:szCs w:val="24"/>
        </w:rPr>
        <w:t>Particolare attenzione si dovrà prestare alle certificazioni del fabbricante all’origine, che, redigendo una apposita dichiarazione, dovrà attestare la prestazione del prodotto secondo le direttive comunitarie.</w:t>
      </w:r>
    </w:p>
    <w:p w14:paraId="1ABC3348" w14:textId="77777777" w:rsidR="00CC5A03" w:rsidRDefault="00CC5A03">
      <w:pPr>
        <w:spacing w:after="0"/>
        <w:ind w:firstLine="284"/>
        <w:rPr>
          <w:rFonts w:ascii="Tahoma" w:eastAsia="Times New Roman" w:hAnsi="Tahoma"/>
          <w:sz w:val="20"/>
          <w:szCs w:val="24"/>
        </w:rPr>
      </w:pPr>
    </w:p>
    <w:p w14:paraId="654FC99D" w14:textId="77777777" w:rsidR="000B6E98" w:rsidRDefault="008A7A17">
      <w:pPr>
        <w:spacing w:after="0" w:line="360" w:lineRule="atLeast"/>
        <w:jc w:val="center"/>
        <w:rPr>
          <w:rFonts w:ascii="Tahoma" w:eastAsia="Times New Roman" w:hAnsi="Tahoma"/>
          <w:b/>
          <w:sz w:val="36"/>
          <w:szCs w:val="24"/>
        </w:rPr>
      </w:pPr>
      <w:r>
        <w:rPr>
          <w:sz w:val="24"/>
          <w:szCs w:val="24"/>
        </w:rPr>
        <w:br w:type="page"/>
      </w:r>
      <w:r>
        <w:rPr>
          <w:rFonts w:ascii="Times New Roman" w:eastAsia="Times New Roman" w:hAnsi="Times New Roman"/>
          <w:vanish/>
          <w:color w:val="000000"/>
          <w:sz w:val="14"/>
          <w:szCs w:val="24"/>
        </w:rPr>
        <w:lastRenderedPageBreak/>
        <w:t>#{GUID_00A7A167-D239-4F87-9F40-2C31CE7BB37C|LIVELLO_1|TESTO_Norme per la misurazione e valutazione dei lavori_END}&amp;</w:t>
      </w:r>
      <w:bookmarkStart w:id="36" w:name="4266"/>
      <w:bookmarkEnd w:id="36"/>
      <w:r>
        <w:rPr>
          <w:rFonts w:ascii="Tahoma" w:eastAsia="Times New Roman" w:hAnsi="Tahoma"/>
          <w:b/>
          <w:sz w:val="32"/>
          <w:szCs w:val="24"/>
        </w:rPr>
        <w:t>CAPITOLO 3</w:t>
      </w:r>
    </w:p>
    <w:p w14:paraId="40F68A24" w14:textId="77777777" w:rsidR="000B6E98" w:rsidRDefault="000B6E98">
      <w:pPr>
        <w:spacing w:after="0"/>
        <w:jc w:val="center"/>
        <w:rPr>
          <w:rFonts w:ascii="Tahoma" w:eastAsia="Times New Roman" w:hAnsi="Tahoma"/>
          <w:b/>
          <w:sz w:val="24"/>
          <w:szCs w:val="24"/>
        </w:rPr>
      </w:pPr>
    </w:p>
    <w:p w14:paraId="4D1E5574" w14:textId="77777777" w:rsidR="000B6E98" w:rsidRDefault="000B6E98">
      <w:pPr>
        <w:spacing w:after="0"/>
        <w:jc w:val="center"/>
        <w:rPr>
          <w:rFonts w:ascii="Tahoma" w:eastAsia="Times New Roman" w:hAnsi="Tahoma"/>
          <w:b/>
          <w:sz w:val="24"/>
          <w:szCs w:val="24"/>
        </w:rPr>
      </w:pPr>
    </w:p>
    <w:p w14:paraId="1FC11CD5" w14:textId="77777777" w:rsidR="000B6E98" w:rsidRDefault="008A7A17">
      <w:pPr>
        <w:spacing w:after="0" w:line="360" w:lineRule="atLeast"/>
        <w:jc w:val="center"/>
        <w:rPr>
          <w:rFonts w:ascii="Tahoma" w:eastAsia="Times New Roman" w:hAnsi="Tahoma"/>
          <w:b/>
          <w:sz w:val="24"/>
          <w:szCs w:val="24"/>
        </w:rPr>
      </w:pPr>
      <w:r>
        <w:rPr>
          <w:rFonts w:ascii="Tahoma" w:eastAsia="Times New Roman" w:hAnsi="Tahoma"/>
          <w:b/>
          <w:sz w:val="24"/>
          <w:szCs w:val="24"/>
        </w:rPr>
        <w:t>NORME PER LA MISURAZIONE E VALUTAZIONE DEI LAVORI</w:t>
      </w:r>
    </w:p>
    <w:p w14:paraId="4E7BDB1D" w14:textId="77777777" w:rsidR="000B6E98" w:rsidRDefault="000B6E98">
      <w:pPr>
        <w:spacing w:after="0" w:line="360" w:lineRule="atLeast"/>
        <w:jc w:val="center"/>
        <w:rPr>
          <w:rFonts w:ascii="Tahoma" w:eastAsia="Times New Roman" w:hAnsi="Tahoma"/>
          <w:sz w:val="24"/>
          <w:szCs w:val="24"/>
        </w:rPr>
      </w:pPr>
    </w:p>
    <w:p w14:paraId="0091C92C" w14:textId="77777777" w:rsidR="000B6E98" w:rsidRDefault="000B6E98">
      <w:pPr>
        <w:spacing w:after="0"/>
        <w:jc w:val="left"/>
        <w:rPr>
          <w:sz w:val="24"/>
          <w:szCs w:val="24"/>
        </w:rPr>
      </w:pPr>
    </w:p>
    <w:p w14:paraId="0B94666A" w14:textId="77777777" w:rsidR="00C97A7B" w:rsidRDefault="00C97A7B" w:rsidP="00C97A7B">
      <w:pPr>
        <w:spacing w:after="0"/>
        <w:jc w:val="center"/>
        <w:rPr>
          <w:rFonts w:ascii="Tahoma" w:eastAsia="Times New Roman" w:hAnsi="Tahoma"/>
          <w:color w:val="000000"/>
          <w:sz w:val="20"/>
          <w:szCs w:val="24"/>
        </w:rPr>
      </w:pPr>
      <w:r>
        <w:rPr>
          <w:rFonts w:ascii="Times New Roman" w:eastAsia="Times New Roman" w:hAnsi="Times New Roman"/>
          <w:vanish/>
          <w:color w:val="000000"/>
          <w:sz w:val="14"/>
          <w:szCs w:val="24"/>
        </w:rPr>
        <w:t>#{GUID_70B2D424-2D6A-4BE0-9B38-52C50159439F|LIVELLO_2|TESTO_Norme generali_END}&amp;</w:t>
      </w:r>
      <w:bookmarkStart w:id="37" w:name="519"/>
      <w:bookmarkEnd w:id="37"/>
      <w:r>
        <w:rPr>
          <w:rFonts w:ascii="Tahoma" w:eastAsia="Times New Roman" w:hAnsi="Tahoma"/>
          <w:b/>
          <w:color w:val="000000"/>
          <w:sz w:val="20"/>
          <w:szCs w:val="24"/>
        </w:rPr>
        <w:t>Art. 3.1</w:t>
      </w:r>
    </w:p>
    <w:p w14:paraId="57299EE3" w14:textId="77777777" w:rsidR="00C97A7B" w:rsidRDefault="00C97A7B" w:rsidP="00C97A7B">
      <w:pPr>
        <w:pStyle w:val="Intestazione"/>
        <w:widowControl/>
        <w:jc w:val="center"/>
        <w:rPr>
          <w:rFonts w:ascii="Tahoma" w:eastAsia="Times New Roman" w:hAnsi="Tahoma"/>
          <w:szCs w:val="24"/>
          <w:shd w:val="clear" w:color="auto" w:fill="auto"/>
        </w:rPr>
      </w:pPr>
      <w:r>
        <w:rPr>
          <w:rFonts w:ascii="Tahoma" w:eastAsia="Times New Roman" w:hAnsi="Tahoma"/>
          <w:b/>
          <w:szCs w:val="24"/>
          <w:shd w:val="clear" w:color="auto" w:fill="auto"/>
        </w:rPr>
        <w:t>NORME GENERALI</w:t>
      </w:r>
    </w:p>
    <w:p w14:paraId="72C15503" w14:textId="77777777" w:rsidR="00C97A7B" w:rsidRDefault="00C97A7B" w:rsidP="00C97A7B">
      <w:pPr>
        <w:pStyle w:val="Intestazione"/>
        <w:widowControl/>
        <w:jc w:val="both"/>
        <w:rPr>
          <w:rFonts w:ascii="Tahoma" w:eastAsia="Times New Roman" w:hAnsi="Tahoma"/>
          <w:szCs w:val="24"/>
          <w:shd w:val="clear" w:color="auto" w:fill="auto"/>
        </w:rPr>
      </w:pPr>
    </w:p>
    <w:p w14:paraId="7DE7392A" w14:textId="77777777" w:rsidR="00C97A7B" w:rsidRDefault="00C97A7B" w:rsidP="00C97A7B">
      <w:pPr>
        <w:widowControl/>
        <w:spacing w:after="0"/>
        <w:rPr>
          <w:rFonts w:ascii="Tahoma" w:eastAsia="Times New Roman" w:hAnsi="Tahoma"/>
          <w:b/>
          <w:color w:val="000000"/>
          <w:sz w:val="20"/>
          <w:szCs w:val="24"/>
        </w:rPr>
      </w:pPr>
      <w:r>
        <w:rPr>
          <w:rFonts w:ascii="Tahoma" w:eastAsia="Times New Roman" w:hAnsi="Tahoma"/>
          <w:b/>
          <w:color w:val="000000"/>
          <w:sz w:val="20"/>
          <w:szCs w:val="24"/>
        </w:rPr>
        <w:t>Generalità</w:t>
      </w:r>
    </w:p>
    <w:p w14:paraId="2A8901CF" w14:textId="77777777" w:rsidR="00C97A7B" w:rsidRDefault="00C97A7B" w:rsidP="00C97A7B">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La quantità dei lavori e delle provviste sarà determinata a misura, a peso, a corpo, in relazione a quanto previsto nell'elenco dei prezzi allegato.</w:t>
      </w:r>
    </w:p>
    <w:p w14:paraId="65173E49" w14:textId="77777777" w:rsidR="00C97A7B" w:rsidRDefault="00C97A7B" w:rsidP="00C97A7B">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Le misure verranno rilevate in contraddittorio in base all'effettiva esecuzione. Qualora esse risultino maggiori di quelle indicate nei grafici di progetto o di quelle ordinate dalla Direzione, le eccedenze non verranno contabilizzate. Soltanto nel caso che la Direzione dei Lavori abbia ordinato per iscritto maggiori dimensioni se ne terrà conto nella contabilizzazione.</w:t>
      </w:r>
    </w:p>
    <w:p w14:paraId="47BD596D" w14:textId="77777777" w:rsidR="00C97A7B" w:rsidRDefault="00C97A7B" w:rsidP="00C97A7B">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In nessun caso saranno tollerate dimensioni minori di quelle ordinate, le quali potranno essere motivo di rifacimento a carico dell'Appaltatore. Resta sempre salva in ogni caso la possibilità di verifica e rettifica in occasione delle operazioni di collaudo.</w:t>
      </w:r>
    </w:p>
    <w:p w14:paraId="461C7B72" w14:textId="77777777" w:rsidR="00C97A7B" w:rsidRDefault="00C97A7B" w:rsidP="00C97A7B">
      <w:pPr>
        <w:widowControl/>
        <w:spacing w:after="0"/>
        <w:rPr>
          <w:rFonts w:ascii="Tahoma" w:eastAsia="Times New Roman" w:hAnsi="Tahoma"/>
          <w:b/>
          <w:color w:val="000000"/>
          <w:sz w:val="20"/>
          <w:szCs w:val="24"/>
        </w:rPr>
      </w:pPr>
    </w:p>
    <w:p w14:paraId="4DB89DE1" w14:textId="77777777" w:rsidR="00C97A7B" w:rsidRDefault="00C97A7B" w:rsidP="00C97A7B">
      <w:pPr>
        <w:widowControl/>
        <w:spacing w:after="0"/>
        <w:rPr>
          <w:rFonts w:ascii="Tahoma" w:eastAsia="Times New Roman" w:hAnsi="Tahoma"/>
          <w:b/>
          <w:color w:val="000000"/>
          <w:sz w:val="20"/>
          <w:szCs w:val="24"/>
        </w:rPr>
      </w:pPr>
      <w:r>
        <w:rPr>
          <w:rFonts w:ascii="Tahoma" w:eastAsia="Times New Roman" w:hAnsi="Tahoma"/>
          <w:b/>
          <w:color w:val="000000"/>
          <w:sz w:val="20"/>
          <w:szCs w:val="24"/>
        </w:rPr>
        <w:t>Contabilizzazione dei lavori a corpo e/o a misura</w:t>
      </w:r>
    </w:p>
    <w:p w14:paraId="3E8D95EF" w14:textId="77777777" w:rsidR="00C97A7B" w:rsidRDefault="00C97A7B" w:rsidP="00C97A7B">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La contabilizzazione dei lavori a misura sarà realizzata secondo le specificazioni date nelle norme del presente Capitolato speciale e nella descrizione delle singole voci di elenco prezzi; in caso diverso verranno utilizzate per la valutazione dei lavori le dimensioni nette delle opere eseguite rilevate in sito, senza che l’appaltatore possa far valere criteri di misurazione o coefficienti moltiplicatori che modifichino le quantità realmente poste in opera.</w:t>
      </w:r>
    </w:p>
    <w:p w14:paraId="58BDB974" w14:textId="77777777" w:rsidR="00C97A7B" w:rsidRDefault="00C97A7B" w:rsidP="00C97A7B">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La contabilizzazione delle opere sarà effettuata applicando alle quantità eseguite i prezzi unitari di contratto. Nel caso di appalti aggiudicati col criterio dell’OEPV (Offerta Economicamente Più Vantaggiosa) si terrà conto di eventuali lavorazioni diverse o aggiuntive derivanti dall’offerta tecnica dell'appaltatore, contabilizzandole utilizzando i prezzi unitari relativi alle lavorazioni sostituite, come desunti dall’offerta stessa.</w:t>
      </w:r>
    </w:p>
    <w:p w14:paraId="018089DC" w14:textId="77777777" w:rsidR="00C97A7B" w:rsidRDefault="00C97A7B" w:rsidP="00C97A7B">
      <w:pPr>
        <w:widowControl/>
        <w:spacing w:after="0"/>
        <w:ind w:firstLine="284"/>
        <w:rPr>
          <w:rFonts w:ascii="Tahoma" w:eastAsia="Times New Roman" w:hAnsi="Tahoma"/>
          <w:b/>
          <w:color w:val="000000"/>
          <w:sz w:val="20"/>
          <w:szCs w:val="24"/>
        </w:rPr>
      </w:pPr>
      <w:r>
        <w:rPr>
          <w:rFonts w:ascii="Tahoma" w:eastAsia="Times New Roman" w:hAnsi="Tahoma"/>
          <w:color w:val="000000"/>
          <w:sz w:val="20"/>
          <w:szCs w:val="24"/>
        </w:rPr>
        <w:t>La contabilizzazione dei lavori a corpo sarà effettuata applicando all’importo delle opere a corpo, al netto del ribasso contrattuale, le percentuali convenzionali relative alle singole categorie di lavoro indicate in perizia, di ciascuna delle quali andrà contabilizzata la quota parte in proporzione al lavoro eseguito.</w:t>
      </w:r>
    </w:p>
    <w:p w14:paraId="3B3573EB" w14:textId="77777777" w:rsidR="00C97A7B" w:rsidRDefault="00C97A7B" w:rsidP="00C97A7B">
      <w:pPr>
        <w:widowControl/>
        <w:spacing w:after="0"/>
        <w:rPr>
          <w:rFonts w:ascii="Tahoma" w:eastAsia="Times New Roman" w:hAnsi="Tahoma"/>
          <w:b/>
          <w:color w:val="000000"/>
          <w:sz w:val="20"/>
          <w:szCs w:val="24"/>
        </w:rPr>
      </w:pPr>
    </w:p>
    <w:p w14:paraId="0CACE4A7" w14:textId="77777777" w:rsidR="00C97A7B" w:rsidRDefault="00C97A7B" w:rsidP="00C97A7B">
      <w:pPr>
        <w:widowControl/>
        <w:spacing w:after="0"/>
        <w:rPr>
          <w:rFonts w:ascii="Tahoma" w:eastAsia="Times New Roman" w:hAnsi="Tahoma"/>
          <w:b/>
          <w:color w:val="000000"/>
          <w:sz w:val="20"/>
          <w:szCs w:val="24"/>
        </w:rPr>
      </w:pPr>
      <w:r>
        <w:rPr>
          <w:rFonts w:ascii="Tahoma" w:eastAsia="Times New Roman" w:hAnsi="Tahoma"/>
          <w:b/>
          <w:color w:val="000000"/>
          <w:sz w:val="20"/>
          <w:szCs w:val="24"/>
        </w:rPr>
        <w:t>Lavori in economia</w:t>
      </w:r>
    </w:p>
    <w:p w14:paraId="5FCC9749" w14:textId="77777777" w:rsidR="00C97A7B" w:rsidRDefault="00C97A7B" w:rsidP="00C97A7B">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Nell’eventualità siano contemplate delle somme a disposizione per lavori in economia tali lavori non daranno luogo ad una valutazione a misura, ma saranno inseriti nella contabilità secondo i prezzi di elenco per l'importo delle somministrazioni al netto del ribasso d'asta, per quanto riguarda i materiali. Per la mano d'opera, trasporti e noli, saranno liquidati secondo le tariffe locali vigenti al momento dell'esecuzione dei lavori incrementati di spese generali ed utili e con applicazione del ribasso d'asta esclusivamente su questi ultimi due addendi.</w:t>
      </w:r>
    </w:p>
    <w:p w14:paraId="46D4A356" w14:textId="77777777" w:rsidR="00C97A7B" w:rsidRDefault="00C97A7B" w:rsidP="00C97A7B">
      <w:pPr>
        <w:widowControl/>
        <w:spacing w:after="0"/>
        <w:rPr>
          <w:rFonts w:ascii="Tahoma" w:eastAsia="Times New Roman" w:hAnsi="Tahoma"/>
          <w:b/>
          <w:color w:val="000000"/>
          <w:sz w:val="20"/>
          <w:szCs w:val="24"/>
        </w:rPr>
      </w:pPr>
    </w:p>
    <w:p w14:paraId="668AEF95" w14:textId="77777777" w:rsidR="00C97A7B" w:rsidRDefault="00C97A7B" w:rsidP="00C97A7B">
      <w:pPr>
        <w:widowControl/>
        <w:spacing w:after="0"/>
        <w:rPr>
          <w:rFonts w:ascii="Tahoma" w:eastAsia="Times New Roman" w:hAnsi="Tahoma"/>
          <w:b/>
          <w:color w:val="000000"/>
          <w:sz w:val="20"/>
          <w:szCs w:val="24"/>
        </w:rPr>
      </w:pPr>
      <w:r>
        <w:rPr>
          <w:rFonts w:ascii="Tahoma" w:eastAsia="Times New Roman" w:hAnsi="Tahoma"/>
          <w:b/>
          <w:color w:val="000000"/>
          <w:sz w:val="20"/>
          <w:szCs w:val="24"/>
        </w:rPr>
        <w:t>Contabilizzazione delle varianti</w:t>
      </w:r>
    </w:p>
    <w:p w14:paraId="7B16230F" w14:textId="77777777" w:rsidR="00C97A7B" w:rsidRDefault="00C97A7B" w:rsidP="00C97A7B">
      <w:pPr>
        <w:widowControl/>
        <w:spacing w:after="0"/>
        <w:ind w:firstLine="284"/>
        <w:rPr>
          <w:rFonts w:ascii="Tahoma" w:eastAsia="Times New Roman" w:hAnsi="Tahoma"/>
          <w:color w:val="000000"/>
          <w:sz w:val="20"/>
          <w:szCs w:val="24"/>
        </w:rPr>
      </w:pPr>
      <w:r>
        <w:rPr>
          <w:rFonts w:ascii="Tahoma" w:eastAsia="Times New Roman" w:hAnsi="Tahoma"/>
          <w:color w:val="000000"/>
          <w:sz w:val="20"/>
          <w:szCs w:val="24"/>
        </w:rPr>
        <w:t>Nel caso di variante in corso d'opera gli importi in più ed in meno sono valutati con i prezzi di progetto e soggetti al ribasso d'asta che ha determinato l'aggiudicazione della gara ovvero con i prezzi offerti dall'appaltatore nella lista in sede di gara.</w:t>
      </w:r>
    </w:p>
    <w:p w14:paraId="08D413F4" w14:textId="77777777" w:rsidR="00C97A7B" w:rsidRDefault="00C97A7B" w:rsidP="00C97A7B">
      <w:pPr>
        <w:spacing w:after="0"/>
        <w:jc w:val="left"/>
        <w:rPr>
          <w:sz w:val="24"/>
          <w:szCs w:val="24"/>
        </w:rPr>
      </w:pPr>
    </w:p>
    <w:p w14:paraId="4B0E353B"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#{GUID_3B6AEF18-02A6-4BFE-A01B-9BBC1A20D76D|LIVELLO_2|TESTO_Movimento di materie_END}&amp;</w:t>
      </w:r>
      <w:bookmarkStart w:id="38" w:name="349"/>
      <w:bookmarkEnd w:id="38"/>
    </w:p>
    <w:p w14:paraId="7B1CFE1C"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3.2</w:t>
      </w:r>
    </w:p>
    <w:p w14:paraId="224D64AC"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MOVIMENTO DI MATERIE</w:t>
      </w:r>
    </w:p>
    <w:p w14:paraId="0E1BCE90" w14:textId="77777777" w:rsidR="00C97A7B" w:rsidRDefault="00C97A7B" w:rsidP="00C97A7B">
      <w:pPr>
        <w:spacing w:after="0"/>
        <w:rPr>
          <w:rFonts w:ascii="Tahoma" w:eastAsia="Times New Roman" w:hAnsi="Tahoma"/>
          <w:sz w:val="20"/>
          <w:szCs w:val="24"/>
        </w:rPr>
      </w:pPr>
    </w:p>
    <w:p w14:paraId="5BD02701" w14:textId="77777777" w:rsidR="00C97A7B" w:rsidRDefault="00C97A7B" w:rsidP="00C97A7B">
      <w:pPr>
        <w:spacing w:after="0"/>
        <w:rPr>
          <w:rFonts w:ascii="Tahoma" w:eastAsia="Times New Roman" w:hAnsi="Tahoma"/>
          <w:b/>
          <w:sz w:val="20"/>
          <w:szCs w:val="24"/>
        </w:rPr>
      </w:pPr>
      <w:r>
        <w:rPr>
          <w:rFonts w:ascii="Tahoma" w:eastAsia="Times New Roman" w:hAnsi="Tahoma"/>
          <w:b/>
          <w:sz w:val="20"/>
          <w:szCs w:val="24"/>
        </w:rPr>
        <w:t xml:space="preserve">a) Scavi e rilevati per la formazione del corpo stradale </w:t>
      </w:r>
    </w:p>
    <w:p w14:paraId="5B753025"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Il volume degli scavi e dei rilevati occorrenti per la formazione del corpo stradale e relative scarpate e cunette secondo l'andamento di progetto o di spostamenti eventuali, per la costruzione di rampe di accesso alla strada, verrà determinato col metodo delle sezioni ragguagliate, sulla base di quelle indicate nella planimetria e nel profilo longitudinale, che saranno rilevate in contraddittorio dell'Appaltatore all'atto della consegna, salvo la facoltà all'Appaltatore ed alla Direzione dei Lavori di intercalarne altre o di spostarle a monte o a valle per meglio adattarle alla configurazione dei terreni. In base alle sezioni ed al profilo longitudinale contrattuale verranno determinati dei punti di passaggio fra scavo e rilevato per tenerne il debito conto nella </w:t>
      </w:r>
      <w:r>
        <w:rPr>
          <w:rFonts w:ascii="Tahoma" w:eastAsia="Times New Roman" w:hAnsi="Tahoma"/>
          <w:sz w:val="20"/>
          <w:szCs w:val="24"/>
        </w:rPr>
        <w:lastRenderedPageBreak/>
        <w:t xml:space="preserve">valutazione dei relativi volumi. </w:t>
      </w:r>
    </w:p>
    <w:p w14:paraId="39C4F307"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Lo scavo del cassonetto nei tratti in trincea, delle cunette e dei fossi di guardia sarà pagato col prezzo dello scavo di sbancamento. L'eventuale scavo del cassonetto nei tratti in rilevato si intenderà compensato col prezzo relativo alla formazione del rilevato stesso. </w:t>
      </w:r>
    </w:p>
    <w:p w14:paraId="53AC297C"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Si precisa che il prezzo relativo agli scavi di sbancamento comprenderà il taglio delle piante, l'estirpazione delle ceppaie, radici, arbusti, ecc., lo scavo, il trasporto dei materiali a rifiuto, a reimpiego o a deposito a qualsiasi distanza, la perfetta profilatura delle scarpate, nonché tutti gli oneri derivanti dagli eventuali puntellamenti ed armature, quelli già ricordati per l'apertura e la manutenzione di strade private, diritti di passo, occupazione di terreni per depositi temporanei e definitivi, per esaurimenti d'acqua di qualsiasi importanza, ecc. </w:t>
      </w:r>
    </w:p>
    <w:p w14:paraId="0EC06100"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Nel caso di scavi di sbancamento di materie di qualsiasi natura e consistenza (con l'esclusione della sola roccia da mina) si intenderanno compensati nel prezzo relativo i trovanti rocciosi ed i relitti di murature di volume non superiore a 0,50 m³; quelli, invece, di cubatura superiore a 0,50 m³ verranno compensati con i relativi prezzi di elenco ed il loro volume verrà detratto da quello degli scavi di materie. </w:t>
      </w:r>
    </w:p>
    <w:p w14:paraId="05560682"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Gli scavi per la formazione di cunette, fossi, canali, l'approfondimento di fossi esistenti verranno valutati e compensati col prezzo degli scavi di sbancamento. </w:t>
      </w:r>
    </w:p>
    <w:p w14:paraId="504463F8"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I materiali provenienti dagli scavi in genere, in quanto idonei, resteranno di proprietà della Stazione Appaltante che ne disporrà come riterrà opportuno. Il loro trasporto nei luoghi di accatastamento o immagazzinamento sarà a carico dell'Appaltatore, intendendosi l'onere compreso e compensato coi relativi prezzi di elenco riguardanti gli scavi. </w:t>
      </w:r>
    </w:p>
    <w:p w14:paraId="6ABC0A84"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Il volume dei rilevati costruiti con materiali provenienti da cave di prestito verrà ricavato in base alla differenza tra il volume totale del rilevato ed il volume degli scavi contabilizzati e ritenuti idonei per il reimpiego dalla Direzione dei Lavori. </w:t>
      </w:r>
    </w:p>
    <w:p w14:paraId="4AEC5999"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Nel prezzo dei rilevati eseguiti con materiali provenienti da cave di prestito private si intenderanno compresi gli oneri relativi all'acquisto dei materiali idonei in cave di prestito private, alla sistemazione delle cave a lavoro ultimato, al pagamento di tutte le indennità di occupazione di terreni, le spese per permessi, oneri e diritti per estrazione dai fiumi e simili e da aree demaniali, e, per quanto applicabili, gli oneri tutti citati per scavi di sbancamento.</w:t>
      </w:r>
    </w:p>
    <w:p w14:paraId="68360EC8"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Il prezzo relativo alla sistemazione dei rilevati verrà applicato al volume totale dei rilevati costruiti per la formazione della sede stradale e relative pertinenze.</w:t>
      </w:r>
    </w:p>
    <w:p w14:paraId="7CE20471"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Esso comprenderà anche gli oneri della preparazione del piano di posa del rilevato, come: l'eliminazione di radici, erbe, limi e le argille contenenti materie organiche e microrganismi che sussistano sul piano di posa del rilevato stradale. </w:t>
      </w:r>
    </w:p>
    <w:p w14:paraId="05D15193"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Ove sia necessario, a richiesta della Direzione dei Lavori, l'Appaltatore dovrà provvedere alla stabilizzazione del terreno in quanto appartenente alle categorie A/6-A/7 o quando l'indice di gruppo del terreno non superi 10, mescolando allo strato superficiale del terreno correttivo in rapporto occorrente a realizzare per lo spessore prescritto uno strato sufficientemente compatto ed impermeabile capace di evitare </w:t>
      </w:r>
      <w:proofErr w:type="spellStart"/>
      <w:r>
        <w:rPr>
          <w:rFonts w:ascii="Tahoma" w:eastAsia="Times New Roman" w:hAnsi="Tahoma"/>
          <w:sz w:val="20"/>
          <w:szCs w:val="24"/>
        </w:rPr>
        <w:t>rifluimenti</w:t>
      </w:r>
      <w:proofErr w:type="spellEnd"/>
      <w:r>
        <w:rPr>
          <w:rFonts w:ascii="Tahoma" w:eastAsia="Times New Roman" w:hAnsi="Tahoma"/>
          <w:sz w:val="20"/>
          <w:szCs w:val="24"/>
        </w:rPr>
        <w:t xml:space="preserve"> di argilla negli strati superiori o affondamenti di questi.</w:t>
      </w:r>
    </w:p>
    <w:p w14:paraId="4A3324E1"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Tale strato comunque dovrà essere compattato fino ad ottenere una densità del 95% della massima.</w:t>
      </w:r>
    </w:p>
    <w:p w14:paraId="271AB996"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Inoltre è compreso l'onere del rivestimento delle scarpate con terra vegetale per uno spessore di almeno 20 cm e la perfetta profilatura delle scarpate. Il prezzo per lo scavo di sbancamento di bonifica verrà corrisposto solo nel caso che a richiesta della Direzione dei Lavori venga spinto a profondità superiore a 20 cm sotto il piano di campagna e solo per i volumi eccedenti tale profondità; e a detto maggiore volume eccedente verrà estesa la contabilizzazione del rilevato.</w:t>
      </w:r>
    </w:p>
    <w:p w14:paraId="474E6DE8"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La compattazione meccanica del rilevato sarà valutata a metro cubo quale compenso in aggiunta a quello della formazione dei rilevati, quando detta compattazione venga esplicitamente ordinata dalla Direzione dei Lavori. </w:t>
      </w:r>
    </w:p>
    <w:p w14:paraId="26DB42E3" w14:textId="77777777" w:rsidR="00C97A7B" w:rsidRDefault="00C97A7B" w:rsidP="00C97A7B">
      <w:pPr>
        <w:spacing w:after="0"/>
        <w:rPr>
          <w:rFonts w:ascii="Tahoma" w:eastAsia="Times New Roman" w:hAnsi="Tahoma"/>
          <w:b/>
          <w:sz w:val="20"/>
          <w:szCs w:val="24"/>
        </w:rPr>
      </w:pPr>
    </w:p>
    <w:p w14:paraId="44A1BDA1" w14:textId="77777777" w:rsidR="00C97A7B" w:rsidRDefault="00C97A7B" w:rsidP="00C97A7B">
      <w:pPr>
        <w:spacing w:after="0"/>
        <w:rPr>
          <w:rFonts w:ascii="Tahoma" w:eastAsia="Times New Roman" w:hAnsi="Tahoma"/>
          <w:sz w:val="20"/>
          <w:szCs w:val="24"/>
        </w:rPr>
      </w:pPr>
      <w:r>
        <w:rPr>
          <w:rFonts w:ascii="Tahoma" w:eastAsia="Times New Roman" w:hAnsi="Tahoma"/>
          <w:b/>
          <w:sz w:val="20"/>
          <w:szCs w:val="24"/>
        </w:rPr>
        <w:t xml:space="preserve">b) Scavi di sbancamento e scavi di fondazione all'asciutto o in presenza di acqua per l'impianto di opere d'arte, ecc. </w:t>
      </w:r>
    </w:p>
    <w:p w14:paraId="0BF4A80D"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Le opere da eseguire nelle trincee verranno considerati come scavi per fondazione solamente quando eseguiti al di sotto del piano orizzontale o inclinato, secondo il pendio longitudinale, del fondo della cunetta sistemata. Tutti gli altri scavi eseguiti al di sopra del predetto piano, anche ove servano per fare luogo alle murature, verranno considerati come scavi di sbancamento e saranno pagati a metro cubo coi prezzi relativi di elenco.</w:t>
      </w:r>
    </w:p>
    <w:p w14:paraId="43DFB70A"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Nelle opere esterne alle trincee saranno considerati scavi di fondazione quelli posti al di sotto del piano di sbancamento o quelli al di sotto del piano orizzontale passante dal punto più basso del terreno naturale interessante la fondazione dell'opera. </w:t>
      </w:r>
    </w:p>
    <w:p w14:paraId="787DDCF0"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Gli scavi di fondazione saranno computati per un volume eguale a quello risultante dal prodotto della base di fondazione per la sua profondità sotto il piano orizzontale e soltanto al volume così calcolato si applicheranno </w:t>
      </w:r>
      <w:r>
        <w:rPr>
          <w:rFonts w:ascii="Tahoma" w:eastAsia="Times New Roman" w:hAnsi="Tahoma"/>
          <w:sz w:val="20"/>
          <w:szCs w:val="24"/>
        </w:rPr>
        <w:lastRenderedPageBreak/>
        <w:t xml:space="preserve">i vari prezzi fissati nell'elenco per tali scavi, vale a dire che essi saranno valutati sempre come eseguiti a pareti verticali ritenendosi già compreso e compensato col prezzo unitario di elenco ogni maggiore scavo e qualunque armatura e </w:t>
      </w:r>
      <w:proofErr w:type="spellStart"/>
      <w:r>
        <w:rPr>
          <w:rFonts w:ascii="Tahoma" w:eastAsia="Times New Roman" w:hAnsi="Tahoma"/>
          <w:sz w:val="20"/>
          <w:szCs w:val="24"/>
        </w:rPr>
        <w:t>puntellazione</w:t>
      </w:r>
      <w:proofErr w:type="spellEnd"/>
      <w:r>
        <w:rPr>
          <w:rFonts w:ascii="Tahoma" w:eastAsia="Times New Roman" w:hAnsi="Tahoma"/>
          <w:sz w:val="20"/>
          <w:szCs w:val="24"/>
        </w:rPr>
        <w:t xml:space="preserve"> occorrente. </w:t>
      </w:r>
    </w:p>
    <w:p w14:paraId="0F91C905"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Nel caso in cui venisse ordinato che il fondo dei cavi abbia pareti scampanate, la base di fondazione di cui sopra si intenderà limitata alla proiezione delle sovrastanti pareti verticali e lo scavo di scampanatura, per il suo effettivo volume, andrà in aggiunta a quello precedentemente computato. </w:t>
      </w:r>
    </w:p>
    <w:p w14:paraId="66D97298" w14:textId="77777777" w:rsidR="00C97A7B" w:rsidRDefault="00C97A7B" w:rsidP="00C97A7B">
      <w:pPr>
        <w:spacing w:after="0"/>
        <w:ind w:firstLine="284"/>
        <w:rPr>
          <w:rFonts w:ascii="Tahoma" w:eastAsia="Times New Roman" w:hAnsi="Tahoma"/>
          <w:sz w:val="20"/>
          <w:szCs w:val="24"/>
        </w:rPr>
      </w:pPr>
    </w:p>
    <w:p w14:paraId="3F0E30BF"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Coi prezzi di elenco per gli scavi di fondazione e di sbancamento l'Appaltatore dovrà ritenersi compensato: </w:t>
      </w:r>
    </w:p>
    <w:p w14:paraId="1E70EF13" w14:textId="77777777" w:rsidR="00C97A7B" w:rsidRDefault="00C97A7B" w:rsidP="00C97A7B">
      <w:pPr>
        <w:spacing w:after="0"/>
        <w:ind w:left="568" w:hanging="284"/>
        <w:rPr>
          <w:rFonts w:ascii="Tahoma" w:eastAsia="Times New Roman" w:hAnsi="Tahoma"/>
          <w:sz w:val="20"/>
          <w:szCs w:val="24"/>
        </w:rPr>
      </w:pPr>
      <w:r>
        <w:rPr>
          <w:rFonts w:ascii="Tahoma" w:eastAsia="Times New Roman" w:hAnsi="Tahoma"/>
          <w:sz w:val="20"/>
          <w:szCs w:val="24"/>
        </w:rPr>
        <w:t xml:space="preserve">1) di tutti gli oneri e spese relativi agli scavi in genere da eseguirsi con qualsiasi mezzo, paleggi, innalzamento, carico, trasporto e scarico in rilevato o rinterro o a rifiuto a qualsiasi distanza, sistemazione delle materie di rifiuto e indennità di deposito; </w:t>
      </w:r>
    </w:p>
    <w:p w14:paraId="6D905DA7" w14:textId="77777777" w:rsidR="00C97A7B" w:rsidRDefault="00C97A7B" w:rsidP="00C97A7B">
      <w:pPr>
        <w:spacing w:after="0"/>
        <w:ind w:left="568" w:hanging="284"/>
        <w:rPr>
          <w:rFonts w:ascii="Tahoma" w:eastAsia="Times New Roman" w:hAnsi="Tahoma"/>
          <w:sz w:val="20"/>
          <w:szCs w:val="24"/>
        </w:rPr>
      </w:pPr>
      <w:r>
        <w:rPr>
          <w:rFonts w:ascii="Tahoma" w:eastAsia="Times New Roman" w:hAnsi="Tahoma"/>
          <w:sz w:val="20"/>
          <w:szCs w:val="24"/>
        </w:rPr>
        <w:t>2) delle spese occorrenti: per la regolarizzazione delle scarpate o pareti, per lo spianamento del fondo, per le formazioni di gradoni, per il successivo rinterro all'</w:t>
      </w:r>
      <w:proofErr w:type="spellStart"/>
      <w:r>
        <w:rPr>
          <w:rFonts w:ascii="Tahoma" w:eastAsia="Times New Roman" w:hAnsi="Tahoma"/>
          <w:sz w:val="20"/>
          <w:szCs w:val="24"/>
        </w:rPr>
        <w:t>ingiro</w:t>
      </w:r>
      <w:proofErr w:type="spellEnd"/>
      <w:r>
        <w:rPr>
          <w:rFonts w:ascii="Tahoma" w:eastAsia="Times New Roman" w:hAnsi="Tahoma"/>
          <w:sz w:val="20"/>
          <w:szCs w:val="24"/>
        </w:rPr>
        <w:t xml:space="preserve"> delle murature, attorno e sopra le condotte d'acqua o altre condotte in genere, e sopra le fognature o drenaggi secondo le sagome definitive di progetto; </w:t>
      </w:r>
    </w:p>
    <w:p w14:paraId="5665C0E2" w14:textId="77777777" w:rsidR="00C97A7B" w:rsidRDefault="00C97A7B" w:rsidP="00C97A7B">
      <w:pPr>
        <w:spacing w:after="0"/>
        <w:ind w:left="568" w:hanging="284"/>
        <w:rPr>
          <w:rFonts w:ascii="Tahoma" w:eastAsia="Times New Roman" w:hAnsi="Tahoma"/>
          <w:sz w:val="20"/>
          <w:szCs w:val="24"/>
        </w:rPr>
      </w:pPr>
      <w:r>
        <w:rPr>
          <w:rFonts w:ascii="Tahoma" w:eastAsia="Times New Roman" w:hAnsi="Tahoma"/>
          <w:sz w:val="20"/>
          <w:szCs w:val="24"/>
        </w:rPr>
        <w:t xml:space="preserve">3) dell'eventuale perdita parziale o anche totale dei legnami impiegati nelle </w:t>
      </w:r>
      <w:proofErr w:type="spellStart"/>
      <w:r>
        <w:rPr>
          <w:rFonts w:ascii="Tahoma" w:eastAsia="Times New Roman" w:hAnsi="Tahoma"/>
          <w:sz w:val="20"/>
          <w:szCs w:val="24"/>
        </w:rPr>
        <w:t>puntellazioni</w:t>
      </w:r>
      <w:proofErr w:type="spellEnd"/>
      <w:r>
        <w:rPr>
          <w:rFonts w:ascii="Tahoma" w:eastAsia="Times New Roman" w:hAnsi="Tahoma"/>
          <w:sz w:val="20"/>
          <w:szCs w:val="24"/>
        </w:rPr>
        <w:t xml:space="preserve"> ed armature di qualsiasi entità, occorrenti per l'esecuzione degli scavi di fondazione o per sostenere ed evitare franamenti di pareti di cavi di sbancamento; </w:t>
      </w:r>
    </w:p>
    <w:p w14:paraId="18A589A0" w14:textId="77777777" w:rsidR="00C97A7B" w:rsidRDefault="00C97A7B" w:rsidP="00C97A7B">
      <w:pPr>
        <w:spacing w:after="0"/>
        <w:ind w:left="568" w:hanging="284"/>
        <w:rPr>
          <w:rFonts w:ascii="Tahoma" w:eastAsia="Times New Roman" w:hAnsi="Tahoma"/>
          <w:sz w:val="20"/>
          <w:szCs w:val="24"/>
        </w:rPr>
      </w:pPr>
      <w:r>
        <w:rPr>
          <w:rFonts w:ascii="Tahoma" w:eastAsia="Times New Roman" w:hAnsi="Tahoma"/>
          <w:sz w:val="20"/>
          <w:szCs w:val="24"/>
        </w:rPr>
        <w:t xml:space="preserve">4) ogni altra spesa infine necessaria per l'esecuzione completa degli scavi di cui trattasi. </w:t>
      </w:r>
    </w:p>
    <w:p w14:paraId="219D8BB4"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Gli scavi e tagli di scarpate da praticare nei rilevati già eseguiti, per la costruzione di opere murarie e di consolidamento, saranno sempre considerati e contabilizzati come scavi di sbancamento per tutta la parte sovrastante al terreno preesistente alla formazione dei rialzi stessi. </w:t>
      </w:r>
    </w:p>
    <w:p w14:paraId="3405444B"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I prezzi di elenco per gli scavi di fondazione sono applicabili unicamente e rispettivamente al volume di scavo ricadente in ciascuna zona compresa fra la quota del piano superiore e quella del piano inferiore che delimitano le varie zone successive, a partire dalla quota di sbancamento fissata in uno dei modi sopra indicati e proseguendo verso il basso. </w:t>
      </w:r>
    </w:p>
    <w:p w14:paraId="4919CB29"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Pertanto la valutazione definitiva dello scavo eseguito entro i limiti di ciascuna zona risulterà dal volume ricadente nella zona stessa e dall'applicazione del volume stesso del prezzo di elenco fissato per lo scavo nella ripetuta zona. </w:t>
      </w:r>
    </w:p>
    <w:p w14:paraId="7D93BC88"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I prezzi relativi agli scavi di fondazione saranno applicabili anche agli scavi di fondazione per pozzi qualunque sia la loro sezione planimetrica. </w:t>
      </w:r>
    </w:p>
    <w:p w14:paraId="27B4A90A"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Con i prezzi d'elenco, si intendono, altresì, compensati gli oneri che si incontrino per scavi che si debbano eseguire in presenza di acqua fino a quando l'altezza dell'acqua stabilizzata nei cavi non superi l'altezza di 20 cm ed essa non dipenda da cause occasionali. </w:t>
      </w:r>
    </w:p>
    <w:p w14:paraId="58C5B362"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Nei detti prezzi sono, altresì, compresi gli oneri derivanti da infiltrazioni di acqua fino a quando la portata si mantenga pari od inferiore a 5 litri al minuto primo e siano indipendenti da cause accidentali. È compreso l'onere dei rinterri dei cavi intorno alle murature di fondazione e la </w:t>
      </w:r>
      <w:proofErr w:type="spellStart"/>
      <w:r>
        <w:rPr>
          <w:rFonts w:ascii="Tahoma" w:eastAsia="Times New Roman" w:hAnsi="Tahoma"/>
          <w:sz w:val="20"/>
          <w:szCs w:val="24"/>
        </w:rPr>
        <w:t>pilonatura</w:t>
      </w:r>
      <w:proofErr w:type="spellEnd"/>
      <w:r>
        <w:rPr>
          <w:rFonts w:ascii="Tahoma" w:eastAsia="Times New Roman" w:hAnsi="Tahoma"/>
          <w:sz w:val="20"/>
          <w:szCs w:val="24"/>
        </w:rPr>
        <w:t xml:space="preserve"> delle materie stesse. </w:t>
      </w:r>
    </w:p>
    <w:p w14:paraId="337F8CC5" w14:textId="77777777" w:rsidR="00C97A7B" w:rsidRDefault="00C97A7B" w:rsidP="00C97A7B">
      <w:pPr>
        <w:spacing w:after="0"/>
        <w:rPr>
          <w:rFonts w:ascii="Tahoma" w:eastAsia="Times New Roman" w:hAnsi="Tahoma"/>
          <w:b/>
          <w:sz w:val="20"/>
          <w:szCs w:val="24"/>
        </w:rPr>
      </w:pPr>
    </w:p>
    <w:p w14:paraId="3F48370F" w14:textId="77777777" w:rsidR="00C97A7B" w:rsidRDefault="00C97A7B" w:rsidP="00C97A7B">
      <w:pPr>
        <w:spacing w:after="0"/>
        <w:rPr>
          <w:rFonts w:ascii="Tahoma" w:eastAsia="Times New Roman" w:hAnsi="Tahoma"/>
          <w:b/>
          <w:sz w:val="20"/>
          <w:szCs w:val="24"/>
        </w:rPr>
      </w:pPr>
      <w:r>
        <w:rPr>
          <w:rFonts w:ascii="Tahoma" w:eastAsia="Times New Roman" w:hAnsi="Tahoma"/>
          <w:b/>
          <w:sz w:val="20"/>
          <w:szCs w:val="24"/>
        </w:rPr>
        <w:t>c) Scavi subacquei</w:t>
      </w:r>
    </w:p>
    <w:p w14:paraId="50751DF4" w14:textId="77777777" w:rsidR="00C97A7B" w:rsidRDefault="00C97A7B" w:rsidP="00C97A7B">
      <w:pPr>
        <w:spacing w:after="0"/>
        <w:ind w:left="284"/>
        <w:rPr>
          <w:rFonts w:ascii="Tahoma" w:eastAsia="Times New Roman" w:hAnsi="Tahoma"/>
          <w:sz w:val="20"/>
          <w:szCs w:val="24"/>
        </w:rPr>
      </w:pPr>
      <w:r>
        <w:rPr>
          <w:rFonts w:ascii="Tahoma" w:eastAsia="Times New Roman" w:hAnsi="Tahoma"/>
          <w:sz w:val="20"/>
          <w:szCs w:val="24"/>
        </w:rPr>
        <w:t xml:space="preserve">Quando nei cavi di fondazione l'acqua che si stabilisce naturalmente superi i 20 cm, per la parte eccedente tale limite verrà corrisposto il compenso per scavo subacqueo. </w:t>
      </w:r>
    </w:p>
    <w:p w14:paraId="380AFBDF" w14:textId="77777777" w:rsidR="00C97A7B" w:rsidRDefault="00C97A7B" w:rsidP="00C97A7B">
      <w:pPr>
        <w:spacing w:after="0"/>
        <w:ind w:left="284"/>
        <w:rPr>
          <w:rFonts w:ascii="Tahoma" w:eastAsia="Times New Roman" w:hAnsi="Tahoma"/>
          <w:sz w:val="20"/>
          <w:szCs w:val="24"/>
        </w:rPr>
      </w:pPr>
      <w:r>
        <w:rPr>
          <w:rFonts w:ascii="Tahoma" w:eastAsia="Times New Roman" w:hAnsi="Tahoma"/>
          <w:sz w:val="20"/>
          <w:szCs w:val="24"/>
        </w:rPr>
        <w:t xml:space="preserve">Qualora la Direzione dei Lavori ritenesse di fare eseguire l'esaurimento dell'acqua o il prosciugamento dei cavi, allo scavo verrà applicato il prezzo normale dei cavi di fondazione. </w:t>
      </w:r>
    </w:p>
    <w:p w14:paraId="186D78E0" w14:textId="77777777" w:rsidR="00C97A7B" w:rsidRDefault="00C97A7B" w:rsidP="00C97A7B">
      <w:pPr>
        <w:spacing w:after="0"/>
        <w:rPr>
          <w:rFonts w:ascii="Tahoma" w:eastAsia="Times New Roman" w:hAnsi="Tahoma"/>
          <w:b/>
          <w:sz w:val="20"/>
          <w:szCs w:val="24"/>
        </w:rPr>
      </w:pPr>
    </w:p>
    <w:p w14:paraId="3AC2DB34" w14:textId="77777777" w:rsidR="00C97A7B" w:rsidRDefault="00C97A7B" w:rsidP="00C97A7B">
      <w:pPr>
        <w:spacing w:after="0"/>
        <w:rPr>
          <w:rFonts w:ascii="Tahoma" w:eastAsia="Times New Roman" w:hAnsi="Tahoma"/>
          <w:b/>
          <w:sz w:val="20"/>
          <w:szCs w:val="24"/>
        </w:rPr>
      </w:pPr>
      <w:r>
        <w:rPr>
          <w:rFonts w:ascii="Tahoma" w:eastAsia="Times New Roman" w:hAnsi="Tahoma"/>
          <w:b/>
          <w:sz w:val="20"/>
          <w:szCs w:val="24"/>
        </w:rPr>
        <w:t xml:space="preserve">d) Prosciugamenti </w:t>
      </w:r>
    </w:p>
    <w:p w14:paraId="60602BB6" w14:textId="77777777" w:rsidR="00C97A7B" w:rsidRDefault="00C97A7B" w:rsidP="00C97A7B">
      <w:pPr>
        <w:spacing w:after="0"/>
        <w:ind w:left="284"/>
        <w:rPr>
          <w:rFonts w:ascii="Tahoma" w:eastAsia="Times New Roman" w:hAnsi="Tahoma"/>
          <w:sz w:val="20"/>
          <w:szCs w:val="24"/>
        </w:rPr>
      </w:pPr>
      <w:r>
        <w:rPr>
          <w:rFonts w:ascii="Tahoma" w:eastAsia="Times New Roman" w:hAnsi="Tahoma"/>
          <w:sz w:val="20"/>
          <w:szCs w:val="24"/>
        </w:rPr>
        <w:t xml:space="preserve">Nel caso che la Stazione Appaltante si avvalga della facoltà di eseguire in economia gli esaurimenti e prosciugamenti dei cavi, pagando a parte questo lavoro (come pure se ciò debba farsi per mancanza di prezzi di scavi subacquei), lo scavo entro i cavi così prosciugati verrà pagato come gli scavi di fondazione all'asciutto o in presenza di acqua, indicati alla lettera b), applicando i prezzi relativi a questi scavi per ciascuna zona, a partire quindi, in questo caso, dal piano di sbancamento. </w:t>
      </w:r>
    </w:p>
    <w:p w14:paraId="6479CC71" w14:textId="77777777" w:rsidR="00C97A7B" w:rsidRDefault="00C97A7B" w:rsidP="00C97A7B">
      <w:pPr>
        <w:spacing w:after="0"/>
        <w:ind w:left="284"/>
        <w:rPr>
          <w:rFonts w:ascii="Tahoma" w:eastAsia="Times New Roman" w:hAnsi="Tahoma"/>
          <w:sz w:val="20"/>
          <w:szCs w:val="24"/>
        </w:rPr>
      </w:pPr>
      <w:r>
        <w:rPr>
          <w:rFonts w:ascii="Tahoma" w:eastAsia="Times New Roman" w:hAnsi="Tahoma"/>
          <w:sz w:val="20"/>
          <w:szCs w:val="24"/>
        </w:rPr>
        <w:t xml:space="preserve"> </w:t>
      </w:r>
    </w:p>
    <w:p w14:paraId="2FA4F766"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#{GUID_C2806633-091C-490C-BD2E-CC0195DC9BF3|LIVELLO_2|TESTO_Ture provvisionali - Paratie subalvee_END}&amp;</w:t>
      </w:r>
      <w:bookmarkStart w:id="39" w:name="348"/>
      <w:bookmarkEnd w:id="39"/>
    </w:p>
    <w:p w14:paraId="66B3D08E" w14:textId="6200A0D1" w:rsidR="00C97A7B" w:rsidRDefault="00C97A7B" w:rsidP="00C97A7B">
      <w:pPr>
        <w:spacing w:after="0"/>
        <w:jc w:val="center"/>
        <w:rPr>
          <w:rFonts w:ascii="Tahoma" w:eastAsia="Times New Roman" w:hAnsi="Tahoma"/>
          <w:b/>
          <w:color w:val="000000"/>
          <w:sz w:val="20"/>
          <w:szCs w:val="24"/>
        </w:rPr>
      </w:pPr>
      <w:r>
        <w:rPr>
          <w:rFonts w:ascii="Tahoma" w:eastAsia="Times New Roman" w:hAnsi="Tahoma"/>
          <w:b/>
          <w:color w:val="000000"/>
          <w:sz w:val="20"/>
          <w:szCs w:val="24"/>
        </w:rPr>
        <w:t>Art. 3.3</w:t>
      </w:r>
    </w:p>
    <w:p w14:paraId="1B54C2E3" w14:textId="77777777" w:rsidR="00C97A7B" w:rsidRDefault="00C97A7B" w:rsidP="00C97A7B">
      <w:pPr>
        <w:spacing w:after="0"/>
        <w:jc w:val="center"/>
        <w:rPr>
          <w:rFonts w:ascii="Tahoma" w:eastAsia="Times New Roman" w:hAnsi="Tahoma"/>
          <w:b/>
          <w:color w:val="000000"/>
          <w:sz w:val="20"/>
          <w:szCs w:val="24"/>
        </w:rPr>
      </w:pPr>
      <w:r>
        <w:rPr>
          <w:rFonts w:ascii="Tahoma" w:eastAsia="Times New Roman" w:hAnsi="Tahoma"/>
          <w:b/>
          <w:color w:val="000000"/>
          <w:sz w:val="20"/>
          <w:szCs w:val="24"/>
        </w:rPr>
        <w:t>MURATURE E CONGLOMERATI</w:t>
      </w:r>
    </w:p>
    <w:p w14:paraId="1DC53624" w14:textId="77777777" w:rsidR="00C97A7B" w:rsidRDefault="00C97A7B" w:rsidP="00C97A7B">
      <w:pPr>
        <w:spacing w:after="0"/>
        <w:rPr>
          <w:rFonts w:ascii="Tahoma" w:eastAsia="Times New Roman" w:hAnsi="Tahoma"/>
          <w:color w:val="000000"/>
          <w:sz w:val="20"/>
          <w:szCs w:val="24"/>
        </w:rPr>
      </w:pPr>
    </w:p>
    <w:p w14:paraId="31BAB4FB"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b/>
          <w:color w:val="000000"/>
          <w:sz w:val="20"/>
          <w:szCs w:val="24"/>
        </w:rPr>
        <w:t>a) Murature in genere</w:t>
      </w:r>
      <w:r>
        <w:rPr>
          <w:rFonts w:ascii="Tahoma" w:eastAsia="Times New Roman" w:hAnsi="Tahoma"/>
          <w:color w:val="000000"/>
          <w:sz w:val="20"/>
          <w:szCs w:val="24"/>
        </w:rPr>
        <w:t xml:space="preserve"> - Tutte le murature in genere, salvo le eccezioni appresso specificate, saranno misurate geometricamente, a volume o a superficie, secondo la loro categoria, in base a misure prese sul vivo dei muri, esclusi cioè intonaci e dedotti i vani, nonché i materiali di differente natura in esse compenetrati e che devono essere pagati con altri prezzi di tariffa. </w:t>
      </w:r>
    </w:p>
    <w:p w14:paraId="62BDD9F9"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Nei prezzi di tutte le opere in muratura, tanto in fondazione quanto in elevazione, si intenderà sempre </w:t>
      </w:r>
      <w:r>
        <w:rPr>
          <w:rFonts w:ascii="Tahoma" w:eastAsia="Times New Roman" w:hAnsi="Tahoma"/>
          <w:color w:val="000000"/>
          <w:sz w:val="20"/>
          <w:szCs w:val="24"/>
        </w:rPr>
        <w:lastRenderedPageBreak/>
        <w:t xml:space="preserve">compresa qualunque spesa per le impalcature e i ponti di servizio di qualsiasi importanza, per il carico, trasporto, innalzamento o discesa e scarico a piè d'opera dei materiali di ogni peso e volume, e per tutte le manovre diverse, occorrenti per la costruzione delle opere stesse, qualunque sia la loro altezza o profondità di esecuzione, e qualunque sia la grossezza e la forma delle murature, nonché per le murature in elevazione, il paramento di faccia vista, del tipo indicato nel relativo prezzo di elenco delle murature, sempreché questo non sia previsto con pagamento separato. </w:t>
      </w:r>
    </w:p>
    <w:p w14:paraId="286008AA"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Nei prezzi delle murature di qualsiasi specie, qualora non debbano essere eseguite con paramento di faccia vista, si intende compreso il rinzaffo delle facce visibili dei muri: tale rinzaffo sarà sempre eseguito e compreso nel prezzo unitario anche a tergo dei muri che debbano essere poi caricati da terrapieni; è pure sempre compresa la formazione di feritoie regolari e regolarmente disposte nei muri per lo scolo delle acque e delle immorsature e la costruzione di tutti gli incassi per la posa in opera della pietra da taglio. </w:t>
      </w:r>
    </w:p>
    <w:p w14:paraId="0739281F"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Nei prezzi unitari delle murature da eseguire con pietrame di proprietà della Stazione Appaltante, come in generale per tutti i lavori per i quali s'impiegano materiali di proprietà della Stazione Appaltante (non ceduti all'Impresa), si intende compreso ogni trasporto, ripulitura ed adattamento dei materiali stessi per renderli idonei alla messa in opera, nonché la messa in opera degli stessi. </w:t>
      </w:r>
    </w:p>
    <w:p w14:paraId="36C4CFE1"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 murature eseguite con materiali ceduti all'Appaltatore saranno valutate con i suddetti prezzi normali delle murature con pietrame fornite dall'Appaltatore, intendendosi in questi prezzi compreso e compensato ogni trasporto ed ogni onere di lavorazione, messa in opera ecc., del pietrame ceduto. </w:t>
      </w:r>
    </w:p>
    <w:p w14:paraId="3767C16E"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Qualunque sia l'incurvatura data alla pianta ed alle sezioni trasversali dei muri, anche se si debbano costruire sotto raggio, le relative murature non potranno essere comprese nella categoria delle vòlte e saranno valutate coi prezzi delle murature rette senza alcun compenso. </w:t>
      </w:r>
    </w:p>
    <w:p w14:paraId="227478DF"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 murature rette o curve in pietrame o mattoni saranno quindi pagate a metro cubo coi prezzi di elenco stabiliti per i vari tipi, strutture e provenienza dei materiali impiegati. </w:t>
      </w:r>
    </w:p>
    <w:p w14:paraId="694DC9AB"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Le vòlte rette od oblique e gli archi in conci di pietrame o mattoni saranno pagati anche essi a volume ed a seconda del tipo, struttura e provenienza dei materiali impiegati, coi prezzi di elenco ed in essi s'intendono comprese tutte le forniture, lavorazioni e magistero per dare la vòlta in opera completa con tutti i giunti delle facce viste frontali e di intradosso profilati e stuccati.</w:t>
      </w:r>
    </w:p>
    <w:p w14:paraId="683E89F9" w14:textId="77777777" w:rsidR="00C97A7B" w:rsidRDefault="00C97A7B" w:rsidP="00C97A7B">
      <w:pPr>
        <w:spacing w:after="0"/>
        <w:ind w:firstLine="284"/>
        <w:rPr>
          <w:rFonts w:ascii="Tahoma" w:eastAsia="Times New Roman" w:hAnsi="Tahoma"/>
          <w:b/>
          <w:color w:val="000000"/>
          <w:sz w:val="20"/>
          <w:szCs w:val="24"/>
        </w:rPr>
      </w:pPr>
    </w:p>
    <w:p w14:paraId="42400207"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b/>
          <w:color w:val="000000"/>
          <w:sz w:val="20"/>
          <w:szCs w:val="24"/>
        </w:rPr>
        <w:t>b) Murature di pietra da taglio</w:t>
      </w:r>
      <w:r>
        <w:rPr>
          <w:rFonts w:ascii="Tahoma" w:eastAsia="Times New Roman" w:hAnsi="Tahoma"/>
          <w:color w:val="000000"/>
          <w:sz w:val="20"/>
          <w:szCs w:val="24"/>
        </w:rPr>
        <w:t xml:space="preserve"> - La pietra da taglio da pagarsi a volume sarà sempre valutata a metro cubo in base al volume del minimo parallelepipedo retto rettangolare, circoscrivibile a ciascun pezzo. Le lastre, i lastroni e altri pezzi, da pagarsi a superficie, saranno valutati in base al minimo rettangolo circoscrivibile. </w:t>
      </w:r>
    </w:p>
    <w:p w14:paraId="2C9AA7F4"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Nei relativi prezzi di elenco si intenderanno sempre compresi tutti gli oneri, di cui alla precedente lettera a). </w:t>
      </w:r>
    </w:p>
    <w:p w14:paraId="4429F436" w14:textId="77777777" w:rsidR="00C97A7B" w:rsidRDefault="00C97A7B" w:rsidP="00C97A7B">
      <w:pPr>
        <w:spacing w:after="0"/>
        <w:ind w:firstLine="284"/>
        <w:rPr>
          <w:rFonts w:ascii="Tahoma" w:eastAsia="Times New Roman" w:hAnsi="Tahoma"/>
          <w:b/>
          <w:color w:val="000000"/>
          <w:sz w:val="20"/>
          <w:szCs w:val="24"/>
        </w:rPr>
      </w:pPr>
    </w:p>
    <w:p w14:paraId="188A9AC7"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b/>
          <w:color w:val="000000"/>
          <w:sz w:val="20"/>
          <w:szCs w:val="24"/>
        </w:rPr>
        <w:t>c) Riempimento di pietrame a secco -</w:t>
      </w:r>
      <w:r>
        <w:rPr>
          <w:rFonts w:ascii="Tahoma" w:eastAsia="Times New Roman" w:hAnsi="Tahoma"/>
          <w:color w:val="000000"/>
          <w:sz w:val="20"/>
          <w:szCs w:val="24"/>
        </w:rPr>
        <w:t xml:space="preserve"> Il riempimento di pietrame a secco a ridosso delle murature per drenaggi, vespai, ecc. sarà valutato a metro cubo per il volume effettivo e con il relativo prezzo di elenco.</w:t>
      </w:r>
    </w:p>
    <w:p w14:paraId="186091FF" w14:textId="77777777" w:rsidR="00C97A7B" w:rsidRDefault="00C97A7B" w:rsidP="00C97A7B">
      <w:pPr>
        <w:spacing w:after="0"/>
        <w:ind w:firstLine="284"/>
        <w:rPr>
          <w:rFonts w:ascii="Tahoma" w:eastAsia="Times New Roman" w:hAnsi="Tahoma"/>
          <w:b/>
          <w:color w:val="000000"/>
          <w:sz w:val="20"/>
          <w:szCs w:val="24"/>
        </w:rPr>
      </w:pPr>
    </w:p>
    <w:p w14:paraId="4BCDA4F9"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b/>
          <w:color w:val="000000"/>
          <w:sz w:val="20"/>
          <w:szCs w:val="24"/>
        </w:rPr>
        <w:t>d) Paramenti di faccia-vista</w:t>
      </w:r>
      <w:r>
        <w:rPr>
          <w:rFonts w:ascii="Tahoma" w:eastAsia="Times New Roman" w:hAnsi="Tahoma"/>
          <w:color w:val="000000"/>
          <w:sz w:val="20"/>
          <w:szCs w:val="24"/>
        </w:rPr>
        <w:t xml:space="preserve"> - I prezzi stabiliti in tariffa per lavorazione delle facce-vista che siano da pagare separatamente alle murature, saranno applicabili, qualunque sia la qualità o provenienza del pietrame per il rivestimento, anche se, per ordine della Direzione dei Lavori, tale qualità e provenienza risultassero diverse da quelle del materiale impiegato per la costruzione della muratura interna.</w:t>
      </w:r>
    </w:p>
    <w:p w14:paraId="2B3ECD49"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Tali prezzi comprendono non solo il compenso per la lavatura delle facce viste, dei piani di posa e di combaciamento, ma anche quello per l'eventuale maggior costo del pietrame di rivestimento. </w:t>
      </w:r>
    </w:p>
    <w:p w14:paraId="2356216B"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Nella misurazione dei paramenti saranno dedotte le parti occupate da pietra da taglio, da cortine di mattoni e da pietre artificiali. </w:t>
      </w:r>
    </w:p>
    <w:p w14:paraId="3A4CCCAE" w14:textId="77777777" w:rsidR="00C97A7B" w:rsidRDefault="00C97A7B" w:rsidP="00C97A7B">
      <w:pPr>
        <w:spacing w:after="0"/>
        <w:ind w:firstLine="284"/>
        <w:rPr>
          <w:rFonts w:ascii="Tahoma" w:eastAsia="Times New Roman" w:hAnsi="Tahoma"/>
          <w:b/>
          <w:color w:val="000000"/>
          <w:sz w:val="20"/>
          <w:szCs w:val="24"/>
        </w:rPr>
      </w:pPr>
    </w:p>
    <w:p w14:paraId="2F54FBA4"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b/>
          <w:color w:val="000000"/>
          <w:sz w:val="20"/>
          <w:szCs w:val="24"/>
        </w:rPr>
        <w:t xml:space="preserve">e) Calcestruzzi, smalti, cementi armati e cappe </w:t>
      </w:r>
      <w:r>
        <w:rPr>
          <w:rFonts w:ascii="Tahoma" w:eastAsia="Times New Roman" w:hAnsi="Tahoma"/>
          <w:color w:val="000000"/>
          <w:sz w:val="20"/>
          <w:szCs w:val="24"/>
        </w:rPr>
        <w:t xml:space="preserve">- I calcestruzzi per fondazioni, murature, vòlti, ecc., gli smalti ed i cementi armati, costruiti di getto in opera, saranno in genere pagati a metro cubo di calcestruzzo o di smalto, escluso l'acciaio da impiegare per i cementi armati che verrà pagato a parte a peso, e misurati in opera in base alle dimensioni prescritte, esclusa quindi ogni eccedenza, ancorché inevitabile, dipendente dalla forma degli scavi aperti e dal modo di esecuzione dei lavori e trascurando soltanto la deduzione delle eventuali smussature previste in progetto. </w:t>
      </w:r>
    </w:p>
    <w:p w14:paraId="6A46808B"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I calcestruzzi, gli smalti ed i cementi armati costruiti di getto fuori d'opera saranno valutati sempre in ragione del loro effettivo volume, senza detrazione del volume dell'acciaio per i cementi armati quando trattasi di travi, solette, pali o altre opere simili, ed in ragione del minimo parallelepipedo retto a base rettangolare circoscrivibile a ciascuna di esse quando trattasi di pezzi sagomati o comunque ornati per decorazione, pesandosi poi sempre a parte l'acciaio occorrente per le armature interne dei cementi armati. </w:t>
      </w:r>
    </w:p>
    <w:p w14:paraId="2DBE36A7"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I lastroni di copertura in cemento armato saranno valutati a superficie comprendendo, per essi, nel relativo prezzo di tariffa anche l'acciaio occorrente per l'armatura e la malta per fissarli in opera, oltre tutti gli oneri di seguito descritti. </w:t>
      </w:r>
    </w:p>
    <w:p w14:paraId="75437C8E"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lastRenderedPageBreak/>
        <w:t xml:space="preserve">Nei prezzi di elenco dei calcestruzzi, smalti, lastroni e cementi armati sono anche compresi e compensati gli stampi di ogni forma, i casseri, casseforme e cassette per il contenimento del calcestruzzo, le armature in legname di ogni sorta grandi e piccole per sostegno degli stampi, i palchi provvisori di servizio e l'innalzamento dei materiali, nonché per le vòlte anche le centine nei limiti di portata che sono indicati nei singoli prezzi di elenco (sempreché non sia convenuto di pagarle separatamente con specifica voce di EP). </w:t>
      </w:r>
    </w:p>
    <w:p w14:paraId="390E5643"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Nei </w:t>
      </w:r>
      <w:proofErr w:type="spellStart"/>
      <w:r>
        <w:rPr>
          <w:rFonts w:ascii="Tahoma" w:eastAsia="Times New Roman" w:hAnsi="Tahoma"/>
          <w:color w:val="000000"/>
          <w:sz w:val="20"/>
          <w:szCs w:val="24"/>
        </w:rPr>
        <w:t>chiavicotti</w:t>
      </w:r>
      <w:proofErr w:type="spellEnd"/>
      <w:r>
        <w:rPr>
          <w:rFonts w:ascii="Tahoma" w:eastAsia="Times New Roman" w:hAnsi="Tahoma"/>
          <w:color w:val="000000"/>
          <w:sz w:val="20"/>
          <w:szCs w:val="24"/>
        </w:rPr>
        <w:t xml:space="preserve"> tubolari in calcestruzzo cementizio da gettarsi in opera, la parte inferiore al diametro, da gettarsi con </w:t>
      </w:r>
      <w:proofErr w:type="spellStart"/>
      <w:r>
        <w:rPr>
          <w:rFonts w:ascii="Tahoma" w:eastAsia="Times New Roman" w:hAnsi="Tahoma"/>
          <w:color w:val="000000"/>
          <w:sz w:val="20"/>
          <w:szCs w:val="24"/>
        </w:rPr>
        <w:t>modine</w:t>
      </w:r>
      <w:proofErr w:type="spellEnd"/>
      <w:r>
        <w:rPr>
          <w:rFonts w:ascii="Tahoma" w:eastAsia="Times New Roman" w:hAnsi="Tahoma"/>
          <w:color w:val="000000"/>
          <w:sz w:val="20"/>
          <w:szCs w:val="24"/>
        </w:rPr>
        <w:t xml:space="preserve">, ed i pozzi sagomati saranno contabilizzati come calcestruzzo ordinario secondo la dosatura. La parte superiore al diametro sarà calcolata come calcestruzzo per vòlti senza alcun speciale compenso per la barulla da usarsi come centinatura sfilabile. </w:t>
      </w:r>
    </w:p>
    <w:p w14:paraId="761019C9"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Le cappe sulle vòlte saranno misurate a volume, comprendendosi in esso anche lo strato superiore di protezione di malta di cemento. Nel computo del volume non verrà tenuto conto dello strato di sabbia soprastante che l'Impresa dovrà eseguire senza speciale compenso, essendo questo già compreso nel prezzo al metro cubo stabilito in elenco per le cappe sulle vòlte. </w:t>
      </w:r>
    </w:p>
    <w:p w14:paraId="62BA1EDE" w14:textId="77777777" w:rsidR="00C97A7B" w:rsidRDefault="00C97A7B" w:rsidP="00C97A7B">
      <w:pPr>
        <w:spacing w:after="0"/>
        <w:ind w:firstLine="284"/>
        <w:rPr>
          <w:rFonts w:ascii="Tahoma" w:eastAsia="Times New Roman" w:hAnsi="Tahoma"/>
          <w:b/>
          <w:color w:val="000000"/>
          <w:sz w:val="20"/>
          <w:szCs w:val="24"/>
        </w:rPr>
      </w:pPr>
    </w:p>
    <w:p w14:paraId="193F0564"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b/>
          <w:color w:val="000000"/>
          <w:sz w:val="20"/>
          <w:szCs w:val="24"/>
        </w:rPr>
        <w:t xml:space="preserve">f) Intonaci - Stucchi e rabboccature </w:t>
      </w:r>
      <w:r>
        <w:rPr>
          <w:rFonts w:ascii="Tahoma" w:eastAsia="Times New Roman" w:hAnsi="Tahoma"/>
          <w:color w:val="000000"/>
          <w:sz w:val="20"/>
          <w:szCs w:val="24"/>
        </w:rPr>
        <w:t xml:space="preserve">- Gli intonaci e gli stucchi di qualunque genere, sia a superficie piana che a superficie curva, saranno valutati a metro quadrato, applicando i prezzi della tariffa alla superficie effettiva dei muri intonacati, senza tener conto delle rientranze e delle sporgenze dal vivo dei muri per le lesene, riquadri, fasce, bugne e simili, purché le rientranze e sporgenze non superino i 10 cm. </w:t>
      </w:r>
    </w:p>
    <w:p w14:paraId="21BE7F88" w14:textId="77777777" w:rsidR="00C97A7B" w:rsidRDefault="00C97A7B" w:rsidP="00C97A7B">
      <w:pPr>
        <w:spacing w:after="0"/>
        <w:ind w:firstLine="284"/>
        <w:rPr>
          <w:rFonts w:ascii="Tahoma" w:eastAsia="Times New Roman" w:hAnsi="Tahoma"/>
          <w:color w:val="000000"/>
          <w:sz w:val="20"/>
          <w:szCs w:val="24"/>
        </w:rPr>
      </w:pPr>
    </w:p>
    <w:p w14:paraId="242F52B5"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#{GUID_C3649291-549D-46B3-AE18-D3281A015344|LIVELLO_2|TESTO_Demolizioni di murature_END}&amp;</w:t>
      </w:r>
      <w:bookmarkStart w:id="40" w:name="467"/>
      <w:bookmarkEnd w:id="40"/>
    </w:p>
    <w:p w14:paraId="4684BC7A" w14:textId="51664DAD"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3.4</w:t>
      </w:r>
    </w:p>
    <w:p w14:paraId="6D3F5C2D"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DEMOLIZIONI DI MURATURE</w:t>
      </w:r>
    </w:p>
    <w:p w14:paraId="32C00B9B" w14:textId="77777777" w:rsidR="00C97A7B" w:rsidRDefault="00C97A7B" w:rsidP="00C97A7B">
      <w:pPr>
        <w:spacing w:after="0"/>
        <w:rPr>
          <w:rFonts w:ascii="Tahoma" w:eastAsia="Times New Roman" w:hAnsi="Tahoma"/>
          <w:sz w:val="20"/>
          <w:szCs w:val="24"/>
        </w:rPr>
      </w:pPr>
    </w:p>
    <w:p w14:paraId="0C8A0A76"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I prezzi per la demolizione si applicheranno al volume effettivo delle strutture da demolire.</w:t>
      </w:r>
    </w:p>
    <w:p w14:paraId="26BFF97B"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I materiali utilizzabili che, dovessero essere reimpiegati dall'Appaltatore, a semplice richiesta della Direzione dei Lavori, verranno addebitati all'Appaltatore stesso, considerandoli come nuovi, in sostituzione dei materiali che egli avrebbe dovuto provvedere e allo stesso prezzo fissato per questi nell'elenco.</w:t>
      </w:r>
    </w:p>
    <w:p w14:paraId="2DD2A865" w14:textId="77777777" w:rsidR="00C97A7B" w:rsidRDefault="00C97A7B" w:rsidP="00C97A7B">
      <w:pPr>
        <w:spacing w:after="0"/>
        <w:rPr>
          <w:rFonts w:ascii="Tahoma" w:eastAsia="Times New Roman" w:hAnsi="Tahoma"/>
          <w:sz w:val="20"/>
          <w:szCs w:val="24"/>
        </w:rPr>
      </w:pPr>
    </w:p>
    <w:p w14:paraId="0592F3D3" w14:textId="77777777" w:rsidR="00C97A7B" w:rsidRDefault="00C97A7B" w:rsidP="00C97A7B">
      <w:pPr>
        <w:spacing w:after="0"/>
        <w:rPr>
          <w:rFonts w:ascii="Tahoma" w:eastAsia="Times New Roman" w:hAnsi="Tahoma"/>
          <w:sz w:val="20"/>
          <w:szCs w:val="24"/>
        </w:rPr>
      </w:pPr>
      <w:r>
        <w:rPr>
          <w:rFonts w:ascii="Tahoma" w:eastAsia="Times New Roman" w:hAnsi="Tahoma"/>
          <w:sz w:val="20"/>
          <w:szCs w:val="24"/>
        </w:rPr>
        <w:t xml:space="preserve">a) Demolizione di murature: </w:t>
      </w:r>
    </w:p>
    <w:p w14:paraId="71A0A3EA" w14:textId="77777777" w:rsidR="00C97A7B" w:rsidRDefault="00C97A7B" w:rsidP="00C97A7B">
      <w:pPr>
        <w:spacing w:after="0"/>
        <w:rPr>
          <w:rFonts w:ascii="Tahoma" w:eastAsia="Times New Roman" w:hAnsi="Tahoma"/>
          <w:sz w:val="20"/>
          <w:szCs w:val="24"/>
        </w:rPr>
      </w:pPr>
      <w:r>
        <w:rPr>
          <w:rFonts w:ascii="Tahoma" w:eastAsia="Times New Roman" w:hAnsi="Tahoma"/>
          <w:sz w:val="20"/>
          <w:szCs w:val="24"/>
        </w:rPr>
        <w:t>verrà, in genere, pagata a volume di muratura concretamente demolita, comprensiva di intonaci e rivestimenti a qualsiasi altezza; tutti i fori, pari o superiori a 2 m</w:t>
      </w:r>
      <w:r>
        <w:rPr>
          <w:rFonts w:ascii="Tahoma" w:eastAsia="Times New Roman" w:hAnsi="Tahoma"/>
          <w:sz w:val="20"/>
          <w:szCs w:val="24"/>
          <w:vertAlign w:val="superscript"/>
        </w:rPr>
        <w:t>2</w:t>
      </w:r>
      <w:r>
        <w:rPr>
          <w:rFonts w:ascii="Tahoma" w:eastAsia="Times New Roman" w:hAnsi="Tahoma"/>
          <w:sz w:val="20"/>
          <w:szCs w:val="24"/>
        </w:rPr>
        <w:t>, verranno sottratti. Potrà essere accreditata come demolizione in breccia quando il vano utile da ricavare non supererà la superficie di 2 m</w:t>
      </w:r>
      <w:r>
        <w:rPr>
          <w:rFonts w:ascii="Tahoma" w:eastAsia="Times New Roman" w:hAnsi="Tahoma"/>
          <w:sz w:val="20"/>
          <w:szCs w:val="24"/>
          <w:vertAlign w:val="superscript"/>
        </w:rPr>
        <w:t>2</w:t>
      </w:r>
      <w:r>
        <w:rPr>
          <w:rFonts w:ascii="Tahoma" w:eastAsia="Times New Roman" w:hAnsi="Tahoma"/>
          <w:sz w:val="20"/>
          <w:szCs w:val="24"/>
        </w:rPr>
        <w:t xml:space="preserve">, ovvero, in caso di demolizione a grande sviluppo longitudinale, quando la larghezza non supererà i 50 cm. </w:t>
      </w:r>
    </w:p>
    <w:p w14:paraId="3ABD460A" w14:textId="77777777" w:rsidR="00C97A7B" w:rsidRDefault="00C97A7B" w:rsidP="00C97A7B">
      <w:pPr>
        <w:spacing w:after="0"/>
        <w:rPr>
          <w:rFonts w:ascii="Tahoma" w:eastAsia="Times New Roman" w:hAnsi="Tahoma"/>
          <w:sz w:val="20"/>
          <w:szCs w:val="24"/>
        </w:rPr>
      </w:pPr>
    </w:p>
    <w:p w14:paraId="0A34B531" w14:textId="77777777" w:rsidR="00C97A7B" w:rsidRDefault="00C97A7B" w:rsidP="00C97A7B">
      <w:pPr>
        <w:spacing w:after="0"/>
        <w:rPr>
          <w:rFonts w:ascii="Tahoma" w:eastAsia="Times New Roman" w:hAnsi="Tahoma"/>
          <w:sz w:val="20"/>
          <w:szCs w:val="24"/>
        </w:rPr>
      </w:pPr>
      <w:r>
        <w:rPr>
          <w:rFonts w:ascii="Tahoma" w:eastAsia="Times New Roman" w:hAnsi="Tahoma"/>
          <w:sz w:val="20"/>
          <w:szCs w:val="24"/>
        </w:rPr>
        <w:t xml:space="preserve">b) Demolizione di pavimenti: </w:t>
      </w:r>
    </w:p>
    <w:p w14:paraId="2317DE30" w14:textId="77777777" w:rsidR="00C97A7B" w:rsidRDefault="00C97A7B" w:rsidP="00C97A7B">
      <w:pPr>
        <w:spacing w:after="0"/>
        <w:rPr>
          <w:rFonts w:ascii="Tahoma" w:eastAsia="Times New Roman" w:hAnsi="Tahoma"/>
          <w:sz w:val="20"/>
          <w:szCs w:val="24"/>
        </w:rPr>
      </w:pPr>
      <w:r>
        <w:rPr>
          <w:rFonts w:ascii="Tahoma" w:eastAsia="Times New Roman" w:hAnsi="Tahoma"/>
          <w:sz w:val="20"/>
          <w:szCs w:val="24"/>
        </w:rPr>
        <w:t>dovrà essere calcolata, indipendentemente dal genere e dal materiale del pavimento per la superficie visibile.</w:t>
      </w:r>
    </w:p>
    <w:p w14:paraId="65B3928E" w14:textId="77777777" w:rsidR="00C97A7B" w:rsidRDefault="00C97A7B" w:rsidP="00C97A7B">
      <w:pPr>
        <w:spacing w:after="0"/>
        <w:ind w:firstLine="284"/>
        <w:rPr>
          <w:rFonts w:ascii="Tahoma" w:eastAsia="Times New Roman" w:hAnsi="Tahoma"/>
          <w:sz w:val="20"/>
          <w:szCs w:val="24"/>
        </w:rPr>
      </w:pPr>
    </w:p>
    <w:p w14:paraId="350A377D" w14:textId="77777777" w:rsidR="00C97A7B" w:rsidRDefault="00C97A7B" w:rsidP="00C97A7B">
      <w:pPr>
        <w:spacing w:after="0"/>
        <w:jc w:val="left"/>
        <w:rPr>
          <w:rFonts w:ascii="Tahoma" w:eastAsia="Times New Roman" w:hAnsi="Tahoma"/>
          <w:b/>
          <w:color w:val="000000"/>
          <w:sz w:val="20"/>
          <w:szCs w:val="24"/>
        </w:rPr>
      </w:pPr>
      <w:r>
        <w:rPr>
          <w:rFonts w:ascii="Times New Roman" w:eastAsia="Times New Roman" w:hAnsi="Times New Roman"/>
          <w:vanish/>
          <w:color w:val="000000"/>
          <w:sz w:val="14"/>
          <w:szCs w:val="24"/>
        </w:rPr>
        <w:t>#{GUID_F3DF57B2-8AA2-42FE-B656-18059B6981F8|LIVELLO_2|TESTO_Acciaio per calcestruzzo_END}&amp;</w:t>
      </w:r>
      <w:bookmarkStart w:id="41" w:name="468"/>
      <w:bookmarkEnd w:id="41"/>
    </w:p>
    <w:p w14:paraId="63FF9172" w14:textId="1DBB29E1" w:rsidR="00C97A7B" w:rsidRDefault="00C97A7B" w:rsidP="00C97A7B">
      <w:pPr>
        <w:spacing w:after="0"/>
        <w:jc w:val="center"/>
        <w:rPr>
          <w:rFonts w:ascii="Tahoma" w:eastAsia="Times New Roman" w:hAnsi="Tahoma"/>
          <w:b/>
          <w:color w:val="000000"/>
          <w:sz w:val="20"/>
          <w:szCs w:val="24"/>
        </w:rPr>
      </w:pPr>
      <w:r>
        <w:rPr>
          <w:rFonts w:ascii="Tahoma" w:eastAsia="Times New Roman" w:hAnsi="Tahoma"/>
          <w:b/>
          <w:color w:val="000000"/>
          <w:sz w:val="20"/>
          <w:szCs w:val="24"/>
        </w:rPr>
        <w:t>Art. 3.5</w:t>
      </w:r>
    </w:p>
    <w:p w14:paraId="5E7BB6DA" w14:textId="77777777" w:rsidR="00C97A7B" w:rsidRDefault="00C97A7B" w:rsidP="00C97A7B">
      <w:pPr>
        <w:spacing w:after="0"/>
        <w:jc w:val="center"/>
        <w:rPr>
          <w:rFonts w:ascii="Tahoma" w:eastAsia="Times New Roman" w:hAnsi="Tahoma"/>
          <w:b/>
          <w:color w:val="000000"/>
          <w:sz w:val="20"/>
          <w:szCs w:val="24"/>
        </w:rPr>
      </w:pPr>
      <w:r>
        <w:rPr>
          <w:rFonts w:ascii="Tahoma" w:eastAsia="Times New Roman" w:hAnsi="Tahoma"/>
          <w:b/>
          <w:color w:val="000000"/>
          <w:sz w:val="20"/>
          <w:szCs w:val="24"/>
        </w:rPr>
        <w:t>ACCIAIO PER CALCESTRUZZO</w:t>
      </w:r>
    </w:p>
    <w:p w14:paraId="4B22AD60" w14:textId="77777777" w:rsidR="00C97A7B" w:rsidRDefault="00C97A7B" w:rsidP="00C97A7B">
      <w:pPr>
        <w:spacing w:after="0"/>
        <w:jc w:val="left"/>
        <w:rPr>
          <w:rFonts w:ascii="Tahoma" w:eastAsia="Times New Roman" w:hAnsi="Tahoma"/>
          <w:color w:val="000000"/>
          <w:sz w:val="20"/>
          <w:szCs w:val="24"/>
        </w:rPr>
      </w:pPr>
    </w:p>
    <w:p w14:paraId="0C621019"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 xml:space="preserve">Il peso dell'acciaio in barre ad aderenza migliorata di armatura del calcestruzzo verrà determinato mediante il peso teorico corrispondente ai vari diametri effettivamente prescritti, trascurando le quantità superiori alle prescrizioni, le legature e le sovrapposizioni per aggiunte non ordinate. Il peso delle armature verrà in ogni caso determinato con mezzi analitici ordinari, misurando cioè lo sviluppo lineare effettivo per ogni barra (seguendo le sagomature e </w:t>
      </w:r>
      <w:proofErr w:type="spellStart"/>
      <w:r>
        <w:rPr>
          <w:rFonts w:ascii="Tahoma" w:eastAsia="Times New Roman" w:hAnsi="Tahoma"/>
          <w:color w:val="000000"/>
          <w:sz w:val="20"/>
          <w:szCs w:val="24"/>
        </w:rPr>
        <w:t>uncinature</w:t>
      </w:r>
      <w:proofErr w:type="spellEnd"/>
      <w:r>
        <w:rPr>
          <w:rFonts w:ascii="Tahoma" w:eastAsia="Times New Roman" w:hAnsi="Tahoma"/>
          <w:color w:val="000000"/>
          <w:sz w:val="20"/>
          <w:szCs w:val="24"/>
        </w:rPr>
        <w:t>) e moltiplicandolo per il peso unitario dato dalle tabelle ufficiali UNI.</w:t>
      </w:r>
    </w:p>
    <w:p w14:paraId="291048DA"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color w:val="000000"/>
          <w:sz w:val="20"/>
          <w:szCs w:val="24"/>
        </w:rPr>
        <w:t>Col prezzo fissato, il tondino sarà fornito e dato in opera nelle casseforme, dopo aver subito tutte le piegature, sagomature e legature ordinate dalla Direzione dei Lavori, curando che la posizione dei ferri coincida rigorosamente con quella fissata nei disegni esecutivi.</w:t>
      </w:r>
    </w:p>
    <w:p w14:paraId="70C7AEC1"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L'acciaio impiegato nelle strutture in cemento armato e cemento armato precompresso verrà computato a peso ed il prezzo sarà comprensivo della sagomatura, della messa in opera, delle giunzioni, delle legature, dei distanziatori e di ogni altra lavorazione richiesta dalle prescrizioni o dalla normativa vigente.</w:t>
      </w:r>
    </w:p>
    <w:p w14:paraId="378820F8" w14:textId="77777777" w:rsidR="00C97A7B" w:rsidRDefault="00C97A7B" w:rsidP="00C97A7B">
      <w:pPr>
        <w:spacing w:after="0"/>
        <w:ind w:firstLine="284"/>
        <w:rPr>
          <w:rFonts w:ascii="Tahoma" w:eastAsia="Times New Roman" w:hAnsi="Tahoma"/>
          <w:color w:val="000000"/>
          <w:sz w:val="20"/>
          <w:szCs w:val="24"/>
        </w:rPr>
      </w:pPr>
      <w:r>
        <w:rPr>
          <w:rFonts w:ascii="Tahoma" w:eastAsia="Times New Roman" w:hAnsi="Tahoma"/>
          <w:sz w:val="20"/>
          <w:szCs w:val="24"/>
        </w:rPr>
        <w:t xml:space="preserve">Il prezzo fissato per l'acciaio armonico usato nelle armature </w:t>
      </w:r>
      <w:proofErr w:type="spellStart"/>
      <w:r>
        <w:rPr>
          <w:rFonts w:ascii="Tahoma" w:eastAsia="Times New Roman" w:hAnsi="Tahoma"/>
          <w:sz w:val="20"/>
          <w:szCs w:val="24"/>
        </w:rPr>
        <w:t>pre</w:t>
      </w:r>
      <w:proofErr w:type="spellEnd"/>
      <w:r>
        <w:rPr>
          <w:rFonts w:ascii="Tahoma" w:eastAsia="Times New Roman" w:hAnsi="Tahoma"/>
          <w:sz w:val="20"/>
          <w:szCs w:val="24"/>
        </w:rPr>
        <w:t xml:space="preserve"> o post tese, in base alla sezione utile, comprenderà la fornitura di guaine, il posizionamento, le iniezioni di cemento finali, le piastre di ancoraggio, i mezzi e materiali, la mano d'opera ed ogni altro accessorio o lavorazione necessari per la completa esecuzione dei lavori indicati.</w:t>
      </w:r>
    </w:p>
    <w:p w14:paraId="7C65917F" w14:textId="77777777" w:rsidR="00C97A7B" w:rsidRDefault="00C97A7B" w:rsidP="00C97A7B">
      <w:pPr>
        <w:spacing w:after="0"/>
        <w:jc w:val="left"/>
        <w:rPr>
          <w:sz w:val="24"/>
          <w:szCs w:val="24"/>
        </w:rPr>
      </w:pPr>
    </w:p>
    <w:p w14:paraId="5F8BB94F"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#{GUID_D94C5EBA-A9BB-4791-805C-F5D18B5083C8|LIVELLO_2|TESTO_Gabbioni metallici_END}&amp;</w:t>
      </w:r>
      <w:bookmarkStart w:id="42" w:name="469"/>
      <w:bookmarkEnd w:id="42"/>
    </w:p>
    <w:p w14:paraId="0E50F56D" w14:textId="486FE493"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w:t>
      </w:r>
      <w:r w:rsidR="00CD5564">
        <w:rPr>
          <w:rFonts w:ascii="Tahoma" w:eastAsia="Times New Roman" w:hAnsi="Tahoma"/>
          <w:b/>
          <w:sz w:val="20"/>
          <w:szCs w:val="24"/>
        </w:rPr>
        <w:t>6</w:t>
      </w:r>
    </w:p>
    <w:p w14:paraId="52E41563"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LAVORI DI METALLO</w:t>
      </w:r>
    </w:p>
    <w:p w14:paraId="1315590D" w14:textId="77777777" w:rsidR="00C97A7B" w:rsidRDefault="00C97A7B" w:rsidP="00C97A7B">
      <w:pPr>
        <w:spacing w:after="0"/>
        <w:rPr>
          <w:rFonts w:ascii="Tahoma" w:eastAsia="Times New Roman" w:hAnsi="Tahoma"/>
          <w:b/>
          <w:color w:val="000000"/>
          <w:sz w:val="20"/>
          <w:szCs w:val="24"/>
        </w:rPr>
      </w:pPr>
    </w:p>
    <w:p w14:paraId="3505F248"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color w:val="000000"/>
          <w:sz w:val="20"/>
          <w:szCs w:val="24"/>
        </w:rPr>
        <w:t>Tutti i lavori di metallo saranno in generale valutati a peso ed i relativi prezzi verranno applicati al peso effettivo dei metalli stessi a lavorazione completamente ultimata e determinato prima della loro posa in opera, con pesatura diretta fatta in contraddittorio ed a spese dell'Appaltatore, escluse ben inteso dal peso le verniciature e coloriture.</w:t>
      </w:r>
    </w:p>
    <w:p w14:paraId="402C9497"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sz w:val="20"/>
          <w:szCs w:val="24"/>
        </w:rPr>
        <w:t>Nei prezzi dei lavori in metallo è compreso ogni e qualunque compenso per forniture accessorie, per lavorazioni, montatura e posizione in opera.</w:t>
      </w:r>
    </w:p>
    <w:p w14:paraId="094D35EE" w14:textId="77777777" w:rsidR="00C97A7B" w:rsidRDefault="00C97A7B" w:rsidP="00C97A7B">
      <w:pPr>
        <w:spacing w:after="0"/>
        <w:ind w:right="1" w:firstLine="283"/>
        <w:rPr>
          <w:rFonts w:ascii="Tahoma" w:eastAsia="Times New Roman" w:hAnsi="Tahoma"/>
          <w:sz w:val="20"/>
          <w:szCs w:val="24"/>
        </w:rPr>
      </w:pPr>
    </w:p>
    <w:p w14:paraId="721AB377"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#{GUID_26CEE256-F71F-4FED-A0A4-C6E60D750184|LIVELLO_2|TESTO_Carreggiata_END}&amp;</w:t>
      </w:r>
      <w:bookmarkStart w:id="43" w:name="477"/>
      <w:bookmarkEnd w:id="43"/>
    </w:p>
    <w:p w14:paraId="0563CB6E" w14:textId="4CB87904"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w:t>
      </w:r>
      <w:r w:rsidR="00CD5564">
        <w:rPr>
          <w:rFonts w:ascii="Tahoma" w:eastAsia="Times New Roman" w:hAnsi="Tahoma"/>
          <w:b/>
          <w:sz w:val="20"/>
          <w:szCs w:val="24"/>
        </w:rPr>
        <w:t>7</w:t>
      </w:r>
    </w:p>
    <w:p w14:paraId="607FDD5A"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CARREGGIATA</w:t>
      </w:r>
    </w:p>
    <w:p w14:paraId="245BADD9" w14:textId="77777777" w:rsidR="00C97A7B" w:rsidRDefault="00C97A7B" w:rsidP="00C97A7B">
      <w:pPr>
        <w:spacing w:after="0"/>
        <w:jc w:val="left"/>
        <w:rPr>
          <w:rFonts w:ascii="Tahoma" w:eastAsia="Times New Roman" w:hAnsi="Tahoma"/>
          <w:sz w:val="20"/>
          <w:szCs w:val="24"/>
        </w:rPr>
      </w:pPr>
    </w:p>
    <w:p w14:paraId="6C2923BD" w14:textId="77777777" w:rsidR="00C97A7B" w:rsidRDefault="00C97A7B" w:rsidP="00C97A7B">
      <w:pPr>
        <w:spacing w:after="0"/>
        <w:rPr>
          <w:rFonts w:ascii="Tahoma" w:eastAsia="Times New Roman" w:hAnsi="Tahoma"/>
          <w:sz w:val="20"/>
          <w:szCs w:val="24"/>
        </w:rPr>
      </w:pPr>
      <w:r>
        <w:rPr>
          <w:rFonts w:ascii="Tahoma" w:eastAsia="Times New Roman" w:hAnsi="Tahoma"/>
          <w:b/>
          <w:sz w:val="20"/>
          <w:szCs w:val="24"/>
        </w:rPr>
        <w:t>a) Compattazione meccanica dei rilevati</w:t>
      </w:r>
      <w:r>
        <w:rPr>
          <w:rFonts w:ascii="Tahoma" w:eastAsia="Times New Roman" w:hAnsi="Tahoma"/>
          <w:sz w:val="20"/>
          <w:szCs w:val="24"/>
        </w:rPr>
        <w:t xml:space="preserve"> - La compattazione meccanica dei rilevati sarà valutata a metro cubo, quale compenso in aggiunta a quello per la formazione dei rilevati. </w:t>
      </w:r>
    </w:p>
    <w:p w14:paraId="014CF590" w14:textId="77777777" w:rsidR="00C97A7B" w:rsidRDefault="00C97A7B" w:rsidP="00C97A7B">
      <w:pPr>
        <w:spacing w:after="0"/>
        <w:rPr>
          <w:rFonts w:ascii="Tahoma" w:eastAsia="Times New Roman" w:hAnsi="Tahoma"/>
          <w:b/>
          <w:sz w:val="20"/>
          <w:szCs w:val="24"/>
        </w:rPr>
      </w:pPr>
    </w:p>
    <w:p w14:paraId="00753802" w14:textId="77777777" w:rsidR="00C97A7B" w:rsidRDefault="00C97A7B" w:rsidP="00C97A7B">
      <w:pPr>
        <w:spacing w:after="0"/>
        <w:rPr>
          <w:rFonts w:ascii="Tahoma" w:eastAsia="Times New Roman" w:hAnsi="Tahoma"/>
          <w:sz w:val="20"/>
          <w:szCs w:val="24"/>
        </w:rPr>
      </w:pPr>
      <w:r>
        <w:rPr>
          <w:rFonts w:ascii="Tahoma" w:eastAsia="Times New Roman" w:hAnsi="Tahoma"/>
          <w:b/>
          <w:sz w:val="20"/>
          <w:szCs w:val="24"/>
        </w:rPr>
        <w:t>b) Massicciata</w:t>
      </w:r>
      <w:r>
        <w:rPr>
          <w:rFonts w:ascii="Tahoma" w:eastAsia="Times New Roman" w:hAnsi="Tahoma"/>
          <w:sz w:val="20"/>
          <w:szCs w:val="24"/>
        </w:rPr>
        <w:t xml:space="preserve"> - La ghiaia ed il pietrisco ed in generale tutti i materiali per massicciate stradali si valuteranno a metro cubo, coi relativi prezzi di elenco.</w:t>
      </w:r>
    </w:p>
    <w:p w14:paraId="2BF25C07"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Normalmente la misura dovrà effettuarsi prima della posa in opera; il pietrisco o la ghiaia verranno depositati in cumuli regolari e di volume il più possibile uguale lungo la strada oppure in cataste di forma geometrica; la misurazione a scelta della Direzione dei Lavori verrà fatta con canne metriche, col mezzo di una cassa parallelepipeda senza fondo dalle dimensioni di m. 1,00 x 1,00 x 0,50 o con qualunque altro sistema idoneo. </w:t>
      </w:r>
    </w:p>
    <w:p w14:paraId="0BC13978"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All'atto della misurazione sarà facoltà della Direzione dei Lavori dividere i cumuli in tante serie, ognuna di un determinato numero, e scegliere in ciascuna serie il cumulo da misurare come campione. </w:t>
      </w:r>
    </w:p>
    <w:p w14:paraId="0EC66F46"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Il volume del cumulo misurato sarà applicato a tutti quelli della corrispondente serie e se l'Appaltatore non avrà ottemperato all'obbligo dell'uguaglianza dei cumuli dovrà sottostare al danno che potesse derivargli da tale applicazione. </w:t>
      </w:r>
    </w:p>
    <w:p w14:paraId="6DA794E0"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Tutte le spese di misurazione, comprese quelle della fornitura e trasporto della cassa e quelle per lo spandimento dei materiali, saranno a carico dell'Appaltatore e compensate coi prezzi di tariffa della ghiaia e del pietrisco. </w:t>
      </w:r>
    </w:p>
    <w:p w14:paraId="51073FA9"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Quanto sopra vale anche per i rimanenti materiali di massicciata, ghiaia e pietrisco di piccole dimensioni che potessero occorrere per le banchine di marciapiedi, piazzali ed altro, e per il sabbione a consolidamento della massicciata, nonché per le cilindrature, bitumature, quando la fornitura non sia compresa nei prezzi di questi lavori, e per qualsiasi altro scopo. </w:t>
      </w:r>
    </w:p>
    <w:p w14:paraId="1E221661"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Potrà anche essere disposta la misura in opera con convenienti norme e prescrizioni. </w:t>
      </w:r>
    </w:p>
    <w:p w14:paraId="1CC154DE" w14:textId="77777777" w:rsidR="00C97A7B" w:rsidRDefault="00C97A7B" w:rsidP="00C97A7B">
      <w:pPr>
        <w:spacing w:after="0"/>
        <w:ind w:firstLine="71"/>
        <w:rPr>
          <w:rFonts w:ascii="Tahoma" w:eastAsia="Times New Roman" w:hAnsi="Tahoma"/>
          <w:b/>
          <w:sz w:val="20"/>
          <w:szCs w:val="24"/>
        </w:rPr>
      </w:pPr>
    </w:p>
    <w:p w14:paraId="3FE18305" w14:textId="77777777" w:rsidR="00C97A7B" w:rsidRDefault="00C97A7B" w:rsidP="00C97A7B">
      <w:pPr>
        <w:spacing w:after="0"/>
        <w:ind w:firstLine="71"/>
        <w:rPr>
          <w:rFonts w:ascii="Tahoma" w:eastAsia="Times New Roman" w:hAnsi="Tahoma"/>
          <w:sz w:val="20"/>
          <w:szCs w:val="24"/>
        </w:rPr>
      </w:pPr>
      <w:r>
        <w:rPr>
          <w:rFonts w:ascii="Tahoma" w:eastAsia="Times New Roman" w:hAnsi="Tahoma"/>
          <w:b/>
          <w:sz w:val="20"/>
          <w:szCs w:val="24"/>
        </w:rPr>
        <w:t>c) Impietramento od ossatura</w:t>
      </w:r>
      <w:r>
        <w:rPr>
          <w:rFonts w:ascii="Tahoma" w:eastAsia="Times New Roman" w:hAnsi="Tahoma"/>
          <w:sz w:val="20"/>
          <w:szCs w:val="24"/>
        </w:rPr>
        <w:t xml:space="preserve"> - L'impietramento per sottofondo di massicciata verrà valutato a metro quadrato della relativa superficie e, con i prezzi di elenco stabiliti a seconda delle diverse altezze da dare al sottofondo, l'Appaltatore s'intenderà compensato di tutti gli oneri ed obblighi prescritti. La misura ed il pagamento possono riferirsi al volume misurato in opera od in cataste come per la precedente lettera b). </w:t>
      </w:r>
    </w:p>
    <w:p w14:paraId="496C1D66" w14:textId="77777777" w:rsidR="00C97A7B" w:rsidRDefault="00C97A7B" w:rsidP="00C97A7B">
      <w:pPr>
        <w:spacing w:after="0"/>
        <w:rPr>
          <w:rFonts w:ascii="Tahoma" w:eastAsia="Times New Roman" w:hAnsi="Tahoma"/>
          <w:b/>
          <w:sz w:val="20"/>
          <w:szCs w:val="24"/>
        </w:rPr>
      </w:pPr>
    </w:p>
    <w:p w14:paraId="53B0AFF0" w14:textId="77777777" w:rsidR="00C97A7B" w:rsidRDefault="00C97A7B" w:rsidP="00C97A7B">
      <w:pPr>
        <w:spacing w:after="0"/>
        <w:rPr>
          <w:rFonts w:ascii="Tahoma" w:eastAsia="Times New Roman" w:hAnsi="Tahoma"/>
          <w:sz w:val="20"/>
          <w:szCs w:val="24"/>
        </w:rPr>
      </w:pPr>
      <w:r>
        <w:rPr>
          <w:rFonts w:ascii="Tahoma" w:eastAsia="Times New Roman" w:hAnsi="Tahoma"/>
          <w:b/>
          <w:sz w:val="20"/>
          <w:szCs w:val="24"/>
        </w:rPr>
        <w:t>d) Cilindratura di massicciata e sottofondi</w:t>
      </w:r>
      <w:r>
        <w:rPr>
          <w:rFonts w:ascii="Tahoma" w:eastAsia="Times New Roman" w:hAnsi="Tahoma"/>
          <w:sz w:val="20"/>
          <w:szCs w:val="24"/>
        </w:rPr>
        <w:t xml:space="preserve"> - Il lavoro di cilindratura di massicciate con compressore a trazione meccanica sarà pagato in ragione di metro cubo di pietrisco cilindrato, qualunque sia la larghezza della striscia da cilindrare. </w:t>
      </w:r>
    </w:p>
    <w:p w14:paraId="3C5A7AE1"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Coi prezzi di elenco relativi a ciascuno dei tipi di cilindrature indicati nel presente capitolato, s'intenderà compensata ogni spesa per noli, trasporto dei compressori a piè d'opera all'inizio del lavoro e per ritornare poi in rimessa, sia per il ricovero durante la notte che nei periodi di sosta. </w:t>
      </w:r>
    </w:p>
    <w:p w14:paraId="7628EAC4"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Nel prezzo stesso è compreso il consumo dei combustibili e lubrificanti per l'esercizio dei rulli, lo spandimento e configurazione dei materiali di massicciata, la fornitura e l'impiego dell'acqua per la caldaia e per l'innaffiamento, dove occorra, del pietrisco durante la rullatura, la fornitura e lo spandimento dei materiali di saturazione o di aggregazione, ove occorrano, ogni spesa per il personale addetto alle macchine, la necessaria manovalanza occorrente durante il lavoro, nonché di tutto quanto potrà essere necessario per dare compiuto il lavoro a perfetta regola d'arte. </w:t>
      </w:r>
    </w:p>
    <w:p w14:paraId="1AC36A06"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La cilindratura di sottofondo, qualora venga ordinata, sarà pagata in ragione di metri cubi di sottofondo in opera, col relativo prezzo di elenco, nel quale sono compresi tutti gli oneri principali ed eventuali di cui sopra.</w:t>
      </w:r>
    </w:p>
    <w:p w14:paraId="55C735BB" w14:textId="77777777" w:rsidR="00C97A7B" w:rsidRDefault="00C97A7B" w:rsidP="00C97A7B">
      <w:pPr>
        <w:spacing w:after="0"/>
        <w:ind w:firstLine="284"/>
        <w:rPr>
          <w:rFonts w:ascii="Tahoma" w:eastAsia="Times New Roman" w:hAnsi="Tahoma"/>
          <w:b/>
          <w:sz w:val="20"/>
          <w:szCs w:val="24"/>
        </w:rPr>
      </w:pPr>
    </w:p>
    <w:p w14:paraId="566520B2" w14:textId="77777777" w:rsidR="00C97A7B" w:rsidRPr="00C87434" w:rsidRDefault="00C97A7B" w:rsidP="00C97A7B">
      <w:pPr>
        <w:spacing w:after="0"/>
        <w:rPr>
          <w:rFonts w:ascii="Tahoma" w:eastAsia="Times New Roman" w:hAnsi="Tahoma"/>
          <w:sz w:val="20"/>
          <w:szCs w:val="24"/>
        </w:rPr>
      </w:pPr>
      <w:r w:rsidRPr="00C87434">
        <w:rPr>
          <w:rFonts w:ascii="Tahoma" w:eastAsia="Times New Roman" w:hAnsi="Tahoma"/>
          <w:b/>
          <w:sz w:val="20"/>
          <w:szCs w:val="24"/>
        </w:rPr>
        <w:t xml:space="preserve">e) Fondazioni e pavimentazioni in conglomerato cementizio; fondazioni in terra stabilizzata - </w:t>
      </w:r>
      <w:r w:rsidRPr="00C87434">
        <w:rPr>
          <w:rFonts w:ascii="Tahoma" w:eastAsia="Times New Roman" w:hAnsi="Tahoma"/>
          <w:sz w:val="20"/>
          <w:szCs w:val="24"/>
        </w:rPr>
        <w:t>Anche per queste voci la valutazione è prevista a metro cubo di opera finita. Il prezzo a metro cubo della fondazione e pavimentazione comprende tutti gli oneri per:</w:t>
      </w:r>
    </w:p>
    <w:p w14:paraId="00A43DBC" w14:textId="77777777" w:rsidR="00C97A7B" w:rsidRPr="00C87434" w:rsidRDefault="00C97A7B" w:rsidP="00C97A7B">
      <w:pPr>
        <w:numPr>
          <w:ilvl w:val="1"/>
          <w:numId w:val="232"/>
        </w:numPr>
        <w:spacing w:after="0"/>
        <w:ind w:left="850" w:hanging="425"/>
        <w:jc w:val="left"/>
        <w:rPr>
          <w:rFonts w:ascii="Tahoma" w:eastAsia="Times New Roman" w:hAnsi="Tahoma"/>
          <w:sz w:val="20"/>
          <w:szCs w:val="24"/>
        </w:rPr>
      </w:pPr>
      <w:r w:rsidRPr="00C87434">
        <w:rPr>
          <w:rFonts w:ascii="Tahoma" w:eastAsia="Times New Roman" w:hAnsi="Tahoma"/>
          <w:sz w:val="20"/>
          <w:szCs w:val="24"/>
        </w:rPr>
        <w:t>studio granulometrico della miscela;</w:t>
      </w:r>
    </w:p>
    <w:p w14:paraId="37E10C72" w14:textId="77777777" w:rsidR="00C97A7B" w:rsidRPr="00C87434" w:rsidRDefault="00C97A7B" w:rsidP="00C97A7B">
      <w:pPr>
        <w:numPr>
          <w:ilvl w:val="1"/>
          <w:numId w:val="232"/>
        </w:numPr>
        <w:spacing w:after="0"/>
        <w:ind w:left="850" w:hanging="425"/>
        <w:jc w:val="left"/>
        <w:rPr>
          <w:rFonts w:ascii="Tahoma" w:eastAsia="Times New Roman" w:hAnsi="Tahoma"/>
          <w:sz w:val="20"/>
          <w:szCs w:val="24"/>
        </w:rPr>
      </w:pPr>
      <w:r w:rsidRPr="00C87434">
        <w:rPr>
          <w:rFonts w:ascii="Tahoma" w:eastAsia="Times New Roman" w:hAnsi="Tahoma"/>
          <w:sz w:val="20"/>
          <w:szCs w:val="24"/>
        </w:rPr>
        <w:lastRenderedPageBreak/>
        <w:t xml:space="preserve">la fornitura e stesa di un centimetro di sabbia quale letto di posa del calcestruzzo, e dello strato </w:t>
      </w:r>
      <w:proofErr w:type="gramStart"/>
      <w:r w:rsidRPr="00C87434">
        <w:rPr>
          <w:rFonts w:ascii="Tahoma" w:eastAsia="Times New Roman" w:hAnsi="Tahoma"/>
          <w:sz w:val="20"/>
          <w:szCs w:val="24"/>
        </w:rPr>
        <w:t>di  cartone</w:t>
      </w:r>
      <w:proofErr w:type="gramEnd"/>
      <w:r w:rsidRPr="00C87434">
        <w:rPr>
          <w:rFonts w:ascii="Tahoma" w:eastAsia="Times New Roman" w:hAnsi="Tahoma"/>
          <w:sz w:val="20"/>
          <w:szCs w:val="24"/>
        </w:rPr>
        <w:t xml:space="preserve"> catramato isolante;</w:t>
      </w:r>
    </w:p>
    <w:p w14:paraId="4FA73F44" w14:textId="77777777" w:rsidR="00C97A7B" w:rsidRPr="00C87434" w:rsidRDefault="00C97A7B" w:rsidP="00C97A7B">
      <w:pPr>
        <w:numPr>
          <w:ilvl w:val="1"/>
          <w:numId w:val="232"/>
        </w:numPr>
        <w:spacing w:after="0"/>
        <w:ind w:left="850" w:hanging="425"/>
        <w:jc w:val="left"/>
        <w:rPr>
          <w:rFonts w:ascii="Tahoma" w:eastAsia="Times New Roman" w:hAnsi="Tahoma"/>
          <w:sz w:val="20"/>
          <w:szCs w:val="24"/>
        </w:rPr>
      </w:pPr>
      <w:r w:rsidRPr="00C87434">
        <w:rPr>
          <w:rFonts w:ascii="Tahoma" w:eastAsia="Times New Roman" w:hAnsi="Tahoma"/>
          <w:sz w:val="20"/>
          <w:szCs w:val="24"/>
        </w:rPr>
        <w:t>la fornitura degli inerti nelle qualità e quantità prescritte dal capitolato speciale d'appalto, nonché la fornitura del legante e dell'acqua;</w:t>
      </w:r>
    </w:p>
    <w:p w14:paraId="5E32EE71" w14:textId="77777777" w:rsidR="00C97A7B" w:rsidRPr="00C87434" w:rsidRDefault="00C97A7B" w:rsidP="00C97A7B">
      <w:pPr>
        <w:numPr>
          <w:ilvl w:val="1"/>
          <w:numId w:val="232"/>
        </w:numPr>
        <w:spacing w:after="0"/>
        <w:ind w:left="850" w:hanging="425"/>
        <w:jc w:val="left"/>
        <w:rPr>
          <w:rFonts w:ascii="Tahoma" w:eastAsia="Times New Roman" w:hAnsi="Tahoma"/>
          <w:sz w:val="20"/>
          <w:szCs w:val="24"/>
        </w:rPr>
      </w:pPr>
      <w:r w:rsidRPr="00C87434">
        <w:rPr>
          <w:rFonts w:ascii="Tahoma" w:eastAsia="Times New Roman" w:hAnsi="Tahoma"/>
          <w:sz w:val="20"/>
          <w:szCs w:val="24"/>
        </w:rPr>
        <w:t>il nolo del macchinario occorrente per la confezione, il trasporto e la posa in opera del calcestruzzo;</w:t>
      </w:r>
    </w:p>
    <w:p w14:paraId="62F23D9D" w14:textId="77777777" w:rsidR="00C97A7B" w:rsidRPr="00C87434" w:rsidRDefault="00C97A7B" w:rsidP="00C97A7B">
      <w:pPr>
        <w:numPr>
          <w:ilvl w:val="1"/>
          <w:numId w:val="232"/>
        </w:numPr>
        <w:spacing w:after="0"/>
        <w:ind w:left="850" w:hanging="425"/>
        <w:jc w:val="left"/>
        <w:rPr>
          <w:rFonts w:ascii="Tahoma" w:eastAsia="Times New Roman" w:hAnsi="Tahoma"/>
          <w:sz w:val="20"/>
          <w:szCs w:val="24"/>
        </w:rPr>
      </w:pPr>
      <w:r w:rsidRPr="00C87434">
        <w:rPr>
          <w:rFonts w:ascii="Tahoma" w:eastAsia="Times New Roman" w:hAnsi="Tahoma"/>
          <w:sz w:val="20"/>
          <w:szCs w:val="24"/>
        </w:rPr>
        <w:t>la vibrazione e stagionatura del calcestruzzo;</w:t>
      </w:r>
    </w:p>
    <w:p w14:paraId="0232A4B4" w14:textId="77777777" w:rsidR="00C97A7B" w:rsidRPr="00C87434" w:rsidRDefault="00C97A7B" w:rsidP="00C97A7B">
      <w:pPr>
        <w:numPr>
          <w:ilvl w:val="1"/>
          <w:numId w:val="232"/>
        </w:numPr>
        <w:spacing w:after="0"/>
        <w:ind w:left="850" w:hanging="425"/>
        <w:jc w:val="left"/>
        <w:rPr>
          <w:rFonts w:ascii="Tahoma" w:eastAsia="Times New Roman" w:hAnsi="Tahoma"/>
          <w:sz w:val="20"/>
          <w:szCs w:val="24"/>
        </w:rPr>
      </w:pPr>
      <w:r w:rsidRPr="00C87434">
        <w:rPr>
          <w:rFonts w:ascii="Tahoma" w:eastAsia="Times New Roman" w:hAnsi="Tahoma"/>
          <w:sz w:val="20"/>
          <w:szCs w:val="24"/>
        </w:rPr>
        <w:t>la formazione e sigillatura dei giunti;</w:t>
      </w:r>
    </w:p>
    <w:p w14:paraId="6BE539BF" w14:textId="77777777" w:rsidR="00C97A7B" w:rsidRPr="00C87434" w:rsidRDefault="00C97A7B" w:rsidP="00C97A7B">
      <w:pPr>
        <w:numPr>
          <w:ilvl w:val="1"/>
          <w:numId w:val="232"/>
        </w:numPr>
        <w:spacing w:after="0"/>
        <w:ind w:left="850" w:hanging="425"/>
        <w:jc w:val="left"/>
        <w:rPr>
          <w:rFonts w:ascii="Tahoma" w:eastAsia="Times New Roman" w:hAnsi="Tahoma"/>
          <w:sz w:val="20"/>
          <w:szCs w:val="24"/>
        </w:rPr>
      </w:pPr>
      <w:r w:rsidRPr="00C87434">
        <w:rPr>
          <w:rFonts w:ascii="Tahoma" w:eastAsia="Times New Roman" w:hAnsi="Tahoma"/>
          <w:sz w:val="20"/>
          <w:szCs w:val="24"/>
        </w:rPr>
        <w:t xml:space="preserve">tutta la mano d'opera occorrente per i lavori suindicati ed ogni altra spesa ed onere per il getto della lastra, ivi compreso quello del getto in due strati, se ordinato. </w:t>
      </w:r>
    </w:p>
    <w:p w14:paraId="53E5429C" w14:textId="77777777" w:rsidR="00C97A7B" w:rsidRPr="00C87434" w:rsidRDefault="00C97A7B" w:rsidP="00C97A7B">
      <w:pPr>
        <w:spacing w:after="0"/>
        <w:ind w:firstLine="284"/>
        <w:rPr>
          <w:rFonts w:ascii="Tahoma" w:eastAsia="Times New Roman" w:hAnsi="Tahoma"/>
          <w:sz w:val="20"/>
          <w:szCs w:val="24"/>
        </w:rPr>
      </w:pPr>
      <w:r w:rsidRPr="00C87434">
        <w:rPr>
          <w:rFonts w:ascii="Tahoma" w:eastAsia="Times New Roman" w:hAnsi="Tahoma"/>
          <w:sz w:val="20"/>
          <w:szCs w:val="24"/>
        </w:rPr>
        <w:t xml:space="preserve">Lo spessore sarà valutato in base a quello prescritto con tolleranza non superiore ai 5 mm purché le differenze si presentino saltuariamente e non come regola costante. In questo caso non si terrà conto delle eccedenze, mentre si dedurranno le deficienze riscontrate. </w:t>
      </w:r>
    </w:p>
    <w:p w14:paraId="1D392C92" w14:textId="77777777" w:rsidR="00C97A7B" w:rsidRPr="00C87434" w:rsidRDefault="00C97A7B" w:rsidP="00C97A7B">
      <w:pPr>
        <w:spacing w:after="0"/>
        <w:ind w:firstLine="284"/>
        <w:rPr>
          <w:rFonts w:ascii="Tahoma" w:eastAsia="Times New Roman" w:hAnsi="Tahoma"/>
          <w:sz w:val="20"/>
          <w:szCs w:val="24"/>
        </w:rPr>
      </w:pPr>
      <w:r w:rsidRPr="00C87434">
        <w:rPr>
          <w:rFonts w:ascii="Tahoma" w:eastAsia="Times New Roman" w:hAnsi="Tahoma"/>
          <w:sz w:val="20"/>
          <w:szCs w:val="24"/>
        </w:rPr>
        <w:t xml:space="preserve">Per armatura del calcestruzzo verrà fornita e posta in opera una rete d'acciaio a maglie che verrà valutata a parte, secondo il peso unitario prescritto e determinato in precedenza. </w:t>
      </w:r>
    </w:p>
    <w:p w14:paraId="356FA4F9" w14:textId="77777777" w:rsidR="00C97A7B" w:rsidRPr="00C87434" w:rsidRDefault="00C97A7B" w:rsidP="00C97A7B">
      <w:pPr>
        <w:spacing w:after="0"/>
        <w:ind w:firstLine="284"/>
        <w:rPr>
          <w:rFonts w:ascii="Tahoma" w:eastAsia="Times New Roman" w:hAnsi="Tahoma"/>
          <w:sz w:val="20"/>
          <w:szCs w:val="24"/>
        </w:rPr>
      </w:pPr>
      <w:r w:rsidRPr="00C87434">
        <w:rPr>
          <w:rFonts w:ascii="Tahoma" w:eastAsia="Times New Roman" w:hAnsi="Tahoma"/>
          <w:sz w:val="20"/>
          <w:szCs w:val="24"/>
        </w:rPr>
        <w:t>Anche per le fondazioni in terra stabilizzata valgono tutte le norme di valutazione sopra descritte. Si precisa ad ogni modo che il prezzo comprende:</w:t>
      </w:r>
    </w:p>
    <w:p w14:paraId="1718A652" w14:textId="77777777" w:rsidR="00C97A7B" w:rsidRPr="00C87434" w:rsidRDefault="00C97A7B" w:rsidP="00C97A7B">
      <w:pPr>
        <w:numPr>
          <w:ilvl w:val="1"/>
          <w:numId w:val="233"/>
        </w:numPr>
        <w:spacing w:after="0"/>
        <w:ind w:left="850" w:hanging="425"/>
        <w:jc w:val="left"/>
        <w:rPr>
          <w:rFonts w:ascii="Tahoma" w:eastAsia="Times New Roman" w:hAnsi="Tahoma"/>
          <w:sz w:val="20"/>
          <w:szCs w:val="24"/>
        </w:rPr>
      </w:pPr>
      <w:r w:rsidRPr="00C87434">
        <w:rPr>
          <w:rFonts w:ascii="Tahoma" w:eastAsia="Times New Roman" w:hAnsi="Tahoma"/>
          <w:sz w:val="20"/>
          <w:szCs w:val="24"/>
        </w:rPr>
        <w:t>gli oneri derivanti dalle prove preliminari necessarie per lo studio della miscela, nonché da quelle richieste durante l'esecuzione del lavoro;</w:t>
      </w:r>
    </w:p>
    <w:p w14:paraId="27B164AB" w14:textId="77777777" w:rsidR="00C97A7B" w:rsidRPr="00C87434" w:rsidRDefault="00C97A7B" w:rsidP="00C97A7B">
      <w:pPr>
        <w:numPr>
          <w:ilvl w:val="1"/>
          <w:numId w:val="233"/>
        </w:numPr>
        <w:spacing w:after="0"/>
        <w:ind w:left="850" w:hanging="425"/>
        <w:jc w:val="left"/>
        <w:rPr>
          <w:rFonts w:ascii="Tahoma" w:eastAsia="Times New Roman" w:hAnsi="Tahoma"/>
          <w:sz w:val="20"/>
          <w:szCs w:val="24"/>
        </w:rPr>
      </w:pPr>
      <w:r w:rsidRPr="00C87434">
        <w:rPr>
          <w:rFonts w:ascii="Tahoma" w:eastAsia="Times New Roman" w:hAnsi="Tahoma"/>
          <w:sz w:val="20"/>
          <w:szCs w:val="24"/>
        </w:rPr>
        <w:t>l'eventuale fornitura di terre e sabbie idonee alla formazione della miscela secondo quanto prescritto e richiesto dalla Direzione dei Lavori;</w:t>
      </w:r>
    </w:p>
    <w:p w14:paraId="5B6FB588" w14:textId="77777777" w:rsidR="00C97A7B" w:rsidRPr="00C87434" w:rsidRDefault="00C97A7B" w:rsidP="00C97A7B">
      <w:pPr>
        <w:numPr>
          <w:ilvl w:val="1"/>
          <w:numId w:val="233"/>
        </w:numPr>
        <w:spacing w:after="0"/>
        <w:ind w:left="850" w:hanging="425"/>
        <w:jc w:val="left"/>
        <w:rPr>
          <w:rFonts w:ascii="Tahoma" w:eastAsia="Times New Roman" w:hAnsi="Tahoma"/>
          <w:sz w:val="20"/>
          <w:szCs w:val="24"/>
        </w:rPr>
      </w:pPr>
      <w:r w:rsidRPr="00C87434">
        <w:rPr>
          <w:rFonts w:ascii="Tahoma" w:eastAsia="Times New Roman" w:hAnsi="Tahoma"/>
          <w:sz w:val="20"/>
          <w:szCs w:val="24"/>
        </w:rPr>
        <w:t xml:space="preserve">il macchinario e la mano d'opera necessari e quanto altro occorra come precedentemente prescritto. </w:t>
      </w:r>
    </w:p>
    <w:p w14:paraId="67941232" w14:textId="77777777" w:rsidR="00C97A7B" w:rsidRPr="00C87434" w:rsidRDefault="00C97A7B" w:rsidP="00C97A7B">
      <w:pPr>
        <w:spacing w:after="0"/>
        <w:ind w:firstLine="284"/>
        <w:rPr>
          <w:rFonts w:ascii="Tahoma" w:eastAsia="Times New Roman" w:hAnsi="Tahoma"/>
          <w:sz w:val="20"/>
          <w:szCs w:val="24"/>
        </w:rPr>
      </w:pPr>
      <w:r w:rsidRPr="00C87434">
        <w:rPr>
          <w:rFonts w:ascii="Tahoma" w:eastAsia="Times New Roman" w:hAnsi="Tahoma"/>
          <w:sz w:val="20"/>
          <w:szCs w:val="24"/>
        </w:rPr>
        <w:t>Tutti i prodotti e/o materiali impiegati, qualora possano essere dotati di marcatura CE secondo la normativa tecnica vigente, dovranno essere muniti di tale marchio.</w:t>
      </w:r>
    </w:p>
    <w:p w14:paraId="368B08AB" w14:textId="77777777" w:rsidR="00C97A7B" w:rsidRDefault="00C97A7B" w:rsidP="00C97A7B">
      <w:pPr>
        <w:spacing w:after="0"/>
        <w:ind w:firstLine="284"/>
        <w:rPr>
          <w:rFonts w:ascii="Tahoma" w:eastAsia="Times New Roman" w:hAnsi="Tahoma"/>
          <w:sz w:val="20"/>
          <w:szCs w:val="24"/>
        </w:rPr>
      </w:pPr>
    </w:p>
    <w:p w14:paraId="0ED84F4E" w14:textId="77777777" w:rsidR="00C97A7B" w:rsidRDefault="00C97A7B" w:rsidP="00C97A7B">
      <w:pPr>
        <w:spacing w:after="0"/>
        <w:rPr>
          <w:rFonts w:ascii="Tahoma" w:eastAsia="Times New Roman" w:hAnsi="Tahoma"/>
          <w:sz w:val="20"/>
          <w:szCs w:val="24"/>
        </w:rPr>
      </w:pPr>
      <w:r>
        <w:rPr>
          <w:rFonts w:ascii="Tahoma" w:eastAsia="Times New Roman" w:hAnsi="Tahoma"/>
          <w:b/>
          <w:sz w:val="20"/>
          <w:szCs w:val="24"/>
        </w:rPr>
        <w:t>f) Trattamenti protettivi delle pavimentazioni - Manti di conglomerato - Pavimentazioni di cemento</w:t>
      </w:r>
      <w:r>
        <w:rPr>
          <w:rFonts w:ascii="Tahoma" w:eastAsia="Times New Roman" w:hAnsi="Tahoma"/>
          <w:sz w:val="20"/>
          <w:szCs w:val="24"/>
        </w:rPr>
        <w:t xml:space="preserve"> - I trattamenti superficiali, le penetrazioni, i manti di conglomerato, le pavimentazioni cementizie e in genere qualunque tipo di pavimentazione di qualsiasi spessore verranno di norma misurati in ragione di superficie, intendendosi tassativi gli spessori prescritti, e nel relativo prezzo unitario sarà compreso ogni magistero e fornitura per dare il lavoro completo secondo le modalità e norme indicate. Per i conglomerati, ove l'elenco dei prezzi lo prescriva, la valutazione sarà fatta a volume. Qualora i quantitativi di legante o di materiale di aggregazione stabiliti variassero, ovvero, nel caso di manti a tappeto o a conglomerati a masse aperte o chiuse da misurarsi a superficie, si modificassero gli spessori, si farà luogo alle relative detrazioni analogamente a come sopra previsto. I cordoli laterali (bordi), se ordinati, saranno valutati a parte. </w:t>
      </w:r>
    </w:p>
    <w:p w14:paraId="1B672C3E"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La Direzione Lavori si riserva comunque di rifiutare emulsioni aventi più dell'1% in meno di bitume prescritta. Qualora la partita venisse egualmente accettata, verranno effettuate negli stati di avanzamento detrazioni come segue: per percentuali tra l'1 ed il 3%: il 10% del prezzo di emulsione per ogni kg di emulsione impiegata; per percentuali maggiori del 3 sino al 5%: il 25% del prezzo dell'emulsione per ogni kg di emulsione impiegata. </w:t>
      </w:r>
    </w:p>
    <w:p w14:paraId="6019163F" w14:textId="77777777" w:rsidR="00C97A7B" w:rsidRDefault="00C97A7B" w:rsidP="00C97A7B">
      <w:pPr>
        <w:spacing w:after="0"/>
        <w:ind w:firstLine="284"/>
        <w:rPr>
          <w:rFonts w:ascii="Tahoma" w:eastAsia="Times New Roman" w:hAnsi="Tahoma"/>
          <w:sz w:val="20"/>
          <w:szCs w:val="24"/>
        </w:rPr>
      </w:pPr>
    </w:p>
    <w:p w14:paraId="3D7752EB" w14:textId="77777777" w:rsidR="00C97A7B" w:rsidRDefault="00C97A7B" w:rsidP="00C97A7B">
      <w:pPr>
        <w:spacing w:after="0"/>
        <w:rPr>
          <w:rFonts w:ascii="Tahoma" w:eastAsia="Times New Roman" w:hAnsi="Tahoma"/>
          <w:sz w:val="20"/>
          <w:szCs w:val="24"/>
        </w:rPr>
      </w:pPr>
      <w:r>
        <w:rPr>
          <w:rFonts w:ascii="Tahoma" w:eastAsia="Times New Roman" w:hAnsi="Tahoma"/>
          <w:b/>
          <w:sz w:val="20"/>
          <w:szCs w:val="24"/>
        </w:rPr>
        <w:t xml:space="preserve">g) Acciottolati, selciati, lastricati, pavimentazioni in cemento, di porfido </w:t>
      </w:r>
      <w:r>
        <w:rPr>
          <w:rFonts w:ascii="Tahoma" w:eastAsia="Times New Roman" w:hAnsi="Tahoma"/>
          <w:sz w:val="20"/>
          <w:szCs w:val="24"/>
        </w:rPr>
        <w:t>- Gli acciottolati, i selciati, i lastricati e le pavimentazioni in cubetti saranno anch'essi pagati a metro quadrato con i prezzi di elenco.</w:t>
      </w:r>
    </w:p>
    <w:p w14:paraId="25B4C7A8"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Sarà pagata la loro superficie vista, limitata cioè dal vivo dei muri o dai contorni, esclusa quindi ogni incassatura anche se necessaria e prescritta dalla Direzione dei Lavori.</w:t>
      </w:r>
    </w:p>
    <w:p w14:paraId="235C3A0C"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Nei prezzi relativi è sempre compreso il letto di sabbia o di malta, ogni compenso per riduzione, tagli e sfridi di lastre, pietre e ciottoli, per maggior difficoltà di costruzione dovuta ad angoli rientranti o sporgenti, per la preparazione, battitura e regolazione del suolo, per la stuccatura e profilatura dei giunti con malta di cemento o bitumatura secondo le prescrizioni della Direzione dei Lavori e per qualunque altra opera o spesa per dare i lavori ultimati ed in perfetto stato. </w:t>
      </w:r>
    </w:p>
    <w:p w14:paraId="242B92D0"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I prezzi di tariffa sono applicabili invariabilmente qualunque sia, o piana o curva, la superficie vista e qualunque sia il fondo su cui sono posti in opera. </w:t>
      </w:r>
    </w:p>
    <w:p w14:paraId="36ABEEBC"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Se l'acciottolato, selciato, lastricato o pavimentazione in cubetti dovessero posare sopra sottofondo di sabbia, malta, macadam cilindrato o calcestruzzo, questo verrà valutato a parte ai prezzi di elenco relativi a questi vari sottofondi e sostegni in muratura di calcestruzzo. </w:t>
      </w:r>
    </w:p>
    <w:p w14:paraId="7CF26C79" w14:textId="77777777" w:rsidR="00C97A7B" w:rsidRDefault="00C97A7B" w:rsidP="00C97A7B">
      <w:pPr>
        <w:spacing w:after="0"/>
        <w:ind w:firstLine="284"/>
        <w:rPr>
          <w:rFonts w:ascii="Tahoma" w:eastAsia="Times New Roman" w:hAnsi="Tahoma"/>
          <w:sz w:val="20"/>
          <w:szCs w:val="24"/>
        </w:rPr>
      </w:pPr>
    </w:p>
    <w:p w14:paraId="7B38576A"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#{GUID_E319317A-84EE-45D6-BDCA-8609C9AD0FCB|LIVELLO_2|TESTO_Scarifica di pavimentazioni_END}&amp;</w:t>
      </w:r>
      <w:bookmarkStart w:id="44" w:name="664"/>
      <w:bookmarkEnd w:id="44"/>
    </w:p>
    <w:p w14:paraId="3B7E6848" w14:textId="22D77C12"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w:t>
      </w:r>
      <w:r w:rsidR="00CD5564">
        <w:rPr>
          <w:rFonts w:ascii="Tahoma" w:eastAsia="Times New Roman" w:hAnsi="Tahoma"/>
          <w:b/>
          <w:sz w:val="20"/>
          <w:szCs w:val="24"/>
        </w:rPr>
        <w:t>8</w:t>
      </w:r>
    </w:p>
    <w:p w14:paraId="7B7365D9"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SCARIFICA DI PAVIMENTAZIONI</w:t>
      </w:r>
    </w:p>
    <w:p w14:paraId="151731EB" w14:textId="77777777" w:rsidR="00C97A7B" w:rsidRDefault="00C97A7B" w:rsidP="00C97A7B">
      <w:pPr>
        <w:spacing w:after="0"/>
        <w:rPr>
          <w:rFonts w:ascii="Tahoma" w:eastAsia="Times New Roman" w:hAnsi="Tahoma"/>
          <w:sz w:val="20"/>
          <w:szCs w:val="24"/>
        </w:rPr>
      </w:pPr>
    </w:p>
    <w:p w14:paraId="35E2B00E" w14:textId="77777777" w:rsidR="00C97A7B" w:rsidRDefault="00C97A7B" w:rsidP="00C97A7B">
      <w:pPr>
        <w:spacing w:after="0"/>
        <w:ind w:firstLine="426"/>
        <w:rPr>
          <w:rFonts w:ascii="Tahoma" w:eastAsia="Times New Roman" w:hAnsi="Tahoma"/>
          <w:sz w:val="20"/>
          <w:szCs w:val="24"/>
        </w:rPr>
      </w:pPr>
      <w:r>
        <w:rPr>
          <w:rFonts w:ascii="Tahoma" w:eastAsia="Times New Roman" w:hAnsi="Tahoma"/>
          <w:sz w:val="20"/>
          <w:szCs w:val="24"/>
        </w:rPr>
        <w:t xml:space="preserve">I disfacimenti delle pavimentazioni stradali in conglomerato bituminoso saranno valutati a metro quadrato </w:t>
      </w:r>
      <w:r>
        <w:rPr>
          <w:rFonts w:ascii="Tahoma" w:eastAsia="Times New Roman" w:hAnsi="Tahoma"/>
          <w:sz w:val="20"/>
          <w:szCs w:val="24"/>
        </w:rPr>
        <w:lastRenderedPageBreak/>
        <w:t>di superficie, assumendo per la misura di tali lavori la larghezza stabilita nelle sezioni tipo di progetto, intendendosi compensati gli eventuali allargamenti non ordinati dal Direttore dei Lavori.</w:t>
      </w:r>
    </w:p>
    <w:p w14:paraId="5488DEF4" w14:textId="77777777" w:rsidR="00C97A7B" w:rsidRDefault="00C97A7B" w:rsidP="00C97A7B">
      <w:pPr>
        <w:spacing w:after="0"/>
        <w:ind w:firstLine="426"/>
        <w:rPr>
          <w:rFonts w:ascii="Tahoma" w:eastAsia="Times New Roman" w:hAnsi="Tahoma"/>
          <w:sz w:val="20"/>
          <w:szCs w:val="24"/>
        </w:rPr>
      </w:pPr>
      <w:r>
        <w:rPr>
          <w:rFonts w:ascii="Tahoma" w:eastAsia="Times New Roman" w:hAnsi="Tahoma"/>
          <w:sz w:val="20"/>
          <w:szCs w:val="24"/>
        </w:rPr>
        <w:t>Verranno dedotte le superfici corrispondenti a chiusini, pozzetti e quant'altro occupi una parte della superficie pavimentata.</w:t>
      </w:r>
    </w:p>
    <w:p w14:paraId="21DE16A0" w14:textId="77777777" w:rsidR="00C97A7B" w:rsidRDefault="00C97A7B" w:rsidP="00C97A7B">
      <w:pPr>
        <w:spacing w:after="0"/>
        <w:rPr>
          <w:rFonts w:ascii="Tahoma" w:eastAsia="Times New Roman" w:hAnsi="Tahoma"/>
          <w:sz w:val="20"/>
          <w:szCs w:val="24"/>
        </w:rPr>
      </w:pPr>
    </w:p>
    <w:p w14:paraId="6016C5C0"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#{GUID_F849FFC5-8921-4B22-AAD8-5861CFEAC6B3|LIVELLO_2|TESTO_Ripristini di pavimentazioni_END}&amp;</w:t>
      </w:r>
      <w:bookmarkStart w:id="45" w:name="665"/>
      <w:bookmarkEnd w:id="45"/>
    </w:p>
    <w:p w14:paraId="64AD377B" w14:textId="7E38BB76"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w:t>
      </w:r>
      <w:r w:rsidR="00CD5564">
        <w:rPr>
          <w:rFonts w:ascii="Tahoma" w:eastAsia="Times New Roman" w:hAnsi="Tahoma"/>
          <w:b/>
          <w:sz w:val="20"/>
          <w:szCs w:val="24"/>
        </w:rPr>
        <w:t>9</w:t>
      </w:r>
    </w:p>
    <w:p w14:paraId="643656A1"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RIPRISTINI DI PAVIMENTAZIONE</w:t>
      </w:r>
    </w:p>
    <w:p w14:paraId="13A63C60" w14:textId="77777777" w:rsidR="00C97A7B" w:rsidRDefault="00C97A7B" w:rsidP="00C97A7B">
      <w:pPr>
        <w:spacing w:after="0"/>
        <w:rPr>
          <w:rFonts w:ascii="Tahoma" w:eastAsia="Times New Roman" w:hAnsi="Tahoma"/>
          <w:sz w:val="20"/>
          <w:szCs w:val="24"/>
        </w:rPr>
      </w:pPr>
    </w:p>
    <w:p w14:paraId="6B66F934" w14:textId="77777777" w:rsidR="00C97A7B" w:rsidRDefault="00C97A7B" w:rsidP="00C97A7B">
      <w:pPr>
        <w:spacing w:after="0"/>
        <w:ind w:firstLine="426"/>
        <w:rPr>
          <w:rFonts w:ascii="Tahoma" w:eastAsia="Times New Roman" w:hAnsi="Tahoma"/>
          <w:sz w:val="20"/>
          <w:szCs w:val="24"/>
        </w:rPr>
      </w:pPr>
      <w:r>
        <w:rPr>
          <w:rFonts w:ascii="Tahoma" w:eastAsia="Times New Roman" w:hAnsi="Tahoma"/>
          <w:sz w:val="20"/>
          <w:szCs w:val="24"/>
        </w:rPr>
        <w:t>I ripristini delle pavimentazioni stradali in conglomerato bituminoso saranno valutati a metro quadrato di superficie, assumendo per la misura di tali lavori la larghezza stabilita nelle sezioni tipo di progetto, intendendosi compensati gli eventuali allargamenti non ordinati dal Direttore dei Lavori.</w:t>
      </w:r>
    </w:p>
    <w:p w14:paraId="687320EC" w14:textId="77777777" w:rsidR="00C97A7B" w:rsidRDefault="00C97A7B" w:rsidP="00C97A7B">
      <w:pPr>
        <w:spacing w:after="0"/>
        <w:ind w:firstLine="426"/>
        <w:rPr>
          <w:rFonts w:ascii="Tahoma" w:eastAsia="Times New Roman" w:hAnsi="Tahoma"/>
          <w:sz w:val="20"/>
          <w:szCs w:val="24"/>
        </w:rPr>
      </w:pPr>
      <w:r>
        <w:rPr>
          <w:rFonts w:ascii="Tahoma" w:eastAsia="Times New Roman" w:hAnsi="Tahoma"/>
          <w:sz w:val="20"/>
          <w:szCs w:val="24"/>
        </w:rPr>
        <w:t>Verranno dedotte le superfici corrispondenti a chiusini, pozzetti, e quant'altro occupi una parte della superficie pavimentata.</w:t>
      </w:r>
    </w:p>
    <w:p w14:paraId="23C2E044" w14:textId="77777777" w:rsidR="00C97A7B" w:rsidRDefault="00C97A7B" w:rsidP="00C97A7B">
      <w:pPr>
        <w:spacing w:after="0"/>
        <w:rPr>
          <w:rFonts w:ascii="Tahoma" w:eastAsia="Times New Roman" w:hAnsi="Tahoma"/>
          <w:sz w:val="20"/>
          <w:szCs w:val="24"/>
        </w:rPr>
      </w:pPr>
    </w:p>
    <w:p w14:paraId="06226514"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#{GUID_5638A398-B21D-47BB-8571-076D8833AD8D|LIVELLO_2|TESTO_Pozzetti di raccordo-ispezione e chiusini_END}&amp;</w:t>
      </w:r>
      <w:bookmarkStart w:id="46" w:name="666"/>
      <w:bookmarkEnd w:id="46"/>
    </w:p>
    <w:p w14:paraId="708C519B" w14:textId="0389D892"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3.1</w:t>
      </w:r>
      <w:r w:rsidR="00CD5564">
        <w:rPr>
          <w:rFonts w:ascii="Tahoma" w:eastAsia="Times New Roman" w:hAnsi="Tahoma"/>
          <w:b/>
          <w:sz w:val="20"/>
          <w:szCs w:val="24"/>
        </w:rPr>
        <w:t>0</w:t>
      </w:r>
    </w:p>
    <w:p w14:paraId="5223A0FE"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POZZETTI DI RACCORDO-ISPEZIONE E CHIUSINI</w:t>
      </w:r>
    </w:p>
    <w:p w14:paraId="3BE40983" w14:textId="77777777" w:rsidR="00C97A7B" w:rsidRDefault="00C97A7B" w:rsidP="00C97A7B">
      <w:pPr>
        <w:spacing w:after="0"/>
        <w:jc w:val="center"/>
        <w:rPr>
          <w:rFonts w:ascii="Tahoma" w:eastAsia="Times New Roman" w:hAnsi="Tahoma"/>
          <w:b/>
          <w:sz w:val="20"/>
          <w:szCs w:val="24"/>
        </w:rPr>
      </w:pPr>
    </w:p>
    <w:p w14:paraId="364DCD3E" w14:textId="77777777" w:rsidR="00C97A7B" w:rsidRDefault="00C97A7B" w:rsidP="00C97A7B">
      <w:pPr>
        <w:spacing w:after="0"/>
        <w:ind w:firstLine="426"/>
        <w:rPr>
          <w:rFonts w:ascii="Tahoma" w:eastAsia="Times New Roman" w:hAnsi="Tahoma"/>
          <w:sz w:val="20"/>
          <w:szCs w:val="24"/>
        </w:rPr>
      </w:pPr>
      <w:r>
        <w:rPr>
          <w:rFonts w:ascii="Tahoma" w:eastAsia="Times New Roman" w:hAnsi="Tahoma"/>
          <w:sz w:val="20"/>
          <w:szCs w:val="24"/>
        </w:rPr>
        <w:t>La fornitura e posa in opera di pozzetti di raccordo/ispezione dei cavidotti in più o in meno rispetto alle indicazioni di progetto verrà compensata a numero applicando, in relazione alle dimensioni, il rispettivo prezzo di elenco, mentre per quanto riguarda il chiusino la valutazione verrà fatta a peso applicando il relativo prezzo di elenco per la ghisa o il ferro lavorato zincato.</w:t>
      </w:r>
    </w:p>
    <w:p w14:paraId="61C79784" w14:textId="77777777" w:rsidR="00C97A7B" w:rsidRDefault="00C97A7B" w:rsidP="00C97A7B">
      <w:pPr>
        <w:spacing w:after="0"/>
        <w:rPr>
          <w:rFonts w:ascii="Tahoma" w:eastAsia="Times New Roman" w:hAnsi="Tahoma"/>
          <w:sz w:val="20"/>
          <w:szCs w:val="24"/>
        </w:rPr>
      </w:pPr>
    </w:p>
    <w:p w14:paraId="410C948B"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#{GUID_F07C8F24-B1A1-4A56-8DBB-34538CF58200|LIVELLO_2|TESTO_Segnaletica orizzontale_END}&amp;</w:t>
      </w:r>
      <w:bookmarkStart w:id="47" w:name="663"/>
      <w:bookmarkEnd w:id="47"/>
    </w:p>
    <w:p w14:paraId="1AAB806D" w14:textId="4BD99B72"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3.1</w:t>
      </w:r>
      <w:r w:rsidR="00CD5564">
        <w:rPr>
          <w:rFonts w:ascii="Tahoma" w:eastAsia="Times New Roman" w:hAnsi="Tahoma"/>
          <w:b/>
          <w:sz w:val="20"/>
          <w:szCs w:val="24"/>
        </w:rPr>
        <w:t>1</w:t>
      </w:r>
    </w:p>
    <w:p w14:paraId="406A869A"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SEGNALETICA ORIZZONTALE</w:t>
      </w:r>
    </w:p>
    <w:p w14:paraId="51BA93D7" w14:textId="77777777" w:rsidR="00C97A7B" w:rsidRDefault="00C97A7B" w:rsidP="00C97A7B">
      <w:pPr>
        <w:spacing w:after="0"/>
        <w:jc w:val="center"/>
        <w:rPr>
          <w:rFonts w:ascii="Tahoma" w:eastAsia="Times New Roman" w:hAnsi="Tahoma"/>
          <w:sz w:val="20"/>
          <w:szCs w:val="24"/>
        </w:rPr>
      </w:pPr>
    </w:p>
    <w:p w14:paraId="7DC68D65"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Tutte le opere di segnaletica orizzontale saranno valutate a misura e a corpo come previsto nell’elenco prezzi unitari, lista delle categorie o descrizione particolareggiata dell’opera. Le quantità dei lavori e delle provviste saranno determinate con metodi geometrici, a numero o a peso, in relazione a quanto previsto nell'Elenco Prezzi.</w:t>
      </w:r>
    </w:p>
    <w:p w14:paraId="452B6A48"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Nel caso di valutazione a misura si seguiranno le seguenti modalità:</w:t>
      </w:r>
    </w:p>
    <w:p w14:paraId="2D99191C" w14:textId="77777777" w:rsidR="00C97A7B" w:rsidRDefault="00C97A7B" w:rsidP="00C97A7B">
      <w:pPr>
        <w:numPr>
          <w:ilvl w:val="0"/>
          <w:numId w:val="234"/>
        </w:numPr>
        <w:spacing w:after="0"/>
        <w:ind w:left="850" w:hanging="425"/>
        <w:rPr>
          <w:rFonts w:ascii="Tahoma" w:eastAsia="Times New Roman" w:hAnsi="Tahoma"/>
          <w:sz w:val="20"/>
          <w:szCs w:val="24"/>
        </w:rPr>
      </w:pPr>
      <w:r>
        <w:rPr>
          <w:rFonts w:ascii="Tahoma" w:eastAsia="Times New Roman" w:hAnsi="Tahoma"/>
          <w:sz w:val="20"/>
          <w:szCs w:val="24"/>
        </w:rPr>
        <w:t>le strisce continue longitudinali, trasversali e diagonali (orizzontali), verranno compensate a metro lineare effettivo;</w:t>
      </w:r>
    </w:p>
    <w:p w14:paraId="65650F8D" w14:textId="77777777" w:rsidR="00C97A7B" w:rsidRDefault="00C97A7B" w:rsidP="00C97A7B">
      <w:pPr>
        <w:numPr>
          <w:ilvl w:val="0"/>
          <w:numId w:val="234"/>
        </w:numPr>
        <w:spacing w:after="0"/>
        <w:ind w:left="850" w:hanging="425"/>
        <w:rPr>
          <w:rFonts w:ascii="Tahoma" w:eastAsia="Times New Roman" w:hAnsi="Tahoma"/>
          <w:sz w:val="20"/>
          <w:szCs w:val="24"/>
        </w:rPr>
      </w:pPr>
      <w:r>
        <w:rPr>
          <w:rFonts w:ascii="Tahoma" w:eastAsia="Times New Roman" w:hAnsi="Tahoma"/>
          <w:sz w:val="20"/>
          <w:szCs w:val="24"/>
        </w:rPr>
        <w:t>le strisce discontinue, longitudinali, (orizzontali), verranno compensate a metro lineare di effettiva verniciatura;</w:t>
      </w:r>
    </w:p>
    <w:p w14:paraId="71127FE4" w14:textId="77777777" w:rsidR="00C97A7B" w:rsidRDefault="00C97A7B" w:rsidP="00C97A7B">
      <w:pPr>
        <w:numPr>
          <w:ilvl w:val="0"/>
          <w:numId w:val="235"/>
        </w:numPr>
        <w:spacing w:after="0"/>
        <w:ind w:left="850" w:hanging="425"/>
        <w:rPr>
          <w:rFonts w:ascii="Tahoma" w:eastAsia="Times New Roman" w:hAnsi="Tahoma"/>
          <w:sz w:val="20"/>
          <w:szCs w:val="24"/>
        </w:rPr>
      </w:pPr>
      <w:r>
        <w:rPr>
          <w:rFonts w:ascii="Tahoma" w:eastAsia="Times New Roman" w:hAnsi="Tahoma"/>
          <w:sz w:val="20"/>
          <w:szCs w:val="24"/>
        </w:rPr>
        <w:t>i passaggi pedonali zebrati e strisce di arresto e zebrature verranno compensati a metro quadrato secondo l’effettiva superficie verniciata;</w:t>
      </w:r>
    </w:p>
    <w:p w14:paraId="6DC14EB4" w14:textId="77777777" w:rsidR="00C97A7B" w:rsidRDefault="00C97A7B" w:rsidP="00C97A7B">
      <w:pPr>
        <w:numPr>
          <w:ilvl w:val="0"/>
          <w:numId w:val="236"/>
        </w:numPr>
        <w:spacing w:after="0"/>
        <w:ind w:left="850" w:hanging="425"/>
        <w:rPr>
          <w:rFonts w:ascii="Tahoma" w:eastAsia="Times New Roman" w:hAnsi="Tahoma"/>
          <w:sz w:val="20"/>
          <w:szCs w:val="24"/>
        </w:rPr>
      </w:pPr>
      <w:r>
        <w:rPr>
          <w:rFonts w:ascii="Tahoma" w:eastAsia="Times New Roman" w:hAnsi="Tahoma"/>
          <w:sz w:val="20"/>
          <w:szCs w:val="24"/>
        </w:rPr>
        <w:t>l’esecuzione di disegni vari, iscrizioni e diciture di qualsiasi genere con l’impiego dei prodotti menzionati, compreso tutti gli oneri di tracciamento, eseguiti a perfetta regola d’arte, saranno misurati secondo l’area del minimo rettangolo o parallelogramma circoscritto a ciascuna lettera;</w:t>
      </w:r>
    </w:p>
    <w:p w14:paraId="2BF5396A" w14:textId="77777777" w:rsidR="00C97A7B" w:rsidRDefault="00C97A7B" w:rsidP="00C97A7B">
      <w:pPr>
        <w:numPr>
          <w:ilvl w:val="0"/>
          <w:numId w:val="237"/>
        </w:numPr>
        <w:spacing w:after="0"/>
        <w:ind w:left="850" w:hanging="425"/>
        <w:rPr>
          <w:rFonts w:ascii="Tahoma" w:eastAsia="Times New Roman" w:hAnsi="Tahoma"/>
          <w:sz w:val="20"/>
          <w:szCs w:val="24"/>
        </w:rPr>
      </w:pPr>
      <w:r>
        <w:rPr>
          <w:rFonts w:ascii="Tahoma" w:eastAsia="Times New Roman" w:hAnsi="Tahoma"/>
          <w:sz w:val="20"/>
          <w:szCs w:val="24"/>
        </w:rPr>
        <w:t>per le frecce la relativa area sarà quella della superficie effettivamente marcata.</w:t>
      </w:r>
    </w:p>
    <w:p w14:paraId="79A8723E" w14:textId="77777777" w:rsidR="00C97A7B" w:rsidRDefault="00C97A7B" w:rsidP="00C97A7B">
      <w:pPr>
        <w:spacing w:after="0"/>
        <w:rPr>
          <w:rFonts w:ascii="Tahoma" w:eastAsia="Times New Roman" w:hAnsi="Tahoma"/>
          <w:sz w:val="20"/>
          <w:szCs w:val="24"/>
        </w:rPr>
      </w:pPr>
    </w:p>
    <w:p w14:paraId="4E33B374"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Le misure saranno prese in contraddittorio </w:t>
      </w:r>
      <w:proofErr w:type="gramStart"/>
      <w:r>
        <w:rPr>
          <w:rFonts w:ascii="Tahoma" w:eastAsia="Times New Roman" w:hAnsi="Tahoma"/>
          <w:sz w:val="20"/>
          <w:szCs w:val="24"/>
        </w:rPr>
        <w:t>mano</w:t>
      </w:r>
      <w:proofErr w:type="gramEnd"/>
      <w:r>
        <w:rPr>
          <w:rFonts w:ascii="Tahoma" w:eastAsia="Times New Roman" w:hAnsi="Tahoma"/>
          <w:sz w:val="20"/>
          <w:szCs w:val="24"/>
        </w:rPr>
        <w:t xml:space="preserve"> a mano che si procederà all’esecuzione dei lavori e riportate su appositi libretti delle misure. Eventuali bolle e relativi documenti dovranno essere trasmessi al Direttore dei Lavori o ai suoi assistenti, secondo le norme di contabilità del presente capitolato e comunque ogni qualvolta ne sarà fatta richiesta.</w:t>
      </w:r>
    </w:p>
    <w:p w14:paraId="30783798" w14:textId="77777777" w:rsidR="00C97A7B" w:rsidRDefault="00C97A7B" w:rsidP="00C97A7B">
      <w:pPr>
        <w:spacing w:after="0"/>
        <w:rPr>
          <w:rFonts w:ascii="Tahoma" w:eastAsia="Times New Roman" w:hAnsi="Tahoma"/>
          <w:sz w:val="20"/>
          <w:szCs w:val="24"/>
        </w:rPr>
      </w:pPr>
    </w:p>
    <w:p w14:paraId="0EF97C84"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#{GUID_909B5E4C-439F-4FB0-8CC4-D45E51111038|LIVELLO_2|TESTO_Tubi di cemento_END}&amp;</w:t>
      </w:r>
      <w:bookmarkStart w:id="48" w:name="298"/>
      <w:bookmarkEnd w:id="48"/>
    </w:p>
    <w:p w14:paraId="142A9392" w14:textId="3FB4810E"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3.1</w:t>
      </w:r>
      <w:r w:rsidR="00CD5564">
        <w:rPr>
          <w:rFonts w:ascii="Tahoma" w:eastAsia="Times New Roman" w:hAnsi="Tahoma"/>
          <w:b/>
          <w:sz w:val="20"/>
          <w:szCs w:val="24"/>
        </w:rPr>
        <w:t>2</w:t>
      </w:r>
    </w:p>
    <w:p w14:paraId="406C03AF"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CIGLI E CUNETTE</w:t>
      </w:r>
    </w:p>
    <w:p w14:paraId="0AD61A88" w14:textId="77777777" w:rsidR="00C97A7B" w:rsidRDefault="00C97A7B" w:rsidP="00C97A7B">
      <w:pPr>
        <w:spacing w:after="0"/>
        <w:jc w:val="left"/>
        <w:rPr>
          <w:rFonts w:ascii="Tahoma" w:eastAsia="Times New Roman" w:hAnsi="Tahoma"/>
          <w:sz w:val="20"/>
          <w:szCs w:val="24"/>
        </w:rPr>
      </w:pPr>
    </w:p>
    <w:p w14:paraId="52C49199"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I cigli e le cunette in calcestruzzo, ove in elenco non sia stato previsto prezzo a metro lineare, saranno pagati a metro cubo, comprendendo nel prezzo ogni magistero per dare le superfici viste rifinite fresche al frattazzo.</w:t>
      </w:r>
    </w:p>
    <w:p w14:paraId="5A126B47" w14:textId="77777777" w:rsidR="00C97A7B" w:rsidRDefault="00C97A7B" w:rsidP="00C97A7B">
      <w:pPr>
        <w:spacing w:after="0"/>
        <w:ind w:firstLine="284"/>
        <w:rPr>
          <w:rFonts w:ascii="Tahoma" w:eastAsia="Times New Roman" w:hAnsi="Tahoma"/>
          <w:sz w:val="20"/>
          <w:szCs w:val="24"/>
        </w:rPr>
      </w:pPr>
    </w:p>
    <w:p w14:paraId="0FAA74B0"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#{GUID_F4DA63D5-C395-4BEF-BC32-1C541A235EC9|LIVELLO_2|TESTO_Paracarri - Indicatori chilometrici - Termini di confine_END}&amp;</w:t>
      </w:r>
      <w:bookmarkStart w:id="49" w:name="435"/>
      <w:bookmarkEnd w:id="49"/>
    </w:p>
    <w:p w14:paraId="194B3B03" w14:textId="2D27984A"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3.1</w:t>
      </w:r>
      <w:r w:rsidR="00CD5564">
        <w:rPr>
          <w:rFonts w:ascii="Tahoma" w:eastAsia="Times New Roman" w:hAnsi="Tahoma"/>
          <w:b/>
          <w:sz w:val="20"/>
          <w:szCs w:val="24"/>
        </w:rPr>
        <w:t>3</w:t>
      </w:r>
    </w:p>
    <w:p w14:paraId="7623A8F8"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MANODOPERA</w:t>
      </w:r>
    </w:p>
    <w:p w14:paraId="51162BDA" w14:textId="77777777" w:rsidR="00C97A7B" w:rsidRDefault="00C97A7B" w:rsidP="00C97A7B">
      <w:pPr>
        <w:spacing w:after="0"/>
        <w:rPr>
          <w:rFonts w:ascii="Tahoma" w:eastAsia="Times New Roman" w:hAnsi="Tahoma"/>
          <w:sz w:val="20"/>
          <w:szCs w:val="24"/>
        </w:rPr>
      </w:pPr>
    </w:p>
    <w:p w14:paraId="5A9D2A7A"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color w:val="000000"/>
          <w:sz w:val="20"/>
          <w:szCs w:val="24"/>
        </w:rPr>
        <w:t>Gli operai per i lavori in economia dovranno essere idonei al lavoro per il quale sono richiesti e dovranno essere provvisti dei necessari attrezzi.</w:t>
      </w:r>
    </w:p>
    <w:p w14:paraId="5A7373D1"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sz w:val="20"/>
          <w:szCs w:val="24"/>
        </w:rPr>
        <w:t>L'Appaltatore è obbligato, senza compenso alcuno, a sostituire tutti quegli operai che non soddisfino la Direzione dei Lavori.</w:t>
      </w:r>
    </w:p>
    <w:p w14:paraId="1A2F0F8A"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sz w:val="20"/>
          <w:szCs w:val="24"/>
        </w:rPr>
        <w:t>Circa le prestazioni di mano d'opera saranno osservate le disposizioni e convenzioni stabilite dalle leggi e dai contratti collettivi di lavoro.</w:t>
      </w:r>
    </w:p>
    <w:p w14:paraId="1A73E937"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sz w:val="20"/>
          <w:szCs w:val="24"/>
        </w:rPr>
        <w:t>Nell'esecuzione dei lavori che formano oggetto del presente appalto, l'Appaltatore si obbliga ad applicare integralmente tutte le norme contenute nel contratto collettivo nazionale di lavoro per gli operai dipendenti dalle aziende industriali edili ed affini e negli accordi locali integrativi dello stesso, in vigore per il tempo e nella località in cui si svolgono i lavori anzidetti.</w:t>
      </w:r>
    </w:p>
    <w:p w14:paraId="6BC6B2C7"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sz w:val="20"/>
          <w:szCs w:val="24"/>
        </w:rPr>
        <w:t>L'Appaltatore si obbliga altresì ad applicare il contratto e gli accordi medesimi anche dopo la scadenza e fino alla sostituzione e, se cooperative, anche nei rapporti con i soci.</w:t>
      </w:r>
    </w:p>
    <w:p w14:paraId="40C5674A"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sz w:val="20"/>
          <w:szCs w:val="24"/>
        </w:rPr>
        <w:t>I suddetti obblighi vincolano l'Appaltatore anche se non sia aderente alle associazioni stipulanti o receda da esse e indipendentemente dalla natura industriale della stessa e da ogni altra sua qualificazione giuridica, economica o sindacale.</w:t>
      </w:r>
    </w:p>
    <w:p w14:paraId="70186A68" w14:textId="77777777" w:rsidR="00C97A7B" w:rsidRDefault="00C97A7B" w:rsidP="00C97A7B">
      <w:pPr>
        <w:spacing w:after="0"/>
        <w:ind w:right="1" w:firstLine="283"/>
        <w:rPr>
          <w:rFonts w:ascii="Tahoma" w:eastAsia="Times New Roman" w:hAnsi="Tahoma"/>
          <w:sz w:val="20"/>
          <w:szCs w:val="24"/>
        </w:rPr>
      </w:pPr>
    </w:p>
    <w:p w14:paraId="73B70087"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#{GUID_CAB97757-C958-43F2-B95E-C44587B9B25D|LIVELLO_2|TESTO_Noleggi_END}&amp;</w:t>
      </w:r>
      <w:bookmarkStart w:id="50" w:name="473"/>
      <w:bookmarkEnd w:id="50"/>
    </w:p>
    <w:p w14:paraId="4E9C38D9" w14:textId="253022A5"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w:t>
      </w:r>
      <w:r w:rsidR="00CD5564">
        <w:rPr>
          <w:rFonts w:ascii="Tahoma" w:eastAsia="Times New Roman" w:hAnsi="Tahoma"/>
          <w:b/>
          <w:sz w:val="20"/>
          <w:szCs w:val="24"/>
        </w:rPr>
        <w:t>14</w:t>
      </w:r>
    </w:p>
    <w:p w14:paraId="5A3DB5C5"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NOLEGGI</w:t>
      </w:r>
    </w:p>
    <w:p w14:paraId="0C7337B6" w14:textId="77777777" w:rsidR="00C97A7B" w:rsidRDefault="00C97A7B" w:rsidP="00C97A7B">
      <w:pPr>
        <w:spacing w:after="0"/>
        <w:rPr>
          <w:rFonts w:ascii="Tahoma" w:eastAsia="Times New Roman" w:hAnsi="Tahoma"/>
          <w:sz w:val="20"/>
          <w:szCs w:val="24"/>
        </w:rPr>
      </w:pPr>
    </w:p>
    <w:p w14:paraId="3B2CFF3C"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Le macchine e gli attrezzi dati a noleggio devono essere in perfetto stato di esercizio ed essere provvisti di tutti gli accessori necessari per il loro regolare funzionamento.</w:t>
      </w:r>
    </w:p>
    <w:p w14:paraId="48486A87"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Sono a carico esclusivo dell'Appaltatore la manutenzione degli attrezzi e prezzi di noleggio di meccanismi in genere, si intendono corrisposti per tutto il tempo durante il quale i meccanismi rimangono a piè d'opera a disposizione dell'Amministrazione, e cioè anche per le ore in cui i meccanismi stessi non funzionano, applicandosi il prezzo prestabilito.</w:t>
      </w:r>
    </w:p>
    <w:p w14:paraId="1D2B8CB2"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Nel prezzo di noleggio sono compresi gli oneri e tutte le spese per il trasporto a pie d'opera, montaggio, smontaggio ed allontanamento di detti meccanismi.</w:t>
      </w:r>
    </w:p>
    <w:p w14:paraId="2AC13F5D" w14:textId="77777777" w:rsidR="00C97A7B" w:rsidRDefault="00C97A7B" w:rsidP="00C97A7B">
      <w:pPr>
        <w:spacing w:after="0"/>
        <w:ind w:right="1" w:firstLine="283"/>
        <w:rPr>
          <w:rFonts w:ascii="Tahoma" w:eastAsia="Times New Roman" w:hAnsi="Tahoma"/>
          <w:sz w:val="20"/>
          <w:szCs w:val="24"/>
        </w:rPr>
      </w:pPr>
      <w:r>
        <w:rPr>
          <w:rFonts w:ascii="Tahoma" w:eastAsia="Times New Roman" w:hAnsi="Tahoma"/>
          <w:sz w:val="20"/>
          <w:szCs w:val="24"/>
        </w:rPr>
        <w:t>Per il noleggio di carri ed autocarri il prezzo verrà corrisposto soltanto per le ore di effettivo lavoro, rimanendo escluso ogni compenso per qualsiasi altra causa o perdita di tempo.</w:t>
      </w:r>
    </w:p>
    <w:p w14:paraId="52A89D30" w14:textId="77777777" w:rsidR="00C97A7B" w:rsidRDefault="00C97A7B" w:rsidP="00C97A7B">
      <w:pPr>
        <w:spacing w:after="0"/>
        <w:ind w:right="1" w:firstLine="283"/>
        <w:rPr>
          <w:rFonts w:ascii="Tahoma" w:eastAsia="Times New Roman" w:hAnsi="Tahoma"/>
          <w:sz w:val="20"/>
          <w:szCs w:val="24"/>
        </w:rPr>
      </w:pPr>
    </w:p>
    <w:p w14:paraId="29A32271" w14:textId="77777777" w:rsidR="00C97A7B" w:rsidRDefault="00C97A7B" w:rsidP="00C97A7B">
      <w:pPr>
        <w:spacing w:after="0"/>
        <w:jc w:val="left"/>
        <w:rPr>
          <w:rFonts w:ascii="Tahoma" w:eastAsia="Times New Roman" w:hAnsi="Tahoma"/>
          <w:b/>
          <w:sz w:val="20"/>
          <w:szCs w:val="24"/>
        </w:rPr>
      </w:pPr>
      <w:r>
        <w:rPr>
          <w:rFonts w:ascii="Times New Roman" w:eastAsia="Times New Roman" w:hAnsi="Times New Roman"/>
          <w:vanish/>
          <w:color w:val="000000"/>
          <w:sz w:val="14"/>
          <w:szCs w:val="24"/>
        </w:rPr>
        <w:t>#{GUID_87C26388-8421-4593-80F0-C40CD0E171EC|LIVELLO_2|TESTO_Lavori in galleria_END}&amp;</w:t>
      </w:r>
      <w:bookmarkStart w:id="51" w:name="359"/>
      <w:bookmarkEnd w:id="51"/>
    </w:p>
    <w:p w14:paraId="726D0105" w14:textId="6C0ABA59"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Art. 3.</w:t>
      </w:r>
      <w:r w:rsidR="00CD5564">
        <w:rPr>
          <w:rFonts w:ascii="Tahoma" w:eastAsia="Times New Roman" w:hAnsi="Tahoma"/>
          <w:b/>
          <w:sz w:val="20"/>
          <w:szCs w:val="24"/>
        </w:rPr>
        <w:t>15</w:t>
      </w:r>
    </w:p>
    <w:p w14:paraId="5ACD10F4"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LAVORI IN ECONOMIA</w:t>
      </w:r>
    </w:p>
    <w:p w14:paraId="08104F77" w14:textId="77777777" w:rsidR="00C97A7B" w:rsidRDefault="00C97A7B" w:rsidP="00C97A7B">
      <w:pPr>
        <w:spacing w:after="0"/>
        <w:rPr>
          <w:rFonts w:ascii="Tahoma" w:eastAsia="Times New Roman" w:hAnsi="Tahoma"/>
          <w:sz w:val="20"/>
          <w:szCs w:val="24"/>
        </w:rPr>
      </w:pPr>
    </w:p>
    <w:p w14:paraId="74C52E24"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La Stazione Appaltante ha il diritto di chiedere all'Appaltatore, che ne ha l'obbligo, di fornire mano d'opera, mezzi d'opera e materiali per lavori e servizi le cui prestazioni saranno contabilizzate in economia.</w:t>
      </w:r>
    </w:p>
    <w:p w14:paraId="4B8817D5"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Per i lavori in economia nel costo orario della mano d'opera si intende compresa ogni incidenza per attrezzi ed utensili di lavoro e quanto altro occorra per il loro impiego.</w:t>
      </w:r>
    </w:p>
    <w:p w14:paraId="3F0730DA"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Gli operai per i lavori in economia dovranno essere qualificati per i lavori da eseguire e provvisti degli attrezzi ed utensili necessari che dovranno essere sempre in perfetta efficienza e provvisti di tutti gli accessori necessari per il loro regolare funzionamento. Nella contabilizzazione non verranno riconosciuti oneri per spese di trasporto e di trasferta.</w:t>
      </w:r>
    </w:p>
    <w:p w14:paraId="11E9F94F"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Per le prestazioni in economia l'Appaltatore ha l'obbligo di consegnare quotidianamente alla Direzione dei Lavori le liste con le ore di impiego relative agli operai, noli e materiali utilizzati. Le prestazioni non preventivamente autorizzate e/o non dichiarate dall'Appaltatore nei modi e nei termini di cui sopra non saranno in alcun modo riconosciute.</w:t>
      </w:r>
    </w:p>
    <w:p w14:paraId="580E0492"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Le prestazioni e le forniture in economia saranno disposte dalla Direzione dei Lavori solo per lavori secondari ed accessori e nei casi e nei limiti previsti dal </w:t>
      </w:r>
      <w:proofErr w:type="spellStart"/>
      <w:r>
        <w:rPr>
          <w:rFonts w:ascii="Tahoma" w:eastAsia="Times New Roman" w:hAnsi="Tahoma"/>
          <w:sz w:val="20"/>
          <w:szCs w:val="24"/>
        </w:rPr>
        <w:t>D.Lgs.</w:t>
      </w:r>
      <w:proofErr w:type="spellEnd"/>
      <w:r>
        <w:rPr>
          <w:rFonts w:ascii="Tahoma" w:eastAsia="Times New Roman" w:hAnsi="Tahoma"/>
          <w:sz w:val="20"/>
          <w:szCs w:val="24"/>
        </w:rPr>
        <w:t xml:space="preserve"> 18 aprile 2016 n. 50 e </w:t>
      </w:r>
      <w:proofErr w:type="spellStart"/>
      <w:r>
        <w:rPr>
          <w:rFonts w:ascii="Tahoma" w:eastAsia="Times New Roman" w:hAnsi="Tahoma"/>
          <w:sz w:val="20"/>
          <w:szCs w:val="24"/>
        </w:rPr>
        <w:t>s.m.i.</w:t>
      </w:r>
      <w:proofErr w:type="spellEnd"/>
    </w:p>
    <w:p w14:paraId="2CD229B6"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L'importo di tali prestazioni e provviste non potrà superare quello debitamente autorizzato nei limiti definiti dall’art. 36 del </w:t>
      </w:r>
      <w:proofErr w:type="spellStart"/>
      <w:r>
        <w:rPr>
          <w:rFonts w:ascii="Tahoma" w:eastAsia="Times New Roman" w:hAnsi="Tahoma"/>
          <w:sz w:val="20"/>
          <w:szCs w:val="24"/>
        </w:rPr>
        <w:t>D.Lgs.</w:t>
      </w:r>
      <w:proofErr w:type="spellEnd"/>
      <w:r>
        <w:rPr>
          <w:rFonts w:ascii="Tahoma" w:eastAsia="Times New Roman" w:hAnsi="Tahoma"/>
          <w:sz w:val="20"/>
          <w:szCs w:val="24"/>
        </w:rPr>
        <w:t xml:space="preserve"> 18 aprile 2016 n. 50 e </w:t>
      </w:r>
      <w:proofErr w:type="spellStart"/>
      <w:r>
        <w:rPr>
          <w:rFonts w:ascii="Tahoma" w:eastAsia="Times New Roman" w:hAnsi="Tahoma"/>
          <w:sz w:val="20"/>
          <w:szCs w:val="24"/>
        </w:rPr>
        <w:t>s.m.i.</w:t>
      </w:r>
      <w:proofErr w:type="spellEnd"/>
    </w:p>
    <w:p w14:paraId="1596E856" w14:textId="77777777" w:rsidR="00C97A7B" w:rsidRDefault="00C97A7B" w:rsidP="00C97A7B">
      <w:pPr>
        <w:spacing w:after="0"/>
        <w:ind w:firstLine="284"/>
        <w:rPr>
          <w:rFonts w:ascii="Tahoma" w:eastAsia="Times New Roman" w:hAnsi="Tahoma"/>
          <w:sz w:val="20"/>
          <w:szCs w:val="24"/>
        </w:rPr>
      </w:pPr>
    </w:p>
    <w:p w14:paraId="595BEE14" w14:textId="77777777" w:rsidR="00C97A7B" w:rsidRDefault="00C97A7B" w:rsidP="00C97A7B">
      <w:pPr>
        <w:spacing w:after="0"/>
        <w:ind w:firstLine="284"/>
        <w:rPr>
          <w:rFonts w:ascii="Tahoma" w:eastAsia="Times New Roman" w:hAnsi="Tahoma"/>
          <w:sz w:val="20"/>
          <w:szCs w:val="24"/>
        </w:rPr>
      </w:pPr>
    </w:p>
    <w:p w14:paraId="36C95001" w14:textId="65AEF92D" w:rsidR="00C97A7B" w:rsidRDefault="00C97A7B" w:rsidP="00C97A7B">
      <w:pPr>
        <w:spacing w:after="0"/>
        <w:jc w:val="center"/>
        <w:rPr>
          <w:rFonts w:ascii="Tahoma" w:eastAsia="Times New Roman" w:hAnsi="Tahoma"/>
          <w:b/>
          <w:sz w:val="20"/>
          <w:szCs w:val="24"/>
        </w:rPr>
      </w:pPr>
      <w:r>
        <w:rPr>
          <w:rFonts w:ascii="Times New Roman" w:eastAsia="Times New Roman" w:hAnsi="Times New Roman"/>
          <w:vanish/>
          <w:color w:val="000000"/>
          <w:sz w:val="14"/>
          <w:szCs w:val="24"/>
        </w:rPr>
        <w:t>#{GUID_8895C47B-BCA8-4F64-A6A4-22D9FFD1D2F7|LIVELLO_2|TESTO_Materiali a piè d'opera_END}&amp;</w:t>
      </w:r>
      <w:bookmarkStart w:id="52" w:name="475"/>
      <w:bookmarkEnd w:id="52"/>
      <w:r>
        <w:rPr>
          <w:rFonts w:ascii="Tahoma" w:eastAsia="Times New Roman" w:hAnsi="Tahoma"/>
          <w:b/>
          <w:sz w:val="20"/>
          <w:szCs w:val="24"/>
        </w:rPr>
        <w:t>Art. 3.</w:t>
      </w:r>
      <w:r w:rsidR="00CD5564">
        <w:rPr>
          <w:rFonts w:ascii="Tahoma" w:eastAsia="Times New Roman" w:hAnsi="Tahoma"/>
          <w:b/>
          <w:sz w:val="20"/>
          <w:szCs w:val="24"/>
        </w:rPr>
        <w:t>16</w:t>
      </w:r>
      <w:r>
        <w:rPr>
          <w:rFonts w:ascii="Tahoma" w:eastAsia="Times New Roman" w:hAnsi="Tahoma"/>
          <w:b/>
          <w:sz w:val="20"/>
          <w:szCs w:val="24"/>
        </w:rPr>
        <w:t xml:space="preserve"> </w:t>
      </w:r>
    </w:p>
    <w:p w14:paraId="640F0EED" w14:textId="77777777" w:rsidR="00C97A7B" w:rsidRDefault="00C97A7B" w:rsidP="00C97A7B">
      <w:pPr>
        <w:spacing w:after="0"/>
        <w:jc w:val="center"/>
        <w:rPr>
          <w:rFonts w:ascii="Tahoma" w:eastAsia="Times New Roman" w:hAnsi="Tahoma"/>
          <w:b/>
          <w:sz w:val="20"/>
          <w:szCs w:val="24"/>
        </w:rPr>
      </w:pPr>
      <w:r>
        <w:rPr>
          <w:rFonts w:ascii="Tahoma" w:eastAsia="Times New Roman" w:hAnsi="Tahoma"/>
          <w:b/>
          <w:sz w:val="20"/>
          <w:szCs w:val="24"/>
        </w:rPr>
        <w:t>MATERIALI A PIÈ D'OPERA</w:t>
      </w:r>
    </w:p>
    <w:p w14:paraId="30BC8EC3" w14:textId="77777777" w:rsidR="00C97A7B" w:rsidRDefault="00C97A7B" w:rsidP="00C97A7B">
      <w:pPr>
        <w:spacing w:after="0"/>
        <w:jc w:val="left"/>
        <w:rPr>
          <w:rFonts w:ascii="Tahoma" w:eastAsia="Times New Roman" w:hAnsi="Tahoma"/>
          <w:sz w:val="20"/>
          <w:szCs w:val="24"/>
        </w:rPr>
      </w:pPr>
    </w:p>
    <w:p w14:paraId="4CBDA18F"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Per determinati manufatti il cui valore </w:t>
      </w:r>
      <w:proofErr w:type="spellStart"/>
      <w:r>
        <w:rPr>
          <w:rFonts w:ascii="Tahoma" w:eastAsia="Times New Roman" w:hAnsi="Tahoma"/>
          <w:sz w:val="20"/>
          <w:szCs w:val="24"/>
        </w:rPr>
        <w:t>é</w:t>
      </w:r>
      <w:proofErr w:type="spellEnd"/>
      <w:r>
        <w:rPr>
          <w:rFonts w:ascii="Tahoma" w:eastAsia="Times New Roman" w:hAnsi="Tahoma"/>
          <w:sz w:val="20"/>
          <w:szCs w:val="24"/>
        </w:rPr>
        <w:t xml:space="preserve"> superiore alla spesa per la messa in opera, il prezzo a piè </w:t>
      </w:r>
      <w:proofErr w:type="spellStart"/>
      <w:r>
        <w:rPr>
          <w:rFonts w:ascii="Tahoma" w:eastAsia="Times New Roman" w:hAnsi="Tahoma"/>
          <w:sz w:val="20"/>
          <w:szCs w:val="24"/>
        </w:rPr>
        <w:t>dʹopera</w:t>
      </w:r>
      <w:proofErr w:type="spellEnd"/>
      <w:r>
        <w:rPr>
          <w:rFonts w:ascii="Tahoma" w:eastAsia="Times New Roman" w:hAnsi="Tahoma"/>
          <w:sz w:val="20"/>
          <w:szCs w:val="24"/>
        </w:rPr>
        <w:t xml:space="preserve"> ed il suo accreditamento in contabilità prima della messa in opera è stabilito in misura non superiore alla metà del prezzo stesso da valutarsi a prezzo di contratto o, in difetto, al prezzo di progetto.</w:t>
      </w:r>
    </w:p>
    <w:p w14:paraId="21EBD92C"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lastRenderedPageBreak/>
        <w:t xml:space="preserve">I prezzi per i materiali a piè d'opera si determineranno nei seguenti casi: </w:t>
      </w:r>
    </w:p>
    <w:p w14:paraId="6FF727E0" w14:textId="77777777" w:rsidR="00C97A7B" w:rsidRDefault="00C97A7B" w:rsidP="00C97A7B">
      <w:pPr>
        <w:spacing w:after="0"/>
        <w:ind w:left="568" w:hanging="284"/>
        <w:rPr>
          <w:rFonts w:ascii="Tahoma" w:eastAsia="Times New Roman" w:hAnsi="Tahoma"/>
          <w:sz w:val="20"/>
          <w:szCs w:val="24"/>
        </w:rPr>
      </w:pPr>
      <w:r>
        <w:rPr>
          <w:rFonts w:ascii="Tahoma" w:eastAsia="Times New Roman" w:hAnsi="Tahoma"/>
          <w:sz w:val="20"/>
          <w:szCs w:val="24"/>
        </w:rPr>
        <w:t>a)</w:t>
      </w:r>
      <w:r>
        <w:rPr>
          <w:rFonts w:ascii="Tahoma" w:eastAsia="Times New Roman" w:hAnsi="Tahoma"/>
          <w:sz w:val="20"/>
          <w:szCs w:val="24"/>
        </w:rPr>
        <w:tab/>
        <w:t xml:space="preserve">alle provviste dei materiali a piè d'opera che l'Appaltatore è tenuto a fare a richiesta della Direzione dei Lavori, comprese le somministrazioni per lavori in economia, alla cui esecuzione provvede direttamente la Stazione Appaltante; </w:t>
      </w:r>
    </w:p>
    <w:p w14:paraId="77C1B3BC" w14:textId="77777777" w:rsidR="00C97A7B" w:rsidRDefault="00C97A7B" w:rsidP="00C97A7B">
      <w:pPr>
        <w:spacing w:after="0"/>
        <w:ind w:left="568" w:hanging="284"/>
        <w:rPr>
          <w:rFonts w:ascii="Tahoma" w:eastAsia="Times New Roman" w:hAnsi="Tahoma"/>
          <w:sz w:val="20"/>
          <w:szCs w:val="24"/>
        </w:rPr>
      </w:pPr>
      <w:r>
        <w:rPr>
          <w:rFonts w:ascii="Tahoma" w:eastAsia="Times New Roman" w:hAnsi="Tahoma"/>
          <w:sz w:val="20"/>
          <w:szCs w:val="24"/>
        </w:rPr>
        <w:t>b)</w:t>
      </w:r>
      <w:r>
        <w:rPr>
          <w:rFonts w:ascii="Tahoma" w:eastAsia="Times New Roman" w:hAnsi="Tahoma"/>
          <w:sz w:val="20"/>
          <w:szCs w:val="24"/>
        </w:rPr>
        <w:tab/>
        <w:t xml:space="preserve">alla valutazione dei materiali accettabili nel caso di esecuzione di ufficio e nel caso di rescissione coattiva oppure di scioglimento di contratto; </w:t>
      </w:r>
    </w:p>
    <w:p w14:paraId="5D191AC5" w14:textId="77777777" w:rsidR="00C97A7B" w:rsidRDefault="00C97A7B" w:rsidP="00C97A7B">
      <w:pPr>
        <w:spacing w:after="0"/>
        <w:ind w:left="568" w:hanging="284"/>
        <w:rPr>
          <w:rFonts w:ascii="Tahoma" w:eastAsia="Times New Roman" w:hAnsi="Tahoma"/>
          <w:sz w:val="20"/>
          <w:szCs w:val="24"/>
        </w:rPr>
      </w:pPr>
      <w:r>
        <w:rPr>
          <w:rFonts w:ascii="Tahoma" w:eastAsia="Times New Roman" w:hAnsi="Tahoma"/>
          <w:sz w:val="20"/>
          <w:szCs w:val="24"/>
        </w:rPr>
        <w:t>c)</w:t>
      </w:r>
      <w:r>
        <w:rPr>
          <w:rFonts w:ascii="Tahoma" w:eastAsia="Times New Roman" w:hAnsi="Tahoma"/>
          <w:sz w:val="20"/>
          <w:szCs w:val="24"/>
        </w:rPr>
        <w:tab/>
        <w:t xml:space="preserve">alla valutazione del materiale per l'accreditamento del loro importo nei pagamenti in acconto; </w:t>
      </w:r>
    </w:p>
    <w:p w14:paraId="2724F1ED" w14:textId="77777777" w:rsidR="00C97A7B" w:rsidRDefault="00C97A7B" w:rsidP="00C97A7B">
      <w:pPr>
        <w:spacing w:after="0"/>
        <w:ind w:left="568" w:hanging="284"/>
        <w:rPr>
          <w:rFonts w:ascii="Tahoma" w:eastAsia="Times New Roman" w:hAnsi="Tahoma"/>
          <w:sz w:val="20"/>
          <w:szCs w:val="24"/>
        </w:rPr>
      </w:pPr>
      <w:r>
        <w:rPr>
          <w:rFonts w:ascii="Tahoma" w:eastAsia="Times New Roman" w:hAnsi="Tahoma"/>
          <w:sz w:val="20"/>
          <w:szCs w:val="24"/>
        </w:rPr>
        <w:t>d)</w:t>
      </w:r>
      <w:r>
        <w:rPr>
          <w:rFonts w:ascii="Tahoma" w:eastAsia="Times New Roman" w:hAnsi="Tahoma"/>
          <w:sz w:val="20"/>
          <w:szCs w:val="24"/>
        </w:rPr>
        <w:tab/>
        <w:t xml:space="preserve">alla valutazione delle provviste a piè d'opera che si dovessero rilevare dalla Stazione Appaltante quando per variazioni da essa introdotte non potessero più trovare impiego nei lavori. </w:t>
      </w:r>
    </w:p>
    <w:p w14:paraId="4F61DC53" w14:textId="77777777" w:rsidR="00C97A7B" w:rsidRDefault="00C97A7B" w:rsidP="00C97A7B">
      <w:pPr>
        <w:spacing w:after="0"/>
        <w:ind w:firstLine="284"/>
        <w:rPr>
          <w:rFonts w:ascii="Tahoma" w:eastAsia="Times New Roman" w:hAnsi="Tahoma"/>
          <w:sz w:val="20"/>
          <w:szCs w:val="24"/>
        </w:rPr>
      </w:pPr>
      <w:r>
        <w:rPr>
          <w:rFonts w:ascii="Tahoma" w:eastAsia="Times New Roman" w:hAnsi="Tahoma"/>
          <w:sz w:val="20"/>
          <w:szCs w:val="24"/>
        </w:rPr>
        <w:t xml:space="preserve">In detti prezzi dei materiali è compresa ogni spesa accessoria per dare i materiali a piè d'opera sul luogo di impiego, le spese generali ed il beneficio dell'Appaltatore. </w:t>
      </w:r>
    </w:p>
    <w:p w14:paraId="24C5F836" w14:textId="490F7805" w:rsidR="00CD5564" w:rsidRDefault="008A7A17" w:rsidP="00CD5564">
      <w:pPr>
        <w:spacing w:after="0" w:line="360" w:lineRule="atLeast"/>
        <w:jc w:val="center"/>
        <w:rPr>
          <w:rFonts w:ascii="Times New Roman" w:eastAsia="Times New Roman" w:hAnsi="Times New Roman"/>
          <w:vanish/>
          <w:sz w:val="14"/>
          <w:szCs w:val="24"/>
        </w:rPr>
      </w:pPr>
      <w:r>
        <w:rPr>
          <w:sz w:val="24"/>
          <w:szCs w:val="24"/>
        </w:rPr>
        <w:br w:type="page"/>
      </w:r>
      <w:r>
        <w:rPr>
          <w:rFonts w:ascii="Times New Roman" w:eastAsia="Times New Roman" w:hAnsi="Times New Roman"/>
          <w:vanish/>
          <w:color w:val="000000"/>
          <w:sz w:val="14"/>
          <w:szCs w:val="24"/>
        </w:rPr>
        <w:lastRenderedPageBreak/>
        <w:t>#{GUID_73A3282F-17BD-4930-BFBD-276781D451E7|LIVELLO_1|TESTO_Qualità dei materiali e dei componenti_END}&amp;</w:t>
      </w:r>
      <w:bookmarkStart w:id="53" w:name="3786"/>
      <w:bookmarkEnd w:id="53"/>
    </w:p>
    <w:p w14:paraId="7067165D" w14:textId="049A3341" w:rsidR="000B6E98" w:rsidRDefault="008A7A17">
      <w:pPr>
        <w:pBdr>
          <w:top w:val="single" w:sz="6" w:space="0" w:color="auto"/>
          <w:bottom w:val="single" w:sz="6" w:space="0" w:color="auto"/>
        </w:pBdr>
        <w:spacing w:before="20" w:after="20"/>
        <w:jc w:val="center"/>
        <w:rPr>
          <w:rFonts w:ascii="Tahoma" w:eastAsia="Times New Roman" w:hAnsi="Tahoma"/>
          <w:b/>
          <w:color w:val="000000"/>
          <w:sz w:val="32"/>
          <w:szCs w:val="24"/>
        </w:rPr>
      </w:pPr>
      <w:r>
        <w:rPr>
          <w:rFonts w:ascii="Times New Roman" w:eastAsia="Times New Roman" w:hAnsi="Times New Roman"/>
          <w:vanish/>
          <w:sz w:val="14"/>
          <w:szCs w:val="24"/>
        </w:rPr>
        <w:t>{INDEX_BEGIN}</w:t>
      </w:r>
      <w:r>
        <w:rPr>
          <w:rFonts w:ascii="Tahoma" w:eastAsia="Times New Roman" w:hAnsi="Tahoma"/>
          <w:b/>
          <w:color w:val="000000"/>
          <w:sz w:val="32"/>
          <w:szCs w:val="24"/>
        </w:rPr>
        <w:t>INDICE</w:t>
      </w:r>
    </w:p>
    <w:p w14:paraId="3DD1D723" w14:textId="43364539" w:rsidR="000B6E98" w:rsidRDefault="000B6E98">
      <w:pPr>
        <w:pBdr>
          <w:top w:val="single" w:sz="6" w:space="0" w:color="auto"/>
          <w:bottom w:val="single" w:sz="6" w:space="0" w:color="auto"/>
        </w:pBdr>
        <w:spacing w:before="20" w:after="20"/>
        <w:jc w:val="center"/>
        <w:rPr>
          <w:rFonts w:ascii="Tahoma" w:eastAsia="Times New Roman" w:hAnsi="Tahoma"/>
          <w:b/>
          <w:color w:val="000000"/>
          <w:sz w:val="24"/>
          <w:szCs w:val="24"/>
        </w:rPr>
      </w:pPr>
    </w:p>
    <w:p w14:paraId="36371C2D" w14:textId="77777777" w:rsidR="000B6E98" w:rsidRDefault="000B6E98">
      <w:pPr>
        <w:spacing w:after="0"/>
        <w:jc w:val="left"/>
        <w:rPr>
          <w:sz w:val="24"/>
          <w:szCs w:val="24"/>
        </w:rPr>
      </w:pPr>
    </w:p>
    <w:p w14:paraId="7B40C89B" w14:textId="77777777" w:rsidR="000B6E98" w:rsidRDefault="000B6E98">
      <w:pPr>
        <w:spacing w:after="0"/>
        <w:jc w:val="left"/>
        <w:rPr>
          <w:sz w:val="24"/>
          <w:szCs w:val="24"/>
        </w:rPr>
      </w:pPr>
    </w:p>
    <w:p w14:paraId="7F5CCF7A" w14:textId="04EE254D" w:rsidR="000B6E98" w:rsidRDefault="008A7A17">
      <w:pPr>
        <w:tabs>
          <w:tab w:val="left" w:leader="hyphen" w:pos="8788"/>
          <w:tab w:val="right" w:pos="9581"/>
        </w:tabs>
        <w:spacing w:after="0"/>
        <w:ind w:right="994"/>
        <w:jc w:val="left"/>
        <w:rPr>
          <w:rFonts w:ascii="Tahoma" w:eastAsia="Times New Roman" w:hAnsi="Tahoma"/>
          <w:b/>
          <w:color w:val="0000FF"/>
          <w:szCs w:val="24"/>
          <w:u w:val="single"/>
        </w:rPr>
      </w:pPr>
      <w:r>
        <w:rPr>
          <w:rFonts w:ascii="Tahoma" w:eastAsia="Times New Roman" w:hAnsi="Tahoma"/>
          <w:b/>
          <w:color w:val="000000"/>
          <w:szCs w:val="24"/>
        </w:rPr>
        <w:t>1) Oggetto, ammontare e forma dell'appalto - Descrizione, forma, dimensioni e variazioni delle opere</w:t>
      </w:r>
      <w:r>
        <w:rPr>
          <w:rFonts w:ascii="Tahoma" w:eastAsia="Times New Roman" w:hAnsi="Tahoma"/>
          <w:b/>
          <w:color w:val="000000"/>
          <w:szCs w:val="24"/>
        </w:rPr>
        <w:tab/>
      </w:r>
      <w:r>
        <w:rPr>
          <w:rFonts w:ascii="Tahoma" w:eastAsia="Times New Roman" w:hAnsi="Tahoma"/>
          <w:b/>
          <w:color w:val="000000"/>
          <w:szCs w:val="24"/>
        </w:rPr>
        <w:tab/>
      </w:r>
      <w:r>
        <w:rPr>
          <w:rFonts w:ascii="Tahoma" w:eastAsia="Times New Roman" w:hAnsi="Tahoma"/>
          <w:b/>
          <w:color w:val="0000FF"/>
          <w:szCs w:val="24"/>
          <w:u w:val="single"/>
        </w:rPr>
        <w:fldChar w:fldCharType="begin"/>
      </w:r>
      <w:r w:rsidR="002038C7">
        <w:rPr>
          <w:rFonts w:ascii="Tahoma" w:eastAsia="Times New Roman" w:hAnsi="Tahoma"/>
          <w:b/>
          <w:color w:val="0000FF"/>
          <w:szCs w:val="24"/>
          <w:u w:val="single"/>
        </w:rPr>
        <w:instrText>HYPERLINK "C:\\Users\\Moreno\\Desktop\\HYPER_INDICE|2|Oggetto,"</w:instrText>
      </w:r>
      <w:r>
        <w:rPr>
          <w:rFonts w:ascii="Tahoma" w:eastAsia="Times New Roman" w:hAnsi="Tahoma"/>
          <w:b/>
          <w:color w:val="0000FF"/>
          <w:szCs w:val="24"/>
          <w:u w:val="single"/>
        </w:rPr>
        <w:fldChar w:fldCharType="separate"/>
      </w:r>
      <w:r w:rsidR="002F3A93">
        <w:rPr>
          <w:rFonts w:ascii="Tahoma" w:eastAsia="Times New Roman" w:hAnsi="Tahoma"/>
          <w:b/>
          <w:color w:val="0000FF"/>
          <w:szCs w:val="24"/>
          <w:u w:val="single"/>
        </w:rPr>
        <w:t>1</w:t>
      </w:r>
    </w:p>
    <w:p w14:paraId="26906E30" w14:textId="58C4923F"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b/>
          <w:color w:val="0000FF"/>
          <w:szCs w:val="24"/>
          <w:u w:val="single"/>
        </w:rPr>
        <w:fldChar w:fldCharType="end"/>
      </w:r>
      <w:r>
        <w:rPr>
          <w:rFonts w:ascii="Tahoma" w:eastAsia="Times New Roman" w:hAnsi="Tahoma"/>
          <w:color w:val="000000"/>
          <w:szCs w:val="24"/>
        </w:rPr>
        <w:t xml:space="preserve">     Oggetto dell'appalto</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"C:\\Users\\Moreno\\Desktop\\HYPER_INDICE|2|Oggetto"</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w:t>
      </w:r>
    </w:p>
    <w:p w14:paraId="627EB66A" w14:textId="146E4966"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Forma dell'appalto</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"C:\\Users\\Moreno\\Desktop\\HYPER_INDICE|2|Forma"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w:t>
      </w:r>
    </w:p>
    <w:p w14:paraId="3228FB04" w14:textId="5D007E56" w:rsidR="000B6E98" w:rsidRDefault="008A7A17">
      <w:pPr>
        <w:tabs>
          <w:tab w:val="left" w:leader="hyphen" w:pos="8788"/>
          <w:tab w:val="right" w:pos="9581"/>
        </w:tabs>
        <w:spacing w:after="0" w:line="276" w:lineRule="auto"/>
        <w:ind w:right="994"/>
        <w:jc w:val="left"/>
        <w:rPr>
          <w:rFonts w:ascii="Tahoma" w:eastAsia="Times New Roman" w:hAnsi="Tahoma"/>
          <w:color w:val="0000FF"/>
          <w:sz w:val="20"/>
          <w:szCs w:val="24"/>
          <w:u w:val="single"/>
        </w:rPr>
      </w:pPr>
      <w:r>
        <w:rPr>
          <w:rFonts w:ascii="Tahoma" w:eastAsia="Times New Roman" w:hAnsi="Tahoma"/>
          <w:color w:val="0000FF"/>
          <w:szCs w:val="24"/>
          <w:u w:val="single"/>
        </w:rPr>
        <w:fldChar w:fldCharType="end"/>
      </w:r>
      <w:r w:rsidRPr="002F3A93">
        <w:rPr>
          <w:rFonts w:ascii="Tahoma" w:eastAsia="Times New Roman" w:hAnsi="Tahoma"/>
          <w:color w:val="000000"/>
          <w:szCs w:val="24"/>
        </w:rPr>
        <w:t xml:space="preserve">     Quadro economico</w:t>
      </w:r>
      <w:r>
        <w:rPr>
          <w:rFonts w:ascii="Tahoma" w:eastAsia="Times New Roman" w:hAnsi="Tahoma"/>
          <w:color w:val="000000"/>
          <w:sz w:val="20"/>
          <w:szCs w:val="24"/>
        </w:rPr>
        <w:tab/>
      </w:r>
      <w:r>
        <w:rPr>
          <w:rFonts w:ascii="Tahoma" w:eastAsia="Times New Roman" w:hAnsi="Tahoma"/>
          <w:color w:val="000000"/>
          <w:sz w:val="20"/>
          <w:szCs w:val="24"/>
        </w:rPr>
        <w:tab/>
      </w:r>
      <w:r>
        <w:rPr>
          <w:rFonts w:ascii="Tahoma" w:eastAsia="Times New Roman" w:hAnsi="Tahoma"/>
          <w:color w:val="0000FF"/>
          <w:sz w:val="20"/>
          <w:szCs w:val="24"/>
          <w:u w:val="single"/>
        </w:rPr>
        <w:fldChar w:fldCharType="begin"/>
      </w:r>
      <w:r w:rsidR="00CF1574">
        <w:rPr>
          <w:rFonts w:ascii="Tahoma" w:eastAsia="Times New Roman" w:hAnsi="Tahoma"/>
          <w:color w:val="0000FF"/>
          <w:sz w:val="20"/>
          <w:szCs w:val="24"/>
          <w:u w:val="single"/>
        </w:rPr>
        <w:instrText>HYPERLINK "C:\\Users\\Moreno\\Desktop\\HYPER_INDICE|4|Quadro"</w:instrText>
      </w:r>
      <w:r>
        <w:rPr>
          <w:rFonts w:ascii="Tahoma" w:eastAsia="Times New Roman" w:hAnsi="Tahoma"/>
          <w:color w:val="0000FF"/>
          <w:sz w:val="20"/>
          <w:szCs w:val="24"/>
          <w:u w:val="single"/>
        </w:rPr>
        <w:fldChar w:fldCharType="separate"/>
      </w:r>
      <w:r w:rsidR="002F3A93">
        <w:rPr>
          <w:rFonts w:ascii="Tahoma" w:eastAsia="Times New Roman" w:hAnsi="Tahoma"/>
          <w:color w:val="0000FF"/>
          <w:u w:val="single"/>
        </w:rPr>
        <w:t>2</w:t>
      </w:r>
    </w:p>
    <w:p w14:paraId="6932A19E" w14:textId="2B369EEA"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 w:val="20"/>
          <w:szCs w:val="24"/>
          <w:u w:val="single"/>
        </w:rPr>
        <w:fldChar w:fldCharType="end"/>
      </w:r>
      <w:r>
        <w:rPr>
          <w:rFonts w:ascii="Tahoma" w:eastAsia="Times New Roman" w:hAnsi="Tahoma"/>
          <w:color w:val="000000"/>
          <w:szCs w:val="24"/>
        </w:rPr>
        <w:t xml:space="preserve">     Ammontare dell'appalto</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"C:\\Users\\Moreno\\Desktop\\HYPER_INDICE|4|Ammontare"</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3</w:t>
      </w:r>
    </w:p>
    <w:p w14:paraId="566F0A15" w14:textId="364A5B03"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Affidamento e contratto</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"C:\\Users\\Moreno\\Desktop\\HYPER_INDICE|6|Affidamento"</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4</w:t>
      </w:r>
    </w:p>
    <w:p w14:paraId="7CE29FBE" w14:textId="50932584"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Forma e principali dimensioni delle opere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"C:\\Users\\Moreno\\Desktop\\HYPER_INDICE|6|Forma"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4</w:t>
      </w:r>
    </w:p>
    <w:p w14:paraId="1D172D3E" w14:textId="4E350DE2"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Variazioni delle opere progettate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"C:\\Users\\Moreno\\Desktop\\HYPER_INDICE|6|Variazioni"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5</w:t>
      </w:r>
    </w:p>
    <w:p w14:paraId="1D2F68AF" w14:textId="31A4876E" w:rsidR="000B6E98" w:rsidRDefault="008A7A17">
      <w:pPr>
        <w:tabs>
          <w:tab w:val="left" w:leader="hyphen" w:pos="8788"/>
          <w:tab w:val="right" w:pos="9581"/>
        </w:tabs>
        <w:spacing w:after="0" w:line="276" w:lineRule="auto"/>
        <w:ind w:right="994"/>
        <w:jc w:val="left"/>
        <w:rPr>
          <w:rFonts w:ascii="Tahoma" w:eastAsia="Times New Roman" w:hAnsi="Tahoma"/>
          <w:b/>
          <w:color w:val="0000FF"/>
          <w:szCs w:val="24"/>
          <w:u w:val="single"/>
        </w:rPr>
      </w:pPr>
      <w:r>
        <w:rPr>
          <w:rFonts w:ascii="Tahoma" w:eastAsia="Times New Roman" w:hAnsi="Tahoma"/>
          <w:color w:val="0000FF"/>
          <w:szCs w:val="24"/>
          <w:u w:val="single"/>
        </w:rPr>
        <w:fldChar w:fldCharType="end"/>
      </w:r>
      <w:r>
        <w:rPr>
          <w:rFonts w:ascii="Tahoma" w:eastAsia="Times New Roman" w:hAnsi="Tahoma"/>
          <w:b/>
          <w:color w:val="000000"/>
          <w:szCs w:val="24"/>
        </w:rPr>
        <w:t>2) Disposizioni particolari riguardanti l'appalto</w:t>
      </w:r>
      <w:r>
        <w:rPr>
          <w:rFonts w:ascii="Tahoma" w:eastAsia="Times New Roman" w:hAnsi="Tahoma"/>
          <w:b/>
          <w:color w:val="000000"/>
          <w:szCs w:val="24"/>
        </w:rPr>
        <w:tab/>
      </w:r>
      <w:r>
        <w:rPr>
          <w:rFonts w:ascii="Tahoma" w:eastAsia="Times New Roman" w:hAnsi="Tahoma"/>
          <w:b/>
          <w:color w:val="000000"/>
          <w:szCs w:val="24"/>
        </w:rPr>
        <w:tab/>
      </w:r>
      <w:r>
        <w:rPr>
          <w:rFonts w:ascii="Tahoma" w:eastAsia="Times New Roman" w:hAnsi="Tahoma"/>
          <w:b/>
          <w:color w:val="0000FF"/>
          <w:szCs w:val="24"/>
          <w:u w:val="single"/>
        </w:rPr>
        <w:fldChar w:fldCharType="begin"/>
      </w:r>
      <w:r w:rsidR="00CF1574">
        <w:rPr>
          <w:rFonts w:ascii="Tahoma" w:eastAsia="Times New Roman" w:hAnsi="Tahoma"/>
          <w:b/>
          <w:color w:val="0000FF"/>
          <w:szCs w:val="24"/>
          <w:u w:val="single"/>
        </w:rPr>
        <w:instrText>HYPERLINK "C:\\Users\\Moreno\\Desktop\\HYPER_INDICE|8|Disposizioni"</w:instrText>
      </w:r>
      <w:r>
        <w:rPr>
          <w:rFonts w:ascii="Tahoma" w:eastAsia="Times New Roman" w:hAnsi="Tahoma"/>
          <w:b/>
          <w:color w:val="0000FF"/>
          <w:szCs w:val="24"/>
          <w:u w:val="single"/>
        </w:rPr>
        <w:fldChar w:fldCharType="separate"/>
      </w:r>
      <w:r w:rsidR="002F3A93">
        <w:rPr>
          <w:rFonts w:ascii="Tahoma" w:eastAsia="Times New Roman" w:hAnsi="Tahoma"/>
          <w:b/>
          <w:color w:val="0000FF"/>
          <w:szCs w:val="24"/>
          <w:u w:val="single"/>
        </w:rPr>
        <w:t>6</w:t>
      </w:r>
    </w:p>
    <w:p w14:paraId="3ECFCE27" w14:textId="75D25D9D"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b/>
          <w:color w:val="0000FF"/>
          <w:szCs w:val="24"/>
          <w:u w:val="single"/>
        </w:rPr>
        <w:fldChar w:fldCharType="end"/>
      </w:r>
      <w:r>
        <w:rPr>
          <w:rFonts w:ascii="Tahoma" w:eastAsia="Times New Roman" w:hAnsi="Tahoma"/>
          <w:color w:val="000000"/>
          <w:szCs w:val="24"/>
        </w:rPr>
        <w:t xml:space="preserve">     Osservanza del capitolato speciale d'appalto e di particolari disposizioni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"C:\\Users\\Moreno\\Desktop\\HYPER_INDICE|8|Osservanza"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6</w:t>
      </w:r>
    </w:p>
    <w:p w14:paraId="45247A12" w14:textId="15BD96FB"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Documenti che fanno parte del contratto e discordanze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"C:\\Users\\Moreno\\Desktop\\HYPER_INDICE|8|Documenti"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6</w:t>
      </w:r>
    </w:p>
    <w:p w14:paraId="236BDE75" w14:textId="69E883EA"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Qualificazione dell'Appaltatore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"C:\\Users\\Moreno\\Desktop\\HYPER_INDICE|9|Qualificazione"</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7</w:t>
      </w:r>
    </w:p>
    <w:p w14:paraId="7C41E0C7" w14:textId="29F56133"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Fallimento dell'Appaltatore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"C:\\Users\\Moreno\\Desktop\\HYPER_INDICE|10|Fallimento"</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8</w:t>
      </w:r>
    </w:p>
    <w:p w14:paraId="06592DEE" w14:textId="70EF2BB6"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Risoluzione del contratto</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"C:\\Users\\Moreno\\Desktop\\HYPER_INDICE|10|Risoluzione"</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8</w:t>
      </w:r>
    </w:p>
    <w:p w14:paraId="2643ABD9" w14:textId="28160286"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Garanzia provvisoria</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"C:\\Users\\Moreno\\Desktop\\HYPER_INDICE|12|Garanzia"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10</w:t>
      </w:r>
    </w:p>
    <w:p w14:paraId="0D247A01" w14:textId="5CBC4891"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Garanzia definitiva</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"C:\\Users\\Moreno\\Desktop\\HYPER_INDICE|13|Garanzia"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11</w:t>
      </w:r>
    </w:p>
    <w:p w14:paraId="4B69277E" w14:textId="675F2AE1"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Coperture assicurative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"C:\\Users\\Moreno\\Desktop\\HYPER_INDICE|14|Coperture"</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12</w:t>
      </w:r>
    </w:p>
    <w:p w14:paraId="1C1CF048" w14:textId="392ACAD4"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Disciplina del subappalto</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"C:\\Users\\Moreno\\Desktop\\HYPER_INDICE|14|Disciplina"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13</w:t>
      </w:r>
    </w:p>
    <w:p w14:paraId="1D3AB607" w14:textId="10911088"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Consegna lavori - Inizio e termine per l'esecuzione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"C:\\Users\\Moreno\\Desktop\\HYPER_INDICE|17|Consegna"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15</w:t>
      </w:r>
    </w:p>
    <w:p w14:paraId="7065E309" w14:textId="336FCACD"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Programma di esecuzione dei lavori - Sospensioni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"C:\\Users\\Moreno\\Desktop\\HYPER_INDICE|19|Programma"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17</w:t>
      </w:r>
    </w:p>
    <w:p w14:paraId="0FC3CED4" w14:textId="6F39CCDC"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Rapporti con la Direzione lavori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"C:\\Users\\Moreno\\Desktop\\HYPER_INDICE|21|Rapporti"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19</w:t>
      </w:r>
    </w:p>
    <w:p w14:paraId="65E2468C" w14:textId="6ABF06E0"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Ispettori di cantiere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"C:\\Users\\Moreno\\Desktop\\HYPER_INDICE|22|Ispettori"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21</w:t>
      </w:r>
    </w:p>
    <w:p w14:paraId="34B95728" w14:textId="02668B43"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Penali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"C:\\Users\\Moreno\\Desktop\\HYPER_INDICE|23|Penali|1516|72"</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21</w:t>
      </w:r>
    </w:p>
    <w:p w14:paraId="45515B65" w14:textId="0BD1AFDC"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Sicurezza dei lavori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"C:\\Users\\Moreno\\Desktop\\HYPER_INDICE|24|Sicurezza"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22</w:t>
      </w:r>
    </w:p>
    <w:p w14:paraId="5D2BFE91" w14:textId="6E09019C"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Obblighi dell'Appaltatore relativi alla tracciabilità dei flussi finanziari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"C:\\Users\\Moreno\\Desktop\\HYPER_INDICE|25|Obblighi"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23</w:t>
      </w:r>
    </w:p>
    <w:p w14:paraId="7BD1E873" w14:textId="04E60B8E"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Anticipazione e pagamenti in acconto</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"C:\\Users\\Moreno\\Desktop\\HYPER_INDICE|26|Anticipazione"</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24</w:t>
      </w:r>
    </w:p>
    <w:p w14:paraId="3ECF7392" w14:textId="273D3818"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Conto finale - Avviso ai creditori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"C:\\Users\\Moreno\\Desktop\\HYPER_INDICE|27|Conto"</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25</w:t>
      </w:r>
    </w:p>
    <w:p w14:paraId="3791822E" w14:textId="0D12A475"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Collaudo - Certificato di regolare esecuzione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"C:\\Users\\Moreno\\Desktop\\HYPER_INDICE|28|Collaudo"</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26</w:t>
      </w:r>
    </w:p>
    <w:p w14:paraId="643BE5E4" w14:textId="07C975E8"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Oneri ed obblighi diversi a carico dell'Appaltatore - Responsabilità dell'Appaltatore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"C:\\Users\\Moreno\\Desktop\\HYPER_INDICE|29|Oneri"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26</w:t>
      </w:r>
    </w:p>
    <w:p w14:paraId="68EF4B18" w14:textId="42D97FEA"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Cartelli all'esterno del cantiere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"C:\\Users\\Moreno\\Desktop\\HYPER_INDICE|31|Cartelli"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28</w:t>
      </w:r>
    </w:p>
    <w:p w14:paraId="3F20CDCE" w14:textId="42D48FCD"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Proprietà dei materiali di escavazione e di demolizione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"C:\\Users\\Moreno\\Desktop\\HYPER_INDICE|31|Proprietà"</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28</w:t>
      </w:r>
    </w:p>
    <w:p w14:paraId="68843BDD" w14:textId="411BD484"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Rinvenimenti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"C:\\Users\\Moreno\\Desktop\\HYPER_INDICE|31|Rinvenimenti|1979|78"</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28</w:t>
      </w:r>
    </w:p>
    <w:p w14:paraId="33F979EF" w14:textId="6B28B550"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Brevetti di invenzione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"C:\\Users\\Moreno\\Desktop\\HYPER_INDICE|31|Brevetti"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29</w:t>
      </w:r>
    </w:p>
    <w:p w14:paraId="04C787D7" w14:textId="6641E84E"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Gestione delle contestazioni e riserve</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"C:\\Users\\Moreno\\Desktop\\HYPER_INDICE|31|Gestione"</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29</w:t>
      </w:r>
    </w:p>
    <w:p w14:paraId="75B2F78D" w14:textId="0DFD4B21"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Disposizioni generali relative ai prezzi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"C:\\Users\\Moreno\\Desktop\\HYPER_INDICE|34|Disposizioni"</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31</w:t>
      </w:r>
    </w:p>
    <w:p w14:paraId="6DCFE21E" w14:textId="34E4D3CB"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Pr>
          <w:rFonts w:ascii="Tahoma" w:eastAsia="Times New Roman" w:hAnsi="Tahoma"/>
          <w:color w:val="0000FF"/>
          <w:szCs w:val="24"/>
          <w:u w:val="single"/>
        </w:rPr>
        <w:fldChar w:fldCharType="end"/>
      </w:r>
      <w:r>
        <w:rPr>
          <w:rFonts w:ascii="Tahoma" w:eastAsia="Times New Roman" w:hAnsi="Tahoma"/>
          <w:color w:val="000000"/>
          <w:szCs w:val="24"/>
        </w:rPr>
        <w:t xml:space="preserve">     Osservanza Regolamento UE materiali</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"C:\\Users\\Moreno\\Desktop\\HYPER_INDICE|35|Osservanza"</w:instrText>
      </w:r>
      <w:r>
        <w:rPr>
          <w:rFonts w:ascii="Tahoma" w:eastAsia="Times New Roman" w:hAnsi="Tahoma"/>
          <w:color w:val="0000FF"/>
          <w:szCs w:val="24"/>
          <w:u w:val="single"/>
        </w:rPr>
        <w:fldChar w:fldCharType="separate"/>
      </w:r>
      <w:r w:rsidR="002F3A93">
        <w:rPr>
          <w:rFonts w:ascii="Tahoma" w:eastAsia="Times New Roman" w:hAnsi="Tahoma"/>
          <w:color w:val="0000FF"/>
          <w:szCs w:val="24"/>
          <w:u w:val="single"/>
        </w:rPr>
        <w:t>31</w:t>
      </w:r>
    </w:p>
    <w:p w14:paraId="57026717" w14:textId="034E7224" w:rsidR="000B6E98" w:rsidRPr="002F3A93" w:rsidRDefault="008A7A17">
      <w:pPr>
        <w:tabs>
          <w:tab w:val="left" w:leader="hyphen" w:pos="8788"/>
          <w:tab w:val="right" w:pos="9581"/>
        </w:tabs>
        <w:spacing w:after="0" w:line="276" w:lineRule="auto"/>
        <w:ind w:right="994"/>
        <w:jc w:val="left"/>
        <w:rPr>
          <w:rFonts w:ascii="Tahoma" w:eastAsia="Times New Roman" w:hAnsi="Tahoma"/>
          <w:b/>
          <w:color w:val="000000"/>
          <w:szCs w:val="24"/>
        </w:rPr>
      </w:pPr>
      <w:r>
        <w:rPr>
          <w:rFonts w:ascii="Tahoma" w:eastAsia="Times New Roman" w:hAnsi="Tahoma"/>
          <w:color w:val="0000FF"/>
          <w:szCs w:val="24"/>
          <w:u w:val="single"/>
        </w:rPr>
        <w:fldChar w:fldCharType="end"/>
      </w:r>
      <w:r>
        <w:rPr>
          <w:rFonts w:ascii="Tahoma" w:eastAsia="Times New Roman" w:hAnsi="Tahoma"/>
          <w:b/>
          <w:color w:val="000000"/>
          <w:szCs w:val="24"/>
        </w:rPr>
        <w:t>3) Norme per la misurazione e valutazione dei lavori</w:t>
      </w:r>
      <w:r>
        <w:rPr>
          <w:rFonts w:ascii="Tahoma" w:eastAsia="Times New Roman" w:hAnsi="Tahoma"/>
          <w:b/>
          <w:color w:val="000000"/>
          <w:szCs w:val="24"/>
        </w:rPr>
        <w:tab/>
      </w:r>
      <w:r>
        <w:rPr>
          <w:rFonts w:ascii="Tahoma" w:eastAsia="Times New Roman" w:hAnsi="Tahoma"/>
          <w:b/>
          <w:color w:val="000000"/>
          <w:szCs w:val="24"/>
        </w:rPr>
        <w:tab/>
      </w:r>
      <w:r>
        <w:rPr>
          <w:rFonts w:ascii="Tahoma" w:eastAsia="Times New Roman" w:hAnsi="Tahoma"/>
          <w:b/>
          <w:color w:val="0000FF"/>
          <w:szCs w:val="24"/>
          <w:u w:val="single"/>
        </w:rPr>
        <w:fldChar w:fldCharType="begin"/>
      </w:r>
      <w:r w:rsidR="00CF1574">
        <w:rPr>
          <w:rFonts w:ascii="Tahoma" w:eastAsia="Times New Roman" w:hAnsi="Tahoma"/>
          <w:b/>
          <w:color w:val="0000FF"/>
          <w:szCs w:val="24"/>
          <w:u w:val="single"/>
        </w:rPr>
        <w:instrText>HYPERLINK "C:\\Users\\Moreno\\Desktop\\HYPER_INDICE|37|Norme"</w:instrText>
      </w:r>
      <w:r>
        <w:rPr>
          <w:rFonts w:ascii="Tahoma" w:eastAsia="Times New Roman" w:hAnsi="Tahoma"/>
          <w:b/>
          <w:color w:val="0000FF"/>
          <w:szCs w:val="24"/>
          <w:u w:val="single"/>
        </w:rPr>
        <w:fldChar w:fldCharType="separate"/>
      </w:r>
      <w:r w:rsidR="002F3A93">
        <w:rPr>
          <w:rFonts w:ascii="Tahoma" w:eastAsia="Times New Roman" w:hAnsi="Tahoma"/>
          <w:b/>
          <w:color w:val="0000FF"/>
          <w:szCs w:val="24"/>
          <w:u w:val="single"/>
        </w:rPr>
        <w:t>34</w:t>
      </w:r>
    </w:p>
    <w:p w14:paraId="1239CAE7" w14:textId="6E365882"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Pr>
          <w:rFonts w:ascii="Tahoma" w:eastAsia="Times New Roman" w:hAnsi="Tahoma"/>
          <w:b/>
          <w:color w:val="0000FF"/>
          <w:szCs w:val="24"/>
          <w:u w:val="single"/>
        </w:rPr>
        <w:fldChar w:fldCharType="end"/>
      </w:r>
      <w:r>
        <w:rPr>
          <w:rFonts w:ascii="Tahoma" w:eastAsia="Times New Roman" w:hAnsi="Tahoma"/>
          <w:color w:val="000000"/>
          <w:szCs w:val="24"/>
        </w:rPr>
        <w:t xml:space="preserve">     Norme generali</w:t>
      </w:r>
      <w:r>
        <w:rPr>
          <w:rFonts w:ascii="Tahoma" w:eastAsia="Times New Roman" w:hAnsi="Tahoma"/>
          <w:color w:val="000000"/>
          <w:szCs w:val="24"/>
        </w:rPr>
        <w:tab/>
      </w:r>
      <w:r>
        <w:rPr>
          <w:rFonts w:ascii="Tahoma" w:eastAsia="Times New Roman" w:hAnsi="Tahoma"/>
          <w:color w:val="000000"/>
          <w:szCs w:val="24"/>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"C:\\Users\\Moreno\\Desktop\\HYPER_INDICE|37|Norme"</w:instrText>
      </w:r>
      <w:r w:rsidRPr="00C37B85">
        <w:rPr>
          <w:rFonts w:ascii="Tahoma" w:eastAsia="Times New Roman" w:hAnsi="Tahoma"/>
          <w:color w:val="0000FF"/>
          <w:u w:val="single"/>
        </w:rPr>
        <w:fldChar w:fldCharType="separate"/>
      </w:r>
      <w:r w:rsidR="002F3A93" w:rsidRPr="00C37B85">
        <w:rPr>
          <w:rFonts w:ascii="Tahoma" w:eastAsia="Times New Roman" w:hAnsi="Tahoma"/>
          <w:color w:val="0000FF"/>
          <w:u w:val="single"/>
        </w:rPr>
        <w:t>34</w:t>
      </w:r>
    </w:p>
    <w:p w14:paraId="4E29C8D3" w14:textId="5949D3B2"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C37B85" w:rsidRPr="00C37B85">
        <w:rPr>
          <w:rFonts w:ascii="Tahoma" w:eastAsia="Times New Roman" w:hAnsi="Tahoma"/>
          <w:color w:val="000000"/>
        </w:rPr>
        <w:t>Movimento di materiale</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"C:\\Users\\Moreno\\Desktop\\HYPER_INDICE|37|Scavi"</w:instrText>
      </w:r>
      <w:r w:rsidRPr="00C37B85">
        <w:rPr>
          <w:rFonts w:ascii="Tahoma" w:eastAsia="Times New Roman" w:hAnsi="Tahoma"/>
          <w:color w:val="0000FF"/>
          <w:u w:val="single"/>
        </w:rPr>
        <w:fldChar w:fldCharType="separate"/>
      </w:r>
      <w:r w:rsidR="00C37B85" w:rsidRPr="00C37B85">
        <w:rPr>
          <w:rFonts w:ascii="Tahoma" w:eastAsia="Times New Roman" w:hAnsi="Tahoma"/>
          <w:color w:val="0000FF"/>
          <w:u w:val="single"/>
        </w:rPr>
        <w:t>34</w:t>
      </w:r>
    </w:p>
    <w:p w14:paraId="340A1661" w14:textId="739343C5"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C37B85" w:rsidRPr="00C37B85">
        <w:rPr>
          <w:rFonts w:ascii="Tahoma" w:eastAsia="Times New Roman" w:hAnsi="Tahoma"/>
          <w:color w:val="000000"/>
        </w:rPr>
        <w:t>Murature e conglomerati</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"C:\\Users\\Moreno\\Desktop\\HYPER_INDICE|38|Rilevati"</w:instrText>
      </w:r>
      <w:r w:rsidRPr="00C37B85">
        <w:rPr>
          <w:rFonts w:ascii="Tahoma" w:eastAsia="Times New Roman" w:hAnsi="Tahoma"/>
          <w:color w:val="0000FF"/>
          <w:u w:val="single"/>
        </w:rPr>
        <w:fldChar w:fldCharType="separate"/>
      </w:r>
      <w:r w:rsidR="00C37B85">
        <w:rPr>
          <w:rFonts w:ascii="Tahoma" w:eastAsia="Times New Roman" w:hAnsi="Tahoma"/>
          <w:color w:val="0000FF"/>
          <w:u w:val="single"/>
        </w:rPr>
        <w:t>36</w:t>
      </w:r>
    </w:p>
    <w:p w14:paraId="020944E9" w14:textId="649981A0"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C37B85">
        <w:rPr>
          <w:rFonts w:ascii="Tahoma" w:eastAsia="Times New Roman" w:hAnsi="Tahoma"/>
          <w:color w:val="000000"/>
        </w:rPr>
        <w:t>D</w:t>
      </w:r>
      <w:r w:rsidRPr="00C37B85">
        <w:rPr>
          <w:rFonts w:ascii="Tahoma" w:eastAsia="Times New Roman" w:hAnsi="Tahoma"/>
          <w:color w:val="000000"/>
        </w:rPr>
        <w:t>emolizioni</w:t>
      </w:r>
      <w:r w:rsidR="00C37B85">
        <w:rPr>
          <w:rFonts w:ascii="Tahoma" w:eastAsia="Times New Roman" w:hAnsi="Tahoma"/>
          <w:color w:val="000000"/>
        </w:rPr>
        <w:t xml:space="preserve"> di murature</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"C:\\Users\\Moreno\\Desktop\\HYPER_INDICE|38|Rimozioni,"</w:instrText>
      </w:r>
      <w:r w:rsidRPr="00C37B85">
        <w:rPr>
          <w:rFonts w:ascii="Tahoma" w:eastAsia="Times New Roman" w:hAnsi="Tahoma"/>
          <w:color w:val="0000FF"/>
          <w:u w:val="single"/>
        </w:rPr>
        <w:fldChar w:fldCharType="separate"/>
      </w:r>
      <w:r w:rsidRPr="00C37B85">
        <w:rPr>
          <w:rFonts w:ascii="Tahoma" w:eastAsia="Times New Roman" w:hAnsi="Tahoma"/>
          <w:color w:val="0000FF"/>
          <w:u w:val="single"/>
        </w:rPr>
        <w:t>38</w:t>
      </w:r>
    </w:p>
    <w:p w14:paraId="38A53E91" w14:textId="555EEE0F"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C37B85">
        <w:rPr>
          <w:rFonts w:ascii="Tahoma" w:eastAsia="Times New Roman" w:hAnsi="Tahoma"/>
          <w:color w:val="000000"/>
        </w:rPr>
        <w:t>Acciaio per calcestruzzo</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"C:\\Users\\Moreno\\Desktop\\HYPER_INDICE|38|Riempimenti"</w:instrText>
      </w:r>
      <w:r w:rsidRPr="00C37B85">
        <w:rPr>
          <w:rFonts w:ascii="Tahoma" w:eastAsia="Times New Roman" w:hAnsi="Tahoma"/>
          <w:color w:val="0000FF"/>
          <w:u w:val="single"/>
        </w:rPr>
        <w:fldChar w:fldCharType="separate"/>
      </w:r>
      <w:r w:rsidRPr="00C37B85">
        <w:rPr>
          <w:rFonts w:ascii="Tahoma" w:eastAsia="Times New Roman" w:hAnsi="Tahoma"/>
          <w:color w:val="0000FF"/>
          <w:u w:val="single"/>
        </w:rPr>
        <w:t>38</w:t>
      </w:r>
    </w:p>
    <w:p w14:paraId="365E02B1" w14:textId="0D52AFC2"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lastRenderedPageBreak/>
        <w:fldChar w:fldCharType="end"/>
      </w:r>
      <w:r w:rsidRPr="00C37B85">
        <w:rPr>
          <w:rFonts w:ascii="Tahoma" w:eastAsia="Times New Roman" w:hAnsi="Tahoma"/>
          <w:color w:val="000000"/>
        </w:rPr>
        <w:t xml:space="preserve">     </w:t>
      </w:r>
      <w:r w:rsidR="00C37B85">
        <w:rPr>
          <w:rFonts w:ascii="Tahoma" w:eastAsia="Times New Roman" w:hAnsi="Tahoma"/>
          <w:color w:val="000000"/>
        </w:rPr>
        <w:t>Lavori di metallo</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"C:\\Users\\Moreno\\Desktop\\HYPER_INDICE|38|Paratie"</w:instrText>
      </w:r>
      <w:r w:rsidRPr="00C37B85">
        <w:rPr>
          <w:rFonts w:ascii="Tahoma" w:eastAsia="Times New Roman" w:hAnsi="Tahoma"/>
          <w:color w:val="0000FF"/>
          <w:u w:val="single"/>
        </w:rPr>
        <w:fldChar w:fldCharType="separate"/>
      </w:r>
      <w:r w:rsidRPr="00C37B85">
        <w:rPr>
          <w:rFonts w:ascii="Tahoma" w:eastAsia="Times New Roman" w:hAnsi="Tahoma"/>
          <w:color w:val="0000FF"/>
          <w:u w:val="single"/>
        </w:rPr>
        <w:t>38</w:t>
      </w:r>
    </w:p>
    <w:p w14:paraId="4F9A0BC1" w14:textId="1DBFE24B"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C37B85">
        <w:rPr>
          <w:rFonts w:ascii="Tahoma" w:eastAsia="Times New Roman" w:hAnsi="Tahoma"/>
          <w:color w:val="000000"/>
        </w:rPr>
        <w:t>Carreggiata</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"C:\\Users\\Moreno\\Desktop\\HYPER_INDICE|39|Murature"</w:instrText>
      </w:r>
      <w:r w:rsidRPr="00C37B85">
        <w:rPr>
          <w:rFonts w:ascii="Tahoma" w:eastAsia="Times New Roman" w:hAnsi="Tahoma"/>
          <w:color w:val="0000FF"/>
          <w:u w:val="single"/>
        </w:rPr>
        <w:fldChar w:fldCharType="separate"/>
      </w:r>
      <w:r w:rsidR="00C37B85">
        <w:rPr>
          <w:rFonts w:ascii="Tahoma" w:eastAsia="Times New Roman" w:hAnsi="Tahoma"/>
          <w:color w:val="0000FF"/>
          <w:u w:val="single"/>
        </w:rPr>
        <w:t>38</w:t>
      </w:r>
    </w:p>
    <w:p w14:paraId="63C1C194" w14:textId="4C6F09AD"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FC0F46">
        <w:rPr>
          <w:rFonts w:ascii="Tahoma" w:eastAsia="Times New Roman" w:hAnsi="Tahoma"/>
          <w:color w:val="000000"/>
        </w:rPr>
        <w:t>Scarifica di pavimentazioni</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"C:\\Users\\Moreno\\Desktop\\HYPER_INDICE|39|Murature"</w:instrText>
      </w:r>
      <w:r w:rsidRPr="00C37B85">
        <w:rPr>
          <w:rFonts w:ascii="Tahoma" w:eastAsia="Times New Roman" w:hAnsi="Tahoma"/>
          <w:color w:val="0000FF"/>
          <w:u w:val="single"/>
        </w:rPr>
        <w:fldChar w:fldCharType="separate"/>
      </w:r>
      <w:r w:rsidR="00FC0F46">
        <w:rPr>
          <w:rFonts w:ascii="Tahoma" w:eastAsia="Times New Roman" w:hAnsi="Tahoma"/>
          <w:color w:val="0000FF"/>
          <w:u w:val="single"/>
        </w:rPr>
        <w:t>40</w:t>
      </w:r>
    </w:p>
    <w:p w14:paraId="1B2C3C22" w14:textId="68383554"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FC0F46">
        <w:rPr>
          <w:rFonts w:ascii="Tahoma" w:eastAsia="Times New Roman" w:hAnsi="Tahoma"/>
          <w:color w:val="000000"/>
        </w:rPr>
        <w:t>Ripristini di pavimentazioni</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"C:\\Users\\Moreno\\Desktop\\HYPER_INDICE|39|Casseforme|2415|76"</w:instrText>
      </w:r>
      <w:r w:rsidRPr="00C37B85">
        <w:rPr>
          <w:rFonts w:ascii="Tahoma" w:eastAsia="Times New Roman" w:hAnsi="Tahoma"/>
          <w:color w:val="0000FF"/>
          <w:u w:val="single"/>
        </w:rPr>
        <w:fldChar w:fldCharType="separate"/>
      </w:r>
      <w:r w:rsidR="00FC0F46">
        <w:rPr>
          <w:rFonts w:ascii="Tahoma" w:eastAsia="Times New Roman" w:hAnsi="Tahoma"/>
          <w:color w:val="0000FF"/>
          <w:u w:val="single"/>
        </w:rPr>
        <w:t>41</w:t>
      </w:r>
    </w:p>
    <w:p w14:paraId="0B0BB760" w14:textId="6D897557"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FC0F46">
        <w:rPr>
          <w:rFonts w:ascii="Tahoma" w:eastAsia="Times New Roman" w:hAnsi="Tahoma"/>
          <w:color w:val="000000"/>
        </w:rPr>
        <w:t>Pozzetti di raccordo-ispezione e chiusini</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"C:\\Users\\Moreno\\Desktop\\HYPER_INDICE|39|Calcestruzzi|2419|78"</w:instrText>
      </w:r>
      <w:r w:rsidRPr="00C37B85">
        <w:rPr>
          <w:rFonts w:ascii="Tahoma" w:eastAsia="Times New Roman" w:hAnsi="Tahoma"/>
          <w:color w:val="0000FF"/>
          <w:u w:val="single"/>
        </w:rPr>
        <w:fldChar w:fldCharType="separate"/>
      </w:r>
      <w:r w:rsidR="00FC0F46">
        <w:rPr>
          <w:rFonts w:ascii="Tahoma" w:eastAsia="Times New Roman" w:hAnsi="Tahoma"/>
          <w:color w:val="0000FF"/>
          <w:u w:val="single"/>
        </w:rPr>
        <w:t>41</w:t>
      </w:r>
    </w:p>
    <w:p w14:paraId="5B869B3D" w14:textId="469A0510"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FC0F46">
        <w:rPr>
          <w:rFonts w:ascii="Tahoma" w:eastAsia="Times New Roman" w:hAnsi="Tahoma"/>
          <w:color w:val="000000"/>
        </w:rPr>
        <w:t>Segnaletica orizzontale</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"C:\\Users\\Moreno\\Desktop\\HYPER_INDICE|39|Conglomerato"</w:instrText>
      </w:r>
      <w:r w:rsidRPr="00C37B85">
        <w:rPr>
          <w:rFonts w:ascii="Tahoma" w:eastAsia="Times New Roman" w:hAnsi="Tahoma"/>
          <w:color w:val="0000FF"/>
          <w:u w:val="single"/>
        </w:rPr>
        <w:fldChar w:fldCharType="separate"/>
      </w:r>
      <w:r w:rsidR="00FC0F46">
        <w:rPr>
          <w:rFonts w:ascii="Tahoma" w:eastAsia="Times New Roman" w:hAnsi="Tahoma"/>
          <w:color w:val="0000FF"/>
          <w:u w:val="single"/>
        </w:rPr>
        <w:t>41</w:t>
      </w:r>
    </w:p>
    <w:p w14:paraId="55FE6A4C" w14:textId="0B5B2206"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FC0F46">
        <w:rPr>
          <w:rFonts w:ascii="Tahoma" w:eastAsia="Times New Roman" w:hAnsi="Tahoma"/>
          <w:color w:val="000000"/>
        </w:rPr>
        <w:t>Cigli e cunette</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"C:\\Users\\Moreno\\Desktop\\HYPER_INDICE|40|Solai|2448|71"</w:instrText>
      </w:r>
      <w:r w:rsidRPr="00C37B85">
        <w:rPr>
          <w:rFonts w:ascii="Tahoma" w:eastAsia="Times New Roman" w:hAnsi="Tahoma"/>
          <w:color w:val="0000FF"/>
          <w:u w:val="single"/>
        </w:rPr>
        <w:fldChar w:fldCharType="separate"/>
      </w:r>
      <w:r w:rsidR="00FC0F46">
        <w:rPr>
          <w:rFonts w:ascii="Tahoma" w:eastAsia="Times New Roman" w:hAnsi="Tahoma"/>
          <w:color w:val="0000FF"/>
          <w:u w:val="single"/>
        </w:rPr>
        <w:t>41</w:t>
      </w:r>
    </w:p>
    <w:p w14:paraId="40A8B169" w14:textId="55828B8B"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Manodopera</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"C:\\Users\\Moreno\\Desktop\\HYPER_INDICE|46|Manodopera|2836|76"</w:instrText>
      </w:r>
      <w:r w:rsidRPr="00C37B85">
        <w:rPr>
          <w:rFonts w:ascii="Tahoma" w:eastAsia="Times New Roman" w:hAnsi="Tahoma"/>
          <w:color w:val="0000FF"/>
          <w:u w:val="single"/>
        </w:rPr>
        <w:fldChar w:fldCharType="separate"/>
      </w:r>
      <w:r w:rsidR="0020572C">
        <w:rPr>
          <w:rFonts w:ascii="Tahoma" w:eastAsia="Times New Roman" w:hAnsi="Tahoma"/>
          <w:color w:val="0000FF"/>
          <w:u w:val="single"/>
        </w:rPr>
        <w:t>42</w:t>
      </w:r>
    </w:p>
    <w:p w14:paraId="22AAF0C6" w14:textId="1B3AC054"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Noleggi</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"C:\\Users\\Moreno\\Desktop\\HYPER_INDICE|46|Noleggi|2853|73"</w:instrText>
      </w:r>
      <w:r w:rsidRPr="00C37B85">
        <w:rPr>
          <w:rFonts w:ascii="Tahoma" w:eastAsia="Times New Roman" w:hAnsi="Tahoma"/>
          <w:color w:val="0000FF"/>
          <w:u w:val="single"/>
        </w:rPr>
        <w:fldChar w:fldCharType="separate"/>
      </w:r>
      <w:r w:rsidR="0020572C">
        <w:rPr>
          <w:rFonts w:ascii="Tahoma" w:eastAsia="Times New Roman" w:hAnsi="Tahoma"/>
          <w:color w:val="0000FF"/>
          <w:u w:val="single"/>
        </w:rPr>
        <w:t>42</w:t>
      </w:r>
    </w:p>
    <w:p w14:paraId="12E3976D" w14:textId="034E0CE4" w:rsidR="000B6E98" w:rsidRPr="00C37B85" w:rsidRDefault="008A7A17">
      <w:pPr>
        <w:tabs>
          <w:tab w:val="left" w:leader="hyphen" w:pos="8788"/>
          <w:tab w:val="right" w:pos="9581"/>
        </w:tabs>
        <w:spacing w:after="0" w:line="276" w:lineRule="auto"/>
        <w:ind w:right="994"/>
        <w:jc w:val="left"/>
        <w:rPr>
          <w:rFonts w:ascii="Tahoma" w:eastAsia="Times New Roman" w:hAnsi="Tahoma"/>
          <w:color w:val="0000FF"/>
          <w:u w:val="single"/>
        </w:rPr>
      </w:pPr>
      <w:r w:rsidRPr="00C37B85">
        <w:rPr>
          <w:rFonts w:ascii="Tahoma" w:eastAsia="Times New Roman" w:hAnsi="Tahoma"/>
          <w:color w:val="0000FF"/>
          <w:u w:val="single"/>
        </w:rPr>
        <w:fldChar w:fldCharType="end"/>
      </w:r>
      <w:r w:rsidRPr="00C37B85">
        <w:rPr>
          <w:rFonts w:ascii="Tahoma" w:eastAsia="Times New Roman" w:hAnsi="Tahoma"/>
          <w:color w:val="000000"/>
        </w:rPr>
        <w:t xml:space="preserve">     </w:t>
      </w:r>
      <w:r w:rsidR="0020572C">
        <w:rPr>
          <w:rFonts w:ascii="Tahoma" w:eastAsia="Times New Roman" w:hAnsi="Tahoma"/>
          <w:color w:val="000000"/>
        </w:rPr>
        <w:t>Lavori in economia</w:t>
      </w:r>
      <w:r w:rsidRPr="00C37B85">
        <w:rPr>
          <w:rFonts w:ascii="Tahoma" w:eastAsia="Times New Roman" w:hAnsi="Tahoma"/>
          <w:color w:val="000000"/>
        </w:rPr>
        <w:tab/>
      </w:r>
      <w:r w:rsidRPr="00C37B85">
        <w:rPr>
          <w:rFonts w:ascii="Tahoma" w:eastAsia="Times New Roman" w:hAnsi="Tahoma"/>
          <w:color w:val="000000"/>
        </w:rPr>
        <w:tab/>
      </w:r>
      <w:r w:rsidRPr="00C37B85">
        <w:rPr>
          <w:rFonts w:ascii="Tahoma" w:eastAsia="Times New Roman" w:hAnsi="Tahoma"/>
          <w:color w:val="0000FF"/>
          <w:u w:val="single"/>
        </w:rPr>
        <w:fldChar w:fldCharType="begin"/>
      </w:r>
      <w:r w:rsidR="00CF1574" w:rsidRPr="00C37B85">
        <w:rPr>
          <w:rFonts w:ascii="Tahoma" w:eastAsia="Times New Roman" w:hAnsi="Tahoma"/>
          <w:color w:val="0000FF"/>
          <w:u w:val="single"/>
        </w:rPr>
        <w:instrText>HYPERLINK "C:\\Users\\Moreno\\Desktop\\HYPER_INDICE|47|Trasporti|2865|75"</w:instrText>
      </w:r>
      <w:r w:rsidRPr="00C37B85">
        <w:rPr>
          <w:rFonts w:ascii="Tahoma" w:eastAsia="Times New Roman" w:hAnsi="Tahoma"/>
          <w:color w:val="0000FF"/>
          <w:u w:val="single"/>
        </w:rPr>
        <w:fldChar w:fldCharType="separate"/>
      </w:r>
      <w:r w:rsidR="0020572C">
        <w:rPr>
          <w:rFonts w:ascii="Tahoma" w:eastAsia="Times New Roman" w:hAnsi="Tahoma"/>
          <w:color w:val="0000FF"/>
          <w:u w:val="single"/>
        </w:rPr>
        <w:t>42</w:t>
      </w:r>
    </w:p>
    <w:p w14:paraId="4034EC9E" w14:textId="5EFD93C5" w:rsidR="000B6E98" w:rsidRDefault="008A7A17">
      <w:pPr>
        <w:tabs>
          <w:tab w:val="left" w:leader="hyphen" w:pos="8788"/>
          <w:tab w:val="right" w:pos="9581"/>
        </w:tabs>
        <w:spacing w:after="0" w:line="276" w:lineRule="auto"/>
        <w:ind w:right="994"/>
        <w:jc w:val="left"/>
        <w:rPr>
          <w:rFonts w:ascii="Tahoma" w:eastAsia="Times New Roman" w:hAnsi="Tahoma"/>
          <w:color w:val="0000FF"/>
          <w:szCs w:val="24"/>
          <w:u w:val="single"/>
        </w:rPr>
      </w:pPr>
      <w:r w:rsidRPr="00C37B85">
        <w:rPr>
          <w:rFonts w:ascii="Tahoma" w:eastAsia="Times New Roman" w:hAnsi="Tahoma"/>
          <w:color w:val="0000FF"/>
          <w:u w:val="single"/>
        </w:rPr>
        <w:fldChar w:fldCharType="end"/>
      </w:r>
      <w:r>
        <w:rPr>
          <w:rFonts w:ascii="Tahoma" w:eastAsia="Times New Roman" w:hAnsi="Tahoma"/>
          <w:color w:val="000000"/>
          <w:szCs w:val="24"/>
        </w:rPr>
        <w:t xml:space="preserve">     Materiali a piè d'opera</w:t>
      </w:r>
      <w:r>
        <w:rPr>
          <w:rFonts w:ascii="Tahoma" w:eastAsia="Times New Roman" w:hAnsi="Tahoma"/>
          <w:color w:val="000000"/>
          <w:szCs w:val="24"/>
        </w:rPr>
        <w:tab/>
      </w:r>
      <w:r>
        <w:rPr>
          <w:rFonts w:ascii="Tahoma" w:eastAsia="Times New Roman" w:hAnsi="Tahoma"/>
          <w:color w:val="000000"/>
          <w:szCs w:val="24"/>
        </w:rPr>
        <w:tab/>
      </w:r>
      <w:r>
        <w:rPr>
          <w:rFonts w:ascii="Tahoma" w:eastAsia="Times New Roman" w:hAnsi="Tahoma"/>
          <w:color w:val="0000FF"/>
          <w:szCs w:val="24"/>
          <w:u w:val="single"/>
        </w:rPr>
        <w:fldChar w:fldCharType="begin"/>
      </w:r>
      <w:r w:rsidR="00CF1574">
        <w:rPr>
          <w:rFonts w:ascii="Tahoma" w:eastAsia="Times New Roman" w:hAnsi="Tahoma"/>
          <w:color w:val="0000FF"/>
          <w:szCs w:val="24"/>
          <w:u w:val="single"/>
        </w:rPr>
        <w:instrText>HYPERLINK "C:\\Users\\Moreno\\Desktop\\HYPER_INDICE|47|Materiali"</w:instrText>
      </w:r>
      <w:r>
        <w:rPr>
          <w:rFonts w:ascii="Tahoma" w:eastAsia="Times New Roman" w:hAnsi="Tahoma"/>
          <w:color w:val="0000FF"/>
          <w:szCs w:val="24"/>
          <w:u w:val="single"/>
        </w:rPr>
        <w:fldChar w:fldCharType="separate"/>
      </w:r>
      <w:r w:rsidR="0020572C">
        <w:rPr>
          <w:rFonts w:ascii="Tahoma" w:eastAsia="Times New Roman" w:hAnsi="Tahoma"/>
          <w:color w:val="0000FF"/>
          <w:szCs w:val="24"/>
          <w:u w:val="single"/>
        </w:rPr>
        <w:t>42</w:t>
      </w:r>
    </w:p>
    <w:p w14:paraId="49662FD5" w14:textId="6FACCB72" w:rsidR="0020572C" w:rsidRDefault="008A7A17" w:rsidP="0020572C">
      <w:pPr>
        <w:tabs>
          <w:tab w:val="left" w:leader="hyphen" w:pos="8788"/>
          <w:tab w:val="right" w:pos="9581"/>
        </w:tabs>
        <w:spacing w:after="0" w:line="276" w:lineRule="auto"/>
        <w:ind w:right="994"/>
        <w:jc w:val="left"/>
        <w:rPr>
          <w:sz w:val="24"/>
          <w:szCs w:val="24"/>
        </w:rPr>
      </w:pPr>
      <w:r>
        <w:rPr>
          <w:rFonts w:ascii="Tahoma" w:eastAsia="Times New Roman" w:hAnsi="Tahoma"/>
          <w:color w:val="0000FF"/>
          <w:szCs w:val="24"/>
          <w:u w:val="single"/>
        </w:rPr>
        <w:fldChar w:fldCharType="end"/>
      </w:r>
    </w:p>
    <w:p w14:paraId="680E5436" w14:textId="411ACC40" w:rsidR="008A7A17" w:rsidRDefault="008A7A17">
      <w:pPr>
        <w:spacing w:after="0"/>
        <w:jc w:val="left"/>
        <w:rPr>
          <w:sz w:val="24"/>
          <w:szCs w:val="24"/>
        </w:rPr>
      </w:pPr>
    </w:p>
    <w:sectPr w:rsidR="008A7A17">
      <w:footerReference w:type="default" r:id="rId13"/>
      <w:pgSz w:w="11906" w:h="16838"/>
      <w:pgMar w:top="1134" w:right="1134" w:bottom="1134" w:left="1134" w:header="850" w:footer="85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0052C" w14:textId="77777777" w:rsidR="008A7A17" w:rsidRDefault="008A7A17">
      <w:pPr>
        <w:spacing w:after="0"/>
      </w:pPr>
      <w:r>
        <w:separator/>
      </w:r>
    </w:p>
  </w:endnote>
  <w:endnote w:type="continuationSeparator" w:id="0">
    <w:p w14:paraId="09E8A54E" w14:textId="77777777" w:rsidR="008A7A17" w:rsidRDefault="008A7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7F340" w14:textId="77777777" w:rsidR="000B6E98" w:rsidRDefault="008A7A17">
    <w:pPr>
      <w:spacing w:after="0"/>
      <w:jc w:val="center"/>
      <w:rPr>
        <w:sz w:val="24"/>
        <w:szCs w:val="24"/>
      </w:rPr>
    </w:pPr>
    <w:r>
      <w:rPr>
        <w:rFonts w:ascii="Tahoma" w:eastAsia="Times New Roman" w:hAnsi="Tahoma"/>
        <w:color w:val="000000"/>
        <w:sz w:val="20"/>
        <w:szCs w:val="24"/>
      </w:rPr>
      <w:t>pag.</w:t>
    </w:r>
    <w:r>
      <w:rPr>
        <w:rFonts w:ascii="Tahoma" w:eastAsia="Times New Roman" w:hAnsi="Tahoma"/>
        <w:color w:val="000000"/>
        <w:sz w:val="20"/>
        <w:szCs w:val="24"/>
      </w:rPr>
      <w:fldChar w:fldCharType="begin"/>
    </w:r>
    <w:r>
      <w:rPr>
        <w:rFonts w:ascii="Tahoma" w:eastAsia="Times New Roman" w:hAnsi="Tahoma"/>
        <w:color w:val="000000"/>
        <w:sz w:val="20"/>
        <w:szCs w:val="24"/>
      </w:rPr>
      <w:instrText>PAGE</w:instrText>
    </w:r>
    <w:r>
      <w:rPr>
        <w:rFonts w:ascii="Tahoma" w:eastAsia="Times New Roman" w:hAnsi="Tahoma"/>
        <w:color w:val="000000"/>
        <w:sz w:val="20"/>
        <w:szCs w:val="24"/>
      </w:rPr>
      <w:fldChar w:fldCharType="separate"/>
    </w:r>
    <w:r>
      <w:rPr>
        <w:rFonts w:ascii="Tahoma" w:eastAsia="Times New Roman" w:hAnsi="Tahoma"/>
        <w:color w:val="000000"/>
        <w:sz w:val="20"/>
        <w:szCs w:val="24"/>
      </w:rPr>
      <w:t xml:space="preserve">  2</w:t>
    </w:r>
    <w:r>
      <w:rPr>
        <w:rFonts w:ascii="Tahoma" w:eastAsia="Times New Roman" w:hAnsi="Tahoma"/>
        <w:color w:val="000000"/>
        <w:sz w:val="20"/>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BF4B0" w14:textId="77777777" w:rsidR="008A7A17" w:rsidRDefault="008A7A17">
      <w:pPr>
        <w:spacing w:after="0"/>
      </w:pPr>
      <w:r>
        <w:separator/>
      </w:r>
    </w:p>
  </w:footnote>
  <w:footnote w:type="continuationSeparator" w:id="0">
    <w:p w14:paraId="3B6C97E7" w14:textId="77777777" w:rsidR="008A7A17" w:rsidRDefault="008A7A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FFFFFFFF"/>
    <w:name w:val="WW8Num1"/>
    <w:lvl w:ilvl="0">
      <w:start w:val="21"/>
      <w:numFmt w:val="bullet"/>
      <w:lvlText w:val=""/>
      <w:lvlJc w:val="left"/>
      <w:rPr>
        <w:rFonts w:ascii="Symbol" w:hAnsi="Symbol"/>
        <w:sz w:val="44"/>
      </w:rPr>
    </w:lvl>
  </w:abstractNum>
  <w:abstractNum w:abstractNumId="1" w15:restartNumberingAfterBreak="0">
    <w:nsid w:val="00000003"/>
    <w:multiLevelType w:val="singleLevel"/>
    <w:tmpl w:val="FFFFFFFF"/>
    <w:name w:val="WW8Num2"/>
    <w:lvl w:ilvl="0">
      <w:start w:val="21"/>
      <w:numFmt w:val="bullet"/>
      <w:lvlText w:val=""/>
      <w:lvlJc w:val="left"/>
      <w:rPr>
        <w:rFonts w:ascii="Symbol" w:hAnsi="Symbol"/>
        <w:sz w:val="44"/>
      </w:rPr>
    </w:lvl>
  </w:abstractNum>
  <w:abstractNum w:abstractNumId="2" w15:restartNumberingAfterBreak="0">
    <w:nsid w:val="00000004"/>
    <w:multiLevelType w:val="multilevel"/>
    <w:tmpl w:val="FFFFFFFF"/>
    <w:name w:val="WW8Num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 w15:restartNumberingAfterBreak="0">
    <w:nsid w:val="0C012655"/>
    <w:multiLevelType w:val="multilevel"/>
    <w:tmpl w:val="FFFFFFFF"/>
    <w:name w:val="List137180901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0C290923"/>
    <w:multiLevelType w:val="multilevel"/>
    <w:tmpl w:val="FFFFFFFF"/>
    <w:name w:val="List122815468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C5354BF"/>
    <w:multiLevelType w:val="multilevel"/>
    <w:tmpl w:val="FFFFFFFF"/>
    <w:name w:val="List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C5354C0"/>
    <w:multiLevelType w:val="multilevel"/>
    <w:tmpl w:val="FFFFFFFF"/>
    <w:name w:val="List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C6CE7AF"/>
    <w:multiLevelType w:val="multilevel"/>
    <w:tmpl w:val="FFFFFFFF"/>
    <w:name w:val="List1187602359_1"/>
    <w:lvl w:ilvl="0">
      <w:start w:val="1"/>
      <w:numFmt w:val="decimal"/>
      <w:lvlText w:val="%1"/>
      <w:lvlJc w:val="left"/>
      <w:rPr>
        <w:rFonts w:ascii="Times New Roman" w:hAnsi="Times New Roman"/>
        <w:sz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C7AE90A"/>
    <w:multiLevelType w:val="multilevel"/>
    <w:tmpl w:val="FFFFFFFF"/>
    <w:name w:val="List124412805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CAFF2B4"/>
    <w:multiLevelType w:val="multilevel"/>
    <w:tmpl w:val="FFFFFFFF"/>
    <w:name w:val="List1195138552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CBB3D6C"/>
    <w:multiLevelType w:val="multilevel"/>
    <w:tmpl w:val="FFFFFFFF"/>
    <w:name w:val="List11877039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CBB3D6D"/>
    <w:multiLevelType w:val="multilevel"/>
    <w:tmpl w:val="FFFFFFFF"/>
    <w:name w:val="List1219660795_1"/>
    <w:lvl w:ilvl="0">
      <w:start w:val="1"/>
      <w:numFmt w:val="decimal"/>
      <w:lvlText w:val="%1"/>
      <w:lvlJc w:val="left"/>
      <w:rPr>
        <w:rFonts w:ascii="Times New Roman" w:hAnsi="Times New Roman"/>
        <w:b/>
        <w:sz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0CBB3D6E"/>
    <w:multiLevelType w:val="multilevel"/>
    <w:tmpl w:val="FFFFFFFF"/>
    <w:name w:val="List1222445274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CBB3D6F"/>
    <w:multiLevelType w:val="multilevel"/>
    <w:tmpl w:val="FFFFFFFF"/>
    <w:name w:val="List1229333773_1"/>
    <w:lvl w:ilvl="0">
      <w:start w:val="1"/>
      <w:numFmt w:val="decimal"/>
      <w:lvlText w:val="%1"/>
      <w:lvlJc w:val="left"/>
      <w:rPr>
        <w:rFonts w:ascii="Arial" w:hAnsi="Aria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CBB3D70"/>
    <w:multiLevelType w:val="multilevel"/>
    <w:tmpl w:val="FFFFFFFF"/>
    <w:name w:val="List12293402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CBB3D71"/>
    <w:multiLevelType w:val="multilevel"/>
    <w:tmpl w:val="FFFFFFFF"/>
    <w:name w:val="List1229341517_1"/>
    <w:lvl w:ilvl="0">
      <w:start w:val="1"/>
      <w:numFmt w:val="decimal"/>
      <w:lvlText w:val="%1"/>
      <w:lvlJc w:val="left"/>
      <w:rPr>
        <w:rFonts w:ascii="Arial" w:hAnsi="Aria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0CBB3D72"/>
    <w:multiLevelType w:val="multilevel"/>
    <w:tmpl w:val="FFFFFFFF"/>
    <w:name w:val="List122942090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CBB3D73"/>
    <w:multiLevelType w:val="multilevel"/>
    <w:tmpl w:val="FFFFFFFF"/>
    <w:name w:val="List125181227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0CBB3D74"/>
    <w:multiLevelType w:val="multilevel"/>
    <w:tmpl w:val="FFFFFFFF"/>
    <w:name w:val="List12972427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0CBB3D75"/>
    <w:multiLevelType w:val="multilevel"/>
    <w:tmpl w:val="FFFFFFFF"/>
    <w:name w:val="List13862617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0CBB3D76"/>
    <w:multiLevelType w:val="multilevel"/>
    <w:tmpl w:val="FFFFFFFF"/>
    <w:name w:val="List133241150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0CBB3D77"/>
    <w:multiLevelType w:val="multilevel"/>
    <w:tmpl w:val="FFFFFFFF"/>
    <w:name w:val="List13892662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0CBB3D78"/>
    <w:multiLevelType w:val="multilevel"/>
    <w:tmpl w:val="FFFFFFFF"/>
    <w:name w:val="List13892662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0CBB3D79"/>
    <w:multiLevelType w:val="multilevel"/>
    <w:tmpl w:val="FFFFFFFF"/>
    <w:name w:val="List13523093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0CBB3D7A"/>
    <w:multiLevelType w:val="multilevel"/>
    <w:tmpl w:val="FFFFFFFF"/>
    <w:name w:val="List136508775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0CCB3356"/>
    <w:multiLevelType w:val="multilevel"/>
    <w:tmpl w:val="FFFFFFFF"/>
    <w:name w:val="List120116544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0CCB3357"/>
    <w:multiLevelType w:val="multilevel"/>
    <w:tmpl w:val="FFFFFFFF"/>
    <w:name w:val="List120159385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0CCB3358"/>
    <w:multiLevelType w:val="multilevel"/>
    <w:tmpl w:val="FFFFFFFF"/>
    <w:name w:val="List120159390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F2C3A5E"/>
    <w:multiLevelType w:val="hybridMultilevel"/>
    <w:tmpl w:val="F1C018F6"/>
    <w:lvl w:ilvl="0" w:tplc="15082732">
      <w:start w:val="100"/>
      <w:numFmt w:val="bullet"/>
      <w:lvlText w:val="-"/>
      <w:lvlJc w:val="left"/>
      <w:pPr>
        <w:ind w:left="644" w:hanging="360"/>
      </w:pPr>
      <w:rPr>
        <w:rFonts w:ascii="Tahoma" w:eastAsia="Times New Roman" w:hAnsi="Tahoma" w:cs="Tahoma"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9" w15:restartNumberingAfterBreak="0">
    <w:nsid w:val="46653AC7"/>
    <w:multiLevelType w:val="multilevel"/>
    <w:tmpl w:val="FFFFFFFF"/>
    <w:name w:val="List118103930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4666E013"/>
    <w:multiLevelType w:val="multilevel"/>
    <w:tmpl w:val="FFFFFFFF"/>
    <w:name w:val="List11811471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46DC2FBD"/>
    <w:multiLevelType w:val="multilevel"/>
    <w:tmpl w:val="FFFFFFFF"/>
    <w:name w:val="List1188835261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46DC2FBF"/>
    <w:multiLevelType w:val="multilevel"/>
    <w:tmpl w:val="FFFFFFFF"/>
    <w:name w:val="List1188835263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46DC2FC0"/>
    <w:multiLevelType w:val="multilevel"/>
    <w:tmpl w:val="FFFFFFFF"/>
    <w:name w:val="List118883526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46DC2FC1"/>
    <w:multiLevelType w:val="multilevel"/>
    <w:tmpl w:val="FFFFFFFF"/>
    <w:name w:val="List118883526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46DC2FF7"/>
    <w:multiLevelType w:val="multilevel"/>
    <w:tmpl w:val="FFFFFFFF"/>
    <w:name w:val="List118883531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46DC2FF9"/>
    <w:multiLevelType w:val="multilevel"/>
    <w:tmpl w:val="FFFFFFFF"/>
    <w:name w:val="List11888353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46DC2FFA"/>
    <w:multiLevelType w:val="multilevel"/>
    <w:tmpl w:val="FFFFFFFF"/>
    <w:name w:val="List118883532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46DC2FFB"/>
    <w:multiLevelType w:val="multilevel"/>
    <w:tmpl w:val="FFFFFFFF"/>
    <w:name w:val="List1188835322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46DC2FFC"/>
    <w:multiLevelType w:val="multilevel"/>
    <w:tmpl w:val="FFFFFFFF"/>
    <w:name w:val="List1188835322_3"/>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46DC2FFD"/>
    <w:multiLevelType w:val="multilevel"/>
    <w:tmpl w:val="FFFFFFFF"/>
    <w:name w:val="List11888353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46DC2FFE"/>
    <w:multiLevelType w:val="multilevel"/>
    <w:tmpl w:val="FFFFFFFF"/>
    <w:name w:val="List1188835323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46DC2FFF"/>
    <w:multiLevelType w:val="multilevel"/>
    <w:tmpl w:val="FFFFFFFF"/>
    <w:name w:val="List1188835323_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 w15:restartNumberingAfterBreak="0">
    <w:nsid w:val="46DC3000"/>
    <w:multiLevelType w:val="multilevel"/>
    <w:tmpl w:val="FFFFFFFF"/>
    <w:name w:val="List11888353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46DC3001"/>
    <w:multiLevelType w:val="multilevel"/>
    <w:tmpl w:val="FFFFFFFF"/>
    <w:name w:val="List1188835324_2"/>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46DC3002"/>
    <w:multiLevelType w:val="multilevel"/>
    <w:tmpl w:val="FFFFFFFF"/>
    <w:name w:val="List1188835324_3"/>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15:restartNumberingAfterBreak="0">
    <w:nsid w:val="46DC3003"/>
    <w:multiLevelType w:val="multilevel"/>
    <w:tmpl w:val="FFFFFFFF"/>
    <w:name w:val="List118883532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46DC3004"/>
    <w:multiLevelType w:val="multilevel"/>
    <w:tmpl w:val="FFFFFFFF"/>
    <w:name w:val="List1188835329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46DC3005"/>
    <w:multiLevelType w:val="multilevel"/>
    <w:tmpl w:val="FFFFFFFF"/>
    <w:name w:val="List1188835329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46DC3006"/>
    <w:multiLevelType w:val="multilevel"/>
    <w:tmpl w:val="FFFFFFFF"/>
    <w:name w:val="List1188835330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46DC3007"/>
    <w:multiLevelType w:val="multilevel"/>
    <w:tmpl w:val="FFFFFFFF"/>
    <w:name w:val="List11888353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 w15:restartNumberingAfterBreak="0">
    <w:nsid w:val="46DC3008"/>
    <w:multiLevelType w:val="multilevel"/>
    <w:tmpl w:val="FFFFFFFF"/>
    <w:name w:val="List1188835331_2"/>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46DC3009"/>
    <w:multiLevelType w:val="multilevel"/>
    <w:tmpl w:val="FFFFFFFF"/>
    <w:name w:val="List1188835331_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46DC300A"/>
    <w:multiLevelType w:val="multilevel"/>
    <w:tmpl w:val="FFFFFFFF"/>
    <w:name w:val="List118883533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46DC300B"/>
    <w:multiLevelType w:val="multilevel"/>
    <w:tmpl w:val="FFFFFFFF"/>
    <w:name w:val="List1188835333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46DC300C"/>
    <w:multiLevelType w:val="multilevel"/>
    <w:tmpl w:val="FFFFFFFF"/>
    <w:name w:val="List118883533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 w15:restartNumberingAfterBreak="0">
    <w:nsid w:val="46DC300D"/>
    <w:multiLevelType w:val="multilevel"/>
    <w:tmpl w:val="FFFFFFFF"/>
    <w:name w:val="List1188835334_2"/>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46DC300E"/>
    <w:multiLevelType w:val="multilevel"/>
    <w:tmpl w:val="FFFFFFFF"/>
    <w:name w:val="List118883533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46DC300F"/>
    <w:multiLevelType w:val="multilevel"/>
    <w:tmpl w:val="FFFFFFFF"/>
    <w:name w:val="List1188835335_2"/>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46DC3010"/>
    <w:multiLevelType w:val="multilevel"/>
    <w:tmpl w:val="FFFFFFFF"/>
    <w:name w:val="List1188835336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46DC3011"/>
    <w:multiLevelType w:val="multilevel"/>
    <w:tmpl w:val="FFFFFFFF"/>
    <w:name w:val="List1188835338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46DC3012"/>
    <w:multiLevelType w:val="multilevel"/>
    <w:tmpl w:val="FFFFFFFF"/>
    <w:name w:val="List1188835338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46DC3013"/>
    <w:multiLevelType w:val="multilevel"/>
    <w:tmpl w:val="FFFFFFFF"/>
    <w:name w:val="List1188835339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46DC3014"/>
    <w:multiLevelType w:val="multilevel"/>
    <w:tmpl w:val="FFFFFFFF"/>
    <w:name w:val="List1188835339_2"/>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15:restartNumberingAfterBreak="0">
    <w:nsid w:val="46DC3015"/>
    <w:multiLevelType w:val="multilevel"/>
    <w:tmpl w:val="FFFFFFFF"/>
    <w:name w:val="List1188835340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46DC3016"/>
    <w:multiLevelType w:val="multilevel"/>
    <w:tmpl w:val="FFFFFFFF"/>
    <w:name w:val="List1188835340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46DC3017"/>
    <w:multiLevelType w:val="multilevel"/>
    <w:tmpl w:val="FFFFFFFF"/>
    <w:name w:val="List1188835344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46DC3018"/>
    <w:multiLevelType w:val="multilevel"/>
    <w:tmpl w:val="FFFFFFFF"/>
    <w:name w:val="List1188835344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46DC3019"/>
    <w:multiLevelType w:val="multilevel"/>
    <w:tmpl w:val="FFFFFFFF"/>
    <w:name w:val="List1188835344_3"/>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46DC301A"/>
    <w:multiLevelType w:val="multilevel"/>
    <w:tmpl w:val="FFFFFFFF"/>
    <w:name w:val="List1188835354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46DC301B"/>
    <w:multiLevelType w:val="multilevel"/>
    <w:tmpl w:val="FFFFFFFF"/>
    <w:name w:val="List118883535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46DC301C"/>
    <w:multiLevelType w:val="multilevel"/>
    <w:tmpl w:val="FFFFFFFF"/>
    <w:name w:val="List1188835356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46DC3026"/>
    <w:multiLevelType w:val="multilevel"/>
    <w:tmpl w:val="FFFFFFFF"/>
    <w:name w:val="List1188835366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 w15:restartNumberingAfterBreak="0">
    <w:nsid w:val="46DC3027"/>
    <w:multiLevelType w:val="multilevel"/>
    <w:tmpl w:val="FFFFFFFF"/>
    <w:name w:val="List118883536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 w15:restartNumberingAfterBreak="0">
    <w:nsid w:val="46DC3028"/>
    <w:multiLevelType w:val="multilevel"/>
    <w:tmpl w:val="FFFFFFFF"/>
    <w:name w:val="List1188835367_2"/>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 w15:restartNumberingAfterBreak="0">
    <w:nsid w:val="46DC3029"/>
    <w:multiLevelType w:val="multilevel"/>
    <w:tmpl w:val="FFFFFFFF"/>
    <w:name w:val="List118883536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 w15:restartNumberingAfterBreak="0">
    <w:nsid w:val="46DC302A"/>
    <w:multiLevelType w:val="multilevel"/>
    <w:tmpl w:val="FFFFFFFF"/>
    <w:name w:val="List1188835368_2"/>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 w15:restartNumberingAfterBreak="0">
    <w:nsid w:val="478791C0"/>
    <w:multiLevelType w:val="multilevel"/>
    <w:tmpl w:val="FFFFFFFF"/>
    <w:name w:val="List1200067008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478B4DCE"/>
    <w:multiLevelType w:val="multilevel"/>
    <w:tmpl w:val="FFFFFFFF"/>
    <w:name w:val="List1200311758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 w15:restartNumberingAfterBreak="0">
    <w:nsid w:val="478B7C02"/>
    <w:multiLevelType w:val="multilevel"/>
    <w:tmpl w:val="FFFFFFFF"/>
    <w:name w:val="List1200323586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15:restartNumberingAfterBreak="0">
    <w:nsid w:val="478B7F3F"/>
    <w:multiLevelType w:val="multilevel"/>
    <w:tmpl w:val="FFFFFFFF"/>
    <w:name w:val="List1200324415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478B7F48"/>
    <w:multiLevelType w:val="multilevel"/>
    <w:tmpl w:val="FFFFFFFF"/>
    <w:name w:val="List1200324424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478C6A30"/>
    <w:multiLevelType w:val="multilevel"/>
    <w:tmpl w:val="FFFFFFFF"/>
    <w:name w:val="List1200384560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 w15:restartNumberingAfterBreak="0">
    <w:nsid w:val="478C6A35"/>
    <w:multiLevelType w:val="multilevel"/>
    <w:tmpl w:val="FFFFFFFF"/>
    <w:name w:val="List1200384565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 w15:restartNumberingAfterBreak="0">
    <w:nsid w:val="478C6A3D"/>
    <w:multiLevelType w:val="multilevel"/>
    <w:tmpl w:val="FFFFFFFF"/>
    <w:name w:val="List1200384573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 w15:restartNumberingAfterBreak="0">
    <w:nsid w:val="478C6A47"/>
    <w:multiLevelType w:val="multilevel"/>
    <w:tmpl w:val="FFFFFFFF"/>
    <w:name w:val="List1200384583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 w15:restartNumberingAfterBreak="0">
    <w:nsid w:val="478C6A7B"/>
    <w:multiLevelType w:val="multilevel"/>
    <w:tmpl w:val="FFFFFFFF"/>
    <w:name w:val="List1200384635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 w15:restartNumberingAfterBreak="0">
    <w:nsid w:val="478C6A80"/>
    <w:multiLevelType w:val="multilevel"/>
    <w:tmpl w:val="FFFFFFFF"/>
    <w:name w:val="List1200384640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478C6A88"/>
    <w:multiLevelType w:val="multilevel"/>
    <w:tmpl w:val="FFFFFFFF"/>
    <w:name w:val="List1200384648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 w15:restartNumberingAfterBreak="0">
    <w:nsid w:val="478C6A97"/>
    <w:multiLevelType w:val="multilevel"/>
    <w:tmpl w:val="FFFFFFFF"/>
    <w:name w:val="List1200384663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 w15:restartNumberingAfterBreak="0">
    <w:nsid w:val="4863C67D"/>
    <w:multiLevelType w:val="multilevel"/>
    <w:tmpl w:val="FFFFFFFF"/>
    <w:name w:val="List12144984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 w15:restartNumberingAfterBreak="0">
    <w:nsid w:val="4864938C"/>
    <w:multiLevelType w:val="multilevel"/>
    <w:tmpl w:val="FFFFFFFF"/>
    <w:name w:val="List12145509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4864938D"/>
    <w:multiLevelType w:val="multilevel"/>
    <w:tmpl w:val="FFFFFFFF"/>
    <w:name w:val="List12145509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3" w15:restartNumberingAfterBreak="0">
    <w:nsid w:val="48649390"/>
    <w:multiLevelType w:val="multilevel"/>
    <w:tmpl w:val="FFFFFFFF"/>
    <w:name w:val="List12145509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4" w15:restartNumberingAfterBreak="0">
    <w:nsid w:val="48649393"/>
    <w:multiLevelType w:val="multilevel"/>
    <w:tmpl w:val="FFFFFFFF"/>
    <w:name w:val="List12145509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5" w15:restartNumberingAfterBreak="0">
    <w:nsid w:val="4864EDD6"/>
    <w:multiLevelType w:val="multilevel"/>
    <w:tmpl w:val="FFFFFFFF"/>
    <w:name w:val="List121457403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6" w15:restartNumberingAfterBreak="0">
    <w:nsid w:val="4864EDDB"/>
    <w:multiLevelType w:val="multilevel"/>
    <w:tmpl w:val="FFFFFFFF"/>
    <w:name w:val="List121457404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7" w15:restartNumberingAfterBreak="0">
    <w:nsid w:val="48650746"/>
    <w:multiLevelType w:val="multilevel"/>
    <w:tmpl w:val="FFFFFFFF"/>
    <w:name w:val="List121458055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8" w15:restartNumberingAfterBreak="0">
    <w:nsid w:val="48931BE7"/>
    <w:multiLevelType w:val="multilevel"/>
    <w:tmpl w:val="FFFFFFFF"/>
    <w:name w:val="List12176004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9" w15:restartNumberingAfterBreak="0">
    <w:nsid w:val="48B26418"/>
    <w:multiLevelType w:val="multilevel"/>
    <w:tmpl w:val="FFFFFFFF"/>
    <w:name w:val="List12196505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0" w15:restartNumberingAfterBreak="0">
    <w:nsid w:val="48B2641E"/>
    <w:multiLevelType w:val="multilevel"/>
    <w:tmpl w:val="FFFFFFFF"/>
    <w:name w:val="List1219650590_1"/>
    <w:lvl w:ilvl="0">
      <w:start w:val="1"/>
      <w:numFmt w:val="decimal"/>
      <w:lvlText w:val="%1"/>
      <w:lvlJc w:val="left"/>
      <w:rPr>
        <w:rFonts w:ascii="Times New Roman" w:hAnsi="Times New Roman"/>
        <w:b/>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1" w15:restartNumberingAfterBreak="0">
    <w:nsid w:val="48B26421"/>
    <w:multiLevelType w:val="multilevel"/>
    <w:tmpl w:val="FFFFFFFF"/>
    <w:name w:val="List1219650593_1"/>
    <w:lvl w:ilvl="0">
      <w:start w:val="1"/>
      <w:numFmt w:val="decimal"/>
      <w:lvlText w:val="%1"/>
      <w:lvlJc w:val="left"/>
      <w:rPr>
        <w:rFonts w:ascii="Times New Roman" w:hAnsi="Times New Roman"/>
        <w:b/>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2" w15:restartNumberingAfterBreak="0">
    <w:nsid w:val="48B2645D"/>
    <w:multiLevelType w:val="multilevel"/>
    <w:tmpl w:val="FFFFFFFF"/>
    <w:name w:val="List12196506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3" w15:restartNumberingAfterBreak="0">
    <w:nsid w:val="48B26489"/>
    <w:multiLevelType w:val="multilevel"/>
    <w:tmpl w:val="FFFFFFFF"/>
    <w:name w:val="List121965069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4" w15:restartNumberingAfterBreak="0">
    <w:nsid w:val="48C64489"/>
    <w:multiLevelType w:val="multilevel"/>
    <w:tmpl w:val="FFFFFFFF"/>
    <w:name w:val="List12209532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5" w15:restartNumberingAfterBreak="0">
    <w:nsid w:val="48CA39FB"/>
    <w:multiLevelType w:val="multilevel"/>
    <w:tmpl w:val="FFFFFFFF"/>
    <w:name w:val="List122121266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6" w15:restartNumberingAfterBreak="0">
    <w:nsid w:val="48DCF43B"/>
    <w:multiLevelType w:val="multilevel"/>
    <w:tmpl w:val="FFFFFFFF"/>
    <w:name w:val="List122243999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48DCF664"/>
    <w:multiLevelType w:val="multilevel"/>
    <w:tmpl w:val="FFFFFFFF"/>
    <w:name w:val="List1222440548_1"/>
    <w:lvl w:ilvl="0">
      <w:start w:val="1"/>
      <w:numFmt w:val="decimal"/>
      <w:lvlText w:val="%1"/>
      <w:lvlJc w:val="left"/>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8" w15:restartNumberingAfterBreak="0">
    <w:nsid w:val="493425EE"/>
    <w:multiLevelType w:val="multilevel"/>
    <w:tmpl w:val="FFFFFFFF"/>
    <w:name w:val="List122815435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9" w15:restartNumberingAfterBreak="0">
    <w:nsid w:val="49353E53"/>
    <w:multiLevelType w:val="multilevel"/>
    <w:tmpl w:val="FFFFFFFF"/>
    <w:name w:val="List12282261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15:restartNumberingAfterBreak="0">
    <w:nsid w:val="49353E66"/>
    <w:multiLevelType w:val="multilevel"/>
    <w:tmpl w:val="FFFFFFFF"/>
    <w:name w:val="List122822615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1" w15:restartNumberingAfterBreak="0">
    <w:nsid w:val="493A4DA4"/>
    <w:multiLevelType w:val="multilevel"/>
    <w:tmpl w:val="FFFFFFFF"/>
    <w:name w:val="List122855773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2" w15:restartNumberingAfterBreak="0">
    <w:nsid w:val="493A4E73"/>
    <w:multiLevelType w:val="multilevel"/>
    <w:tmpl w:val="FFFFFFFF"/>
    <w:name w:val="List12285579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3" w15:restartNumberingAfterBreak="0">
    <w:nsid w:val="493A4E76"/>
    <w:multiLevelType w:val="multilevel"/>
    <w:tmpl w:val="FFFFFFFF"/>
    <w:name w:val="List122855794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4" w15:restartNumberingAfterBreak="0">
    <w:nsid w:val="493A6912"/>
    <w:multiLevelType w:val="multilevel"/>
    <w:tmpl w:val="FFFFFFFF"/>
    <w:name w:val="List12285647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5" w15:restartNumberingAfterBreak="0">
    <w:nsid w:val="4A200F71"/>
    <w:multiLevelType w:val="multilevel"/>
    <w:tmpl w:val="FFFFFFFF"/>
    <w:name w:val="List12436150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6" w15:restartNumberingAfterBreak="0">
    <w:nsid w:val="4A2CE3DE"/>
    <w:multiLevelType w:val="multilevel"/>
    <w:tmpl w:val="FFFFFFFF"/>
    <w:name w:val="List1244455902_1"/>
    <w:lvl w:ilvl="0">
      <w:start w:val="1"/>
      <w:numFmt w:val="decimal"/>
      <w:lvlText w:val="%1"/>
      <w:lvlJc w:val="left"/>
      <w:rPr>
        <w:rFonts w:ascii="Tahoma" w:hAnsi="Tahoma"/>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7" w15:restartNumberingAfterBreak="0">
    <w:nsid w:val="4A3F4B05"/>
    <w:multiLevelType w:val="multilevel"/>
    <w:tmpl w:val="FFFFFFFF"/>
    <w:name w:val="List124566195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8" w15:restartNumberingAfterBreak="0">
    <w:nsid w:val="4A3F7BB6"/>
    <w:multiLevelType w:val="multilevel"/>
    <w:tmpl w:val="FFFFFFFF"/>
    <w:name w:val="List124567442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9" w15:restartNumberingAfterBreak="0">
    <w:nsid w:val="4A3F7BD5"/>
    <w:multiLevelType w:val="multilevel"/>
    <w:tmpl w:val="FFFFFFFF"/>
    <w:name w:val="List1245674453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0" w15:restartNumberingAfterBreak="0">
    <w:nsid w:val="4A3F7BFC"/>
    <w:multiLevelType w:val="multilevel"/>
    <w:tmpl w:val="FFFFFFFF"/>
    <w:name w:val="List124567449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1" w15:restartNumberingAfterBreak="0">
    <w:nsid w:val="4A3F7C24"/>
    <w:multiLevelType w:val="multilevel"/>
    <w:tmpl w:val="FFFFFFFF"/>
    <w:name w:val="List124567453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4A3F7C53"/>
    <w:multiLevelType w:val="multilevel"/>
    <w:tmpl w:val="FFFFFFFF"/>
    <w:name w:val="List1245674579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3" w15:restartNumberingAfterBreak="0">
    <w:nsid w:val="4A3F7C66"/>
    <w:multiLevelType w:val="multilevel"/>
    <w:tmpl w:val="FFFFFFFF"/>
    <w:name w:val="List1245674598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4" w15:restartNumberingAfterBreak="0">
    <w:nsid w:val="4A3F7C78"/>
    <w:multiLevelType w:val="multilevel"/>
    <w:tmpl w:val="FFFFFFFF"/>
    <w:name w:val="List1245674616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5" w15:restartNumberingAfterBreak="0">
    <w:nsid w:val="4A3F7C9D"/>
    <w:multiLevelType w:val="multilevel"/>
    <w:tmpl w:val="FFFFFFFF"/>
    <w:name w:val="List1245674653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6" w15:restartNumberingAfterBreak="0">
    <w:nsid w:val="4A3F7CAE"/>
    <w:multiLevelType w:val="multilevel"/>
    <w:tmpl w:val="FFFFFFFF"/>
    <w:name w:val="List1245674670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7" w15:restartNumberingAfterBreak="0">
    <w:nsid w:val="4A3F7CBA"/>
    <w:multiLevelType w:val="multilevel"/>
    <w:tmpl w:val="FFFFFFFF"/>
    <w:name w:val="List124567468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8" w15:restartNumberingAfterBreak="0">
    <w:nsid w:val="4A3F7CC2"/>
    <w:multiLevelType w:val="multilevel"/>
    <w:tmpl w:val="FFFFFFFF"/>
    <w:name w:val="List1245674690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9" w15:restartNumberingAfterBreak="0">
    <w:nsid w:val="4A3F7CD4"/>
    <w:multiLevelType w:val="multilevel"/>
    <w:tmpl w:val="FFFFFFFF"/>
    <w:name w:val="List1245674708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0" w15:restartNumberingAfterBreak="0">
    <w:nsid w:val="4A3F7D53"/>
    <w:multiLevelType w:val="multilevel"/>
    <w:tmpl w:val="FFFFFFFF"/>
    <w:name w:val="List124567483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1" w15:restartNumberingAfterBreak="0">
    <w:nsid w:val="4A3F7E18"/>
    <w:multiLevelType w:val="multilevel"/>
    <w:tmpl w:val="FFFFFFFF"/>
    <w:name w:val="List124567503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2" w15:restartNumberingAfterBreak="0">
    <w:nsid w:val="4A3F81DF"/>
    <w:multiLevelType w:val="multilevel"/>
    <w:tmpl w:val="FFFFFFFF"/>
    <w:name w:val="List1245675999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3" w15:restartNumberingAfterBreak="0">
    <w:nsid w:val="4A3F8290"/>
    <w:multiLevelType w:val="multilevel"/>
    <w:tmpl w:val="FFFFFFFF"/>
    <w:name w:val="List1245676176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4" w15:restartNumberingAfterBreak="0">
    <w:nsid w:val="4A3F8300"/>
    <w:multiLevelType w:val="multilevel"/>
    <w:tmpl w:val="FFFFFFFF"/>
    <w:name w:val="List1245676288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5" w15:restartNumberingAfterBreak="0">
    <w:nsid w:val="4A3F833E"/>
    <w:multiLevelType w:val="multilevel"/>
    <w:tmpl w:val="FFFFFFFF"/>
    <w:name w:val="List1245676350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6" w15:restartNumberingAfterBreak="0">
    <w:nsid w:val="4A3F8A04"/>
    <w:multiLevelType w:val="multilevel"/>
    <w:tmpl w:val="FFFFFFFF"/>
    <w:name w:val="List1245678084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7" w15:restartNumberingAfterBreak="0">
    <w:nsid w:val="4A3F8B81"/>
    <w:multiLevelType w:val="multilevel"/>
    <w:tmpl w:val="FFFFFFFF"/>
    <w:name w:val="List124567846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8" w15:restartNumberingAfterBreak="0">
    <w:nsid w:val="4A3F8B9B"/>
    <w:multiLevelType w:val="multilevel"/>
    <w:tmpl w:val="FFFFFFFF"/>
    <w:name w:val="List1245678491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9" w15:restartNumberingAfterBreak="0">
    <w:nsid w:val="4A3FB8EB"/>
    <w:multiLevelType w:val="multilevel"/>
    <w:tmpl w:val="FFFFFFFF"/>
    <w:name w:val="List1245690091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0" w15:restartNumberingAfterBreak="0">
    <w:nsid w:val="4A42422D"/>
    <w:multiLevelType w:val="multilevel"/>
    <w:tmpl w:val="FFFFFFFF"/>
    <w:name w:val="List124585630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1" w15:restartNumberingAfterBreak="0">
    <w:nsid w:val="4A432BB9"/>
    <w:multiLevelType w:val="multilevel"/>
    <w:tmpl w:val="FFFFFFFF"/>
    <w:name w:val="List12459160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2" w15:restartNumberingAfterBreak="0">
    <w:nsid w:val="4A432BEB"/>
    <w:multiLevelType w:val="multilevel"/>
    <w:tmpl w:val="FFFFFFFF"/>
    <w:name w:val="List12459161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3" w15:restartNumberingAfterBreak="0">
    <w:nsid w:val="4A4338F8"/>
    <w:multiLevelType w:val="multilevel"/>
    <w:tmpl w:val="FFFFFFFF"/>
    <w:name w:val="List1245919480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4" w15:restartNumberingAfterBreak="0">
    <w:nsid w:val="4A4338F9"/>
    <w:multiLevelType w:val="multilevel"/>
    <w:tmpl w:val="FFFFFFFF"/>
    <w:name w:val="List12459189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5" w15:restartNumberingAfterBreak="0">
    <w:nsid w:val="4A433A6E"/>
    <w:multiLevelType w:val="multilevel"/>
    <w:tmpl w:val="FFFFFFFF"/>
    <w:name w:val="List1245919854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6" w15:restartNumberingAfterBreak="0">
    <w:nsid w:val="4A433A9A"/>
    <w:multiLevelType w:val="multilevel"/>
    <w:tmpl w:val="FFFFFFFF"/>
    <w:name w:val="List12459198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7" w15:restartNumberingAfterBreak="0">
    <w:nsid w:val="4A433AE8"/>
    <w:multiLevelType w:val="multilevel"/>
    <w:tmpl w:val="FFFFFFFF"/>
    <w:name w:val="List1245919976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8" w15:restartNumberingAfterBreak="0">
    <w:nsid w:val="4A433BCF"/>
    <w:multiLevelType w:val="multilevel"/>
    <w:tmpl w:val="FFFFFFFF"/>
    <w:name w:val="List1245920207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9" w15:restartNumberingAfterBreak="0">
    <w:nsid w:val="4A433D17"/>
    <w:multiLevelType w:val="multilevel"/>
    <w:tmpl w:val="FFFFFFFF"/>
    <w:name w:val="List1245920535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0" w15:restartNumberingAfterBreak="0">
    <w:nsid w:val="4A433E29"/>
    <w:multiLevelType w:val="multilevel"/>
    <w:tmpl w:val="FFFFFFFF"/>
    <w:name w:val="List124592080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1" w15:restartNumberingAfterBreak="0">
    <w:nsid w:val="4A433E2C"/>
    <w:multiLevelType w:val="multilevel"/>
    <w:tmpl w:val="FFFFFFFF"/>
    <w:name w:val="List124592081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2" w15:restartNumberingAfterBreak="0">
    <w:nsid w:val="4A433E81"/>
    <w:multiLevelType w:val="multilevel"/>
    <w:tmpl w:val="FFFFFFFF"/>
    <w:name w:val="List1245920897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3" w15:restartNumberingAfterBreak="0">
    <w:nsid w:val="4A433F0A"/>
    <w:multiLevelType w:val="multilevel"/>
    <w:tmpl w:val="FFFFFFFF"/>
    <w:name w:val="List1245921034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4" w15:restartNumberingAfterBreak="0">
    <w:nsid w:val="4A433FB2"/>
    <w:multiLevelType w:val="multilevel"/>
    <w:tmpl w:val="FFFFFFFF"/>
    <w:name w:val="List1245921202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5" w15:restartNumberingAfterBreak="0">
    <w:nsid w:val="4A433FC9"/>
    <w:multiLevelType w:val="multilevel"/>
    <w:tmpl w:val="FFFFFFFF"/>
    <w:name w:val="List1245921225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6" w15:restartNumberingAfterBreak="0">
    <w:nsid w:val="4A43408C"/>
    <w:multiLevelType w:val="multilevel"/>
    <w:tmpl w:val="FFFFFFFF"/>
    <w:name w:val="List1245921420_1"/>
    <w:lvl w:ilvl="0">
      <w:start w:val="1"/>
      <w:numFmt w:val="decimal"/>
      <w:lvlText w:val="%1"/>
      <w:lvlJc w:val="left"/>
      <w:rPr>
        <w:rFonts w:ascii="Arial" w:hAnsi="Arial"/>
        <w:color w:val="0F0F0F"/>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7" w15:restartNumberingAfterBreak="0">
    <w:nsid w:val="4A434190"/>
    <w:multiLevelType w:val="multilevel"/>
    <w:tmpl w:val="FFFFFFFF"/>
    <w:name w:val="List12459216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8" w15:restartNumberingAfterBreak="0">
    <w:nsid w:val="4A434212"/>
    <w:multiLevelType w:val="multilevel"/>
    <w:tmpl w:val="FFFFFFFF"/>
    <w:name w:val="List12459218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9" w15:restartNumberingAfterBreak="0">
    <w:nsid w:val="4A435326"/>
    <w:multiLevelType w:val="multilevel"/>
    <w:tmpl w:val="FFFFFFFF"/>
    <w:name w:val="List124592618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0" w15:restartNumberingAfterBreak="0">
    <w:nsid w:val="4A43596A"/>
    <w:multiLevelType w:val="multilevel"/>
    <w:tmpl w:val="FFFFFFFF"/>
    <w:name w:val="List1245927786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1" w15:restartNumberingAfterBreak="0">
    <w:nsid w:val="4A435971"/>
    <w:multiLevelType w:val="multilevel"/>
    <w:tmpl w:val="FFFFFFFF"/>
    <w:name w:val="List12459277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2" w15:restartNumberingAfterBreak="0">
    <w:nsid w:val="4A437683"/>
    <w:multiLevelType w:val="multilevel"/>
    <w:tmpl w:val="FFFFFFFF"/>
    <w:name w:val="List124593523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3" w15:restartNumberingAfterBreak="0">
    <w:nsid w:val="4A437949"/>
    <w:multiLevelType w:val="multilevel"/>
    <w:tmpl w:val="FFFFFFFF"/>
    <w:name w:val="List124593594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4" w15:restartNumberingAfterBreak="0">
    <w:nsid w:val="4A49D9E3"/>
    <w:multiLevelType w:val="multilevel"/>
    <w:tmpl w:val="FFFFFFFF"/>
    <w:name w:val="List124635389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5" w15:restartNumberingAfterBreak="0">
    <w:nsid w:val="4A4A235B"/>
    <w:multiLevelType w:val="multilevel"/>
    <w:tmpl w:val="FFFFFFFF"/>
    <w:name w:val="List124637269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4A4A23A9"/>
    <w:multiLevelType w:val="multilevel"/>
    <w:tmpl w:val="FFFFFFFF"/>
    <w:name w:val="List12463727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7" w15:restartNumberingAfterBreak="0">
    <w:nsid w:val="4A4A23CA"/>
    <w:multiLevelType w:val="multilevel"/>
    <w:tmpl w:val="FFFFFFFF"/>
    <w:name w:val="List12463728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8" w15:restartNumberingAfterBreak="0">
    <w:nsid w:val="4A4A23CD"/>
    <w:multiLevelType w:val="multilevel"/>
    <w:tmpl w:val="FFFFFFFF"/>
    <w:name w:val="List12463728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9" w15:restartNumberingAfterBreak="0">
    <w:nsid w:val="4A4A23D1"/>
    <w:multiLevelType w:val="multilevel"/>
    <w:tmpl w:val="FFFFFFFF"/>
    <w:name w:val="List12463728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0" w15:restartNumberingAfterBreak="0">
    <w:nsid w:val="4A4A23D3"/>
    <w:multiLevelType w:val="multilevel"/>
    <w:tmpl w:val="FFFFFFFF"/>
    <w:name w:val="List124637281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1" w15:restartNumberingAfterBreak="0">
    <w:nsid w:val="4A4A25FC"/>
    <w:multiLevelType w:val="multilevel"/>
    <w:tmpl w:val="FFFFFFFF"/>
    <w:name w:val="List12463733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2" w15:restartNumberingAfterBreak="0">
    <w:nsid w:val="4A4A260D"/>
    <w:multiLevelType w:val="multilevel"/>
    <w:tmpl w:val="FFFFFFFF"/>
    <w:name w:val="List12463733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3" w15:restartNumberingAfterBreak="0">
    <w:nsid w:val="4A4A26AF"/>
    <w:multiLevelType w:val="multilevel"/>
    <w:tmpl w:val="FFFFFFFF"/>
    <w:name w:val="List124637355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4" w15:restartNumberingAfterBreak="0">
    <w:nsid w:val="4A4A27AC"/>
    <w:multiLevelType w:val="multilevel"/>
    <w:tmpl w:val="FFFFFFFF"/>
    <w:name w:val="List124637380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5" w15:restartNumberingAfterBreak="0">
    <w:nsid w:val="4A4A280F"/>
    <w:multiLevelType w:val="multilevel"/>
    <w:tmpl w:val="FFFFFFFF"/>
    <w:name w:val="List124637390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6" w15:restartNumberingAfterBreak="0">
    <w:nsid w:val="4A4A28A6"/>
    <w:multiLevelType w:val="multilevel"/>
    <w:tmpl w:val="FFFFFFFF"/>
    <w:name w:val="List12463740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7" w15:restartNumberingAfterBreak="0">
    <w:nsid w:val="4A4A28FE"/>
    <w:multiLevelType w:val="multilevel"/>
    <w:tmpl w:val="FFFFFFFF"/>
    <w:name w:val="List124637414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8" w15:restartNumberingAfterBreak="0">
    <w:nsid w:val="4A4A2ADD"/>
    <w:multiLevelType w:val="multilevel"/>
    <w:tmpl w:val="FFFFFFFF"/>
    <w:name w:val="List12463746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9" w15:restartNumberingAfterBreak="0">
    <w:nsid w:val="4A4A2AE2"/>
    <w:multiLevelType w:val="multilevel"/>
    <w:tmpl w:val="FFFFFFFF"/>
    <w:name w:val="List12463746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0" w15:restartNumberingAfterBreak="0">
    <w:nsid w:val="4A4A2AE4"/>
    <w:multiLevelType w:val="multilevel"/>
    <w:tmpl w:val="FFFFFFFF"/>
    <w:name w:val="List12463746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1" w15:restartNumberingAfterBreak="0">
    <w:nsid w:val="4A4A2AE5"/>
    <w:multiLevelType w:val="multilevel"/>
    <w:tmpl w:val="FFFFFFFF"/>
    <w:name w:val="List1246374629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2" w15:restartNumberingAfterBreak="0">
    <w:nsid w:val="4A4A2DC5"/>
    <w:multiLevelType w:val="multilevel"/>
    <w:tmpl w:val="FFFFFFFF"/>
    <w:name w:val="List124637536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3" w15:restartNumberingAfterBreak="0">
    <w:nsid w:val="4A4A3322"/>
    <w:multiLevelType w:val="multilevel"/>
    <w:tmpl w:val="FFFFFFFF"/>
    <w:name w:val="List124637673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4" w15:restartNumberingAfterBreak="0">
    <w:nsid w:val="4A4B0BAA"/>
    <w:multiLevelType w:val="multilevel"/>
    <w:tmpl w:val="FFFFFFFF"/>
    <w:name w:val="List124643217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5" w15:restartNumberingAfterBreak="0">
    <w:nsid w:val="4A4B0BB8"/>
    <w:multiLevelType w:val="multilevel"/>
    <w:tmpl w:val="FFFFFFFF"/>
    <w:name w:val="List1246432184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6" w15:restartNumberingAfterBreak="0">
    <w:nsid w:val="4A4B0C70"/>
    <w:multiLevelType w:val="multilevel"/>
    <w:tmpl w:val="FFFFFFFF"/>
    <w:name w:val="List1246432368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7" w15:restartNumberingAfterBreak="0">
    <w:nsid w:val="4A4B0C7A"/>
    <w:multiLevelType w:val="multilevel"/>
    <w:tmpl w:val="FFFFFFFF"/>
    <w:name w:val="List1246432378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8" w15:restartNumberingAfterBreak="0">
    <w:nsid w:val="4A4B0C80"/>
    <w:multiLevelType w:val="multilevel"/>
    <w:tmpl w:val="FFFFFFFF"/>
    <w:name w:val="List1246432384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9" w15:restartNumberingAfterBreak="0">
    <w:nsid w:val="4A4B0CBE"/>
    <w:multiLevelType w:val="multilevel"/>
    <w:tmpl w:val="FFFFFFFF"/>
    <w:name w:val="List1246432446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0" w15:restartNumberingAfterBreak="0">
    <w:nsid w:val="4A4B1F5B"/>
    <w:multiLevelType w:val="multilevel"/>
    <w:tmpl w:val="FFFFFFFF"/>
    <w:name w:val="List12464372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1" w15:restartNumberingAfterBreak="0">
    <w:nsid w:val="4A4B1FC5"/>
    <w:multiLevelType w:val="multilevel"/>
    <w:tmpl w:val="FFFFFFFF"/>
    <w:name w:val="List12464373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2" w15:restartNumberingAfterBreak="0">
    <w:nsid w:val="4A4B2034"/>
    <w:multiLevelType w:val="multilevel"/>
    <w:tmpl w:val="FFFFFFFF"/>
    <w:name w:val="List12464374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3" w15:restartNumberingAfterBreak="0">
    <w:nsid w:val="4A4B2054"/>
    <w:multiLevelType w:val="multilevel"/>
    <w:tmpl w:val="FFFFFFFF"/>
    <w:name w:val="List12464374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4" w15:restartNumberingAfterBreak="0">
    <w:nsid w:val="4A4B20CD"/>
    <w:multiLevelType w:val="multilevel"/>
    <w:tmpl w:val="FFFFFFFF"/>
    <w:name w:val="List124643758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5" w15:restartNumberingAfterBreak="0">
    <w:nsid w:val="4A4B23FB"/>
    <w:multiLevelType w:val="multilevel"/>
    <w:tmpl w:val="FFFFFFFF"/>
    <w:name w:val="List12464383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6" w15:restartNumberingAfterBreak="0">
    <w:nsid w:val="4A4B2425"/>
    <w:multiLevelType w:val="multilevel"/>
    <w:tmpl w:val="FFFFFFFF"/>
    <w:name w:val="List124643843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7" w15:restartNumberingAfterBreak="0">
    <w:nsid w:val="4A4B242E"/>
    <w:multiLevelType w:val="multilevel"/>
    <w:tmpl w:val="FFFFFFFF"/>
    <w:name w:val="List124643844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8" w15:restartNumberingAfterBreak="0">
    <w:nsid w:val="4A4B24D6"/>
    <w:multiLevelType w:val="multilevel"/>
    <w:tmpl w:val="FFFFFFFF"/>
    <w:name w:val="List12464386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9" w15:restartNumberingAfterBreak="0">
    <w:nsid w:val="4A4B41A3"/>
    <w:multiLevelType w:val="multilevel"/>
    <w:tmpl w:val="FFFFFFFF"/>
    <w:name w:val="List12464459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0" w15:restartNumberingAfterBreak="0">
    <w:nsid w:val="4A4B53AB"/>
    <w:multiLevelType w:val="multilevel"/>
    <w:tmpl w:val="FFFFFFFF"/>
    <w:name w:val="List124645060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1" w15:restartNumberingAfterBreak="0">
    <w:nsid w:val="4A4DB406"/>
    <w:multiLevelType w:val="multilevel"/>
    <w:tmpl w:val="FFFFFFFF"/>
    <w:name w:val="List1246606342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2" w15:restartNumberingAfterBreak="0">
    <w:nsid w:val="4A4DB8CF"/>
    <w:multiLevelType w:val="multilevel"/>
    <w:tmpl w:val="FFFFFFFF"/>
    <w:name w:val="List1246607567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3" w15:restartNumberingAfterBreak="0">
    <w:nsid w:val="4A530DB5"/>
    <w:multiLevelType w:val="multilevel"/>
    <w:tmpl w:val="FFFFFFFF"/>
    <w:name w:val="List124695698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4" w15:restartNumberingAfterBreak="0">
    <w:nsid w:val="4A534CF7"/>
    <w:multiLevelType w:val="multilevel"/>
    <w:tmpl w:val="FFFFFFFF"/>
    <w:name w:val="List1246973175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5" w15:restartNumberingAfterBreak="0">
    <w:nsid w:val="4A5F5832"/>
    <w:multiLevelType w:val="multilevel"/>
    <w:tmpl w:val="FFFFFFFF"/>
    <w:name w:val="List12477624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6" w15:restartNumberingAfterBreak="0">
    <w:nsid w:val="4A940DDF"/>
    <w:multiLevelType w:val="multilevel"/>
    <w:tmpl w:val="FFFFFFFF"/>
    <w:name w:val="List125121686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7" w15:restartNumberingAfterBreak="0">
    <w:nsid w:val="4A94FA01"/>
    <w:multiLevelType w:val="multilevel"/>
    <w:tmpl w:val="FFFFFFFF"/>
    <w:name w:val="List12512773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8" w15:restartNumberingAfterBreak="0">
    <w:nsid w:val="4A94FA2F"/>
    <w:multiLevelType w:val="multilevel"/>
    <w:tmpl w:val="FFFFFFFF"/>
    <w:name w:val="List125127735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9" w15:restartNumberingAfterBreak="0">
    <w:nsid w:val="4A94FA9F"/>
    <w:multiLevelType w:val="multilevel"/>
    <w:tmpl w:val="FFFFFFFF"/>
    <w:name w:val="List12512774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0" w15:restartNumberingAfterBreak="0">
    <w:nsid w:val="4A94FAD6"/>
    <w:multiLevelType w:val="multilevel"/>
    <w:tmpl w:val="FFFFFFFF"/>
    <w:name w:val="List1251277526_1"/>
    <w:lvl w:ilvl="0">
      <w:start w:val="1"/>
      <w:numFmt w:val="decimal"/>
      <w:lvlText w:val="%1"/>
      <w:lvlJc w:val="left"/>
      <w:rPr>
        <w:rFonts w:ascii="Arial" w:hAnsi="Arial"/>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1" w15:restartNumberingAfterBreak="0">
    <w:nsid w:val="4A94FAD8"/>
    <w:multiLevelType w:val="multilevel"/>
    <w:tmpl w:val="FFFFFFFF"/>
    <w:name w:val="List12512775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2" w15:restartNumberingAfterBreak="0">
    <w:nsid w:val="4A94FE80"/>
    <w:multiLevelType w:val="multilevel"/>
    <w:tmpl w:val="FFFFFFFF"/>
    <w:name w:val="List125127846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3" w15:restartNumberingAfterBreak="0">
    <w:nsid w:val="4A95652B"/>
    <w:multiLevelType w:val="multilevel"/>
    <w:tmpl w:val="FFFFFFFF"/>
    <w:name w:val="List12513047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4" w15:restartNumberingAfterBreak="0">
    <w:nsid w:val="4A956531"/>
    <w:multiLevelType w:val="multilevel"/>
    <w:tmpl w:val="FFFFFFFF"/>
    <w:name w:val="List12513047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5" w15:restartNumberingAfterBreak="0">
    <w:nsid w:val="4A956537"/>
    <w:multiLevelType w:val="multilevel"/>
    <w:tmpl w:val="FFFFFFFF"/>
    <w:name w:val="List125130475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6" w15:restartNumberingAfterBreak="0">
    <w:nsid w:val="4A9B8D04"/>
    <w:multiLevelType w:val="multilevel"/>
    <w:tmpl w:val="FFFFFFFF"/>
    <w:name w:val="List125170816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7" w15:restartNumberingAfterBreak="0">
    <w:nsid w:val="4A9B8DD7"/>
    <w:multiLevelType w:val="multilevel"/>
    <w:tmpl w:val="FFFFFFFF"/>
    <w:name w:val="List125170837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8" w15:restartNumberingAfterBreak="0">
    <w:nsid w:val="4A9B8DE4"/>
    <w:multiLevelType w:val="multilevel"/>
    <w:tmpl w:val="FFFFFFFF"/>
    <w:name w:val="List125170838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9" w15:restartNumberingAfterBreak="0">
    <w:nsid w:val="4A9B8E78"/>
    <w:multiLevelType w:val="multilevel"/>
    <w:tmpl w:val="FFFFFFFF"/>
    <w:name w:val="List125170853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0" w15:restartNumberingAfterBreak="0">
    <w:nsid w:val="4A9B8E7B"/>
    <w:multiLevelType w:val="multilevel"/>
    <w:tmpl w:val="FFFFFFFF"/>
    <w:name w:val="List12517085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1" w15:restartNumberingAfterBreak="0">
    <w:nsid w:val="4A9B8F81"/>
    <w:multiLevelType w:val="multilevel"/>
    <w:tmpl w:val="FFFFFFFF"/>
    <w:name w:val="List125170880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2" w15:restartNumberingAfterBreak="0">
    <w:nsid w:val="4A9B8F8D"/>
    <w:multiLevelType w:val="multilevel"/>
    <w:tmpl w:val="FFFFFFFF"/>
    <w:name w:val="List12517088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3" w15:restartNumberingAfterBreak="0">
    <w:nsid w:val="4A9B8F92"/>
    <w:multiLevelType w:val="multilevel"/>
    <w:tmpl w:val="FFFFFFFF"/>
    <w:name w:val="List125170881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4" w15:restartNumberingAfterBreak="0">
    <w:nsid w:val="4A9B8F94"/>
    <w:multiLevelType w:val="multilevel"/>
    <w:tmpl w:val="FFFFFFFF"/>
    <w:name w:val="List125170882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5" w15:restartNumberingAfterBreak="0">
    <w:nsid w:val="4A9B8F9B"/>
    <w:multiLevelType w:val="multilevel"/>
    <w:tmpl w:val="FFFFFFFF"/>
    <w:name w:val="List125170882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6" w15:restartNumberingAfterBreak="0">
    <w:nsid w:val="4A9B8F9F"/>
    <w:multiLevelType w:val="multilevel"/>
    <w:tmpl w:val="FFFFFFFF"/>
    <w:name w:val="List12517088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7" w15:restartNumberingAfterBreak="0">
    <w:nsid w:val="4A9B8FA7"/>
    <w:multiLevelType w:val="multilevel"/>
    <w:tmpl w:val="FFFFFFFF"/>
    <w:name w:val="List12517088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8" w15:restartNumberingAfterBreak="0">
    <w:nsid w:val="4A9B8FAC"/>
    <w:multiLevelType w:val="multilevel"/>
    <w:tmpl w:val="FFFFFFFF"/>
    <w:name w:val="List125170884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9" w15:restartNumberingAfterBreak="0">
    <w:nsid w:val="4A9CCDB7"/>
    <w:multiLevelType w:val="multilevel"/>
    <w:tmpl w:val="FFFFFFFF"/>
    <w:name w:val="List125179026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0" w15:restartNumberingAfterBreak="0">
    <w:nsid w:val="4A9CD0C8"/>
    <w:multiLevelType w:val="multilevel"/>
    <w:tmpl w:val="FFFFFFFF"/>
    <w:name w:val="List125179104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1" w15:restartNumberingAfterBreak="0">
    <w:nsid w:val="4AA0D6B1"/>
    <w:multiLevelType w:val="multilevel"/>
    <w:tmpl w:val="FFFFFFFF"/>
    <w:name w:val="List125205470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2" w15:restartNumberingAfterBreak="0">
    <w:nsid w:val="4AA0D6BD"/>
    <w:multiLevelType w:val="multilevel"/>
    <w:tmpl w:val="FFFFFFFF"/>
    <w:name w:val="List12520547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3" w15:restartNumberingAfterBreak="0">
    <w:nsid w:val="4AA0D72D"/>
    <w:multiLevelType w:val="multilevel"/>
    <w:tmpl w:val="FFFFFFFF"/>
    <w:name w:val="List12520548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4" w15:restartNumberingAfterBreak="0">
    <w:nsid w:val="4AA0D759"/>
    <w:multiLevelType w:val="multilevel"/>
    <w:tmpl w:val="FFFFFFFF"/>
    <w:name w:val="List12520548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5" w15:restartNumberingAfterBreak="0">
    <w:nsid w:val="4AA0D774"/>
    <w:multiLevelType w:val="multilevel"/>
    <w:tmpl w:val="FFFFFFFF"/>
    <w:name w:val="List125205490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6" w15:restartNumberingAfterBreak="0">
    <w:nsid w:val="4AA0D777"/>
    <w:multiLevelType w:val="multilevel"/>
    <w:tmpl w:val="FFFFFFFF"/>
    <w:name w:val="List125205490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7" w15:restartNumberingAfterBreak="0">
    <w:nsid w:val="4AA0D7C4"/>
    <w:multiLevelType w:val="multilevel"/>
    <w:tmpl w:val="FFFFFFFF"/>
    <w:name w:val="List12520549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8" w15:restartNumberingAfterBreak="0">
    <w:nsid w:val="4AA0D7C8"/>
    <w:multiLevelType w:val="multilevel"/>
    <w:tmpl w:val="FFFFFFFF"/>
    <w:name w:val="List12520549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9" w15:restartNumberingAfterBreak="0">
    <w:nsid w:val="4AA0DB51"/>
    <w:multiLevelType w:val="multilevel"/>
    <w:tmpl w:val="FFFFFFFF"/>
    <w:name w:val="List12520558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0" w15:restartNumberingAfterBreak="0">
    <w:nsid w:val="4AA0DB55"/>
    <w:multiLevelType w:val="multilevel"/>
    <w:tmpl w:val="FFFFFFFF"/>
    <w:name w:val="List12520558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1" w15:restartNumberingAfterBreak="0">
    <w:nsid w:val="4AA0DB59"/>
    <w:multiLevelType w:val="multilevel"/>
    <w:tmpl w:val="FFFFFFFF"/>
    <w:name w:val="List125205589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2" w15:restartNumberingAfterBreak="0">
    <w:nsid w:val="4AA61DF4"/>
    <w:multiLevelType w:val="multilevel"/>
    <w:tmpl w:val="FFFFFFFF"/>
    <w:name w:val="List12524006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3" w15:restartNumberingAfterBreak="0">
    <w:nsid w:val="4AA61DF8"/>
    <w:multiLevelType w:val="multilevel"/>
    <w:tmpl w:val="FFFFFFFF"/>
    <w:name w:val="List125240063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4" w15:restartNumberingAfterBreak="0">
    <w:nsid w:val="4AA8BE17"/>
    <w:multiLevelType w:val="multilevel"/>
    <w:tmpl w:val="FFFFFFFF"/>
    <w:name w:val="List12525726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5" w15:restartNumberingAfterBreak="0">
    <w:nsid w:val="4AB735F6"/>
    <w:multiLevelType w:val="multilevel"/>
    <w:tmpl w:val="FFFFFFFF"/>
    <w:name w:val="List12535208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6" w15:restartNumberingAfterBreak="0">
    <w:nsid w:val="4AB73609"/>
    <w:multiLevelType w:val="multilevel"/>
    <w:tmpl w:val="FFFFFFFF"/>
    <w:name w:val="List125352090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7" w15:restartNumberingAfterBreak="0">
    <w:nsid w:val="4AB7360A"/>
    <w:multiLevelType w:val="multilevel"/>
    <w:tmpl w:val="FFFFFFFF"/>
    <w:name w:val="List12535209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8" w15:restartNumberingAfterBreak="0">
    <w:nsid w:val="4AB73633"/>
    <w:multiLevelType w:val="multilevel"/>
    <w:tmpl w:val="FFFFFFFF"/>
    <w:name w:val="List12535209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9" w15:restartNumberingAfterBreak="0">
    <w:nsid w:val="4AB75AA4"/>
    <w:multiLevelType w:val="multilevel"/>
    <w:tmpl w:val="FFFFFFFF"/>
    <w:name w:val="List125353027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0" w15:restartNumberingAfterBreak="0">
    <w:nsid w:val="4AB75AA6"/>
    <w:multiLevelType w:val="multilevel"/>
    <w:tmpl w:val="FFFFFFFF"/>
    <w:name w:val="List125353027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1" w15:restartNumberingAfterBreak="0">
    <w:nsid w:val="4AB75AAE"/>
    <w:multiLevelType w:val="multilevel"/>
    <w:tmpl w:val="FFFFFFFF"/>
    <w:name w:val="List12535302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2" w15:restartNumberingAfterBreak="0">
    <w:nsid w:val="4AB77BB5"/>
    <w:multiLevelType w:val="multilevel"/>
    <w:tmpl w:val="FFFFFFFF"/>
    <w:name w:val="List125353874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3" w15:restartNumberingAfterBreak="0">
    <w:nsid w:val="4AB77BB7"/>
    <w:multiLevelType w:val="multilevel"/>
    <w:tmpl w:val="FFFFFFFF"/>
    <w:name w:val="List125353874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4" w15:restartNumberingAfterBreak="0">
    <w:nsid w:val="4AB77BB9"/>
    <w:multiLevelType w:val="multilevel"/>
    <w:tmpl w:val="FFFFFFFF"/>
    <w:name w:val="List125353874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5" w15:restartNumberingAfterBreak="0">
    <w:nsid w:val="4AB77BBB"/>
    <w:multiLevelType w:val="multilevel"/>
    <w:tmpl w:val="FFFFFFFF"/>
    <w:name w:val="List12535387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6" w15:restartNumberingAfterBreak="0">
    <w:nsid w:val="4AB8D96C"/>
    <w:multiLevelType w:val="multilevel"/>
    <w:tmpl w:val="FFFFFFFF"/>
    <w:name w:val="List125362826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7" w15:restartNumberingAfterBreak="0">
    <w:nsid w:val="4AB8DA8C"/>
    <w:multiLevelType w:val="multilevel"/>
    <w:tmpl w:val="FFFFFFFF"/>
    <w:name w:val="List125362855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8" w15:restartNumberingAfterBreak="0">
    <w:nsid w:val="4AB8DA8E"/>
    <w:multiLevelType w:val="multilevel"/>
    <w:tmpl w:val="FFFFFFFF"/>
    <w:name w:val="List12536285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9" w15:restartNumberingAfterBreak="0">
    <w:nsid w:val="4ABB2B10"/>
    <w:multiLevelType w:val="multilevel"/>
    <w:tmpl w:val="FFFFFFFF"/>
    <w:name w:val="List125378024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0" w15:restartNumberingAfterBreak="0">
    <w:nsid w:val="4ABB35DB"/>
    <w:multiLevelType w:val="multilevel"/>
    <w:tmpl w:val="FFFFFFFF"/>
    <w:name w:val="List125378300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1" w15:restartNumberingAfterBreak="0">
    <w:nsid w:val="4ABB35E2"/>
    <w:multiLevelType w:val="multilevel"/>
    <w:tmpl w:val="FFFFFFFF"/>
    <w:name w:val="List12537830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2" w15:restartNumberingAfterBreak="0">
    <w:nsid w:val="4ABB3B19"/>
    <w:multiLevelType w:val="multilevel"/>
    <w:tmpl w:val="FFFFFFFF"/>
    <w:name w:val="List125378434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3" w15:restartNumberingAfterBreak="0">
    <w:nsid w:val="4ABB3B1D"/>
    <w:multiLevelType w:val="multilevel"/>
    <w:tmpl w:val="FFFFFFFF"/>
    <w:name w:val="List125378434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4" w15:restartNumberingAfterBreak="0">
    <w:nsid w:val="4ABB3C39"/>
    <w:multiLevelType w:val="multilevel"/>
    <w:tmpl w:val="FFFFFFFF"/>
    <w:name w:val="List125378463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5" w15:restartNumberingAfterBreak="0">
    <w:nsid w:val="4ABB3C3E"/>
    <w:multiLevelType w:val="multilevel"/>
    <w:tmpl w:val="FFFFFFFF"/>
    <w:name w:val="List125378463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6" w15:restartNumberingAfterBreak="0">
    <w:nsid w:val="4ABB4FB2"/>
    <w:multiLevelType w:val="multilevel"/>
    <w:tmpl w:val="FFFFFFFF"/>
    <w:name w:val="List125378961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7" w15:restartNumberingAfterBreak="0">
    <w:nsid w:val="4ABB5021"/>
    <w:multiLevelType w:val="multilevel"/>
    <w:tmpl w:val="FFFFFFFF"/>
    <w:name w:val="List12537897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8" w15:restartNumberingAfterBreak="0">
    <w:nsid w:val="4ABB9C0A"/>
    <w:multiLevelType w:val="multilevel"/>
    <w:tmpl w:val="FFFFFFFF"/>
    <w:name w:val="List125380916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9" w15:restartNumberingAfterBreak="0">
    <w:nsid w:val="4ABB9C56"/>
    <w:multiLevelType w:val="multilevel"/>
    <w:tmpl w:val="FFFFFFFF"/>
    <w:name w:val="List125380923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0" w15:restartNumberingAfterBreak="0">
    <w:nsid w:val="4ABB9DE1"/>
    <w:multiLevelType w:val="multilevel"/>
    <w:tmpl w:val="FFFFFFFF"/>
    <w:name w:val="List125380963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1" w15:restartNumberingAfterBreak="0">
    <w:nsid w:val="4ABBA186"/>
    <w:multiLevelType w:val="multilevel"/>
    <w:tmpl w:val="FFFFFFFF"/>
    <w:name w:val="List125381056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2" w15:restartNumberingAfterBreak="0">
    <w:nsid w:val="4ABBA18D"/>
    <w:multiLevelType w:val="multilevel"/>
    <w:tmpl w:val="FFFFFFFF"/>
    <w:name w:val="List12538105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3" w15:restartNumberingAfterBreak="0">
    <w:nsid w:val="4ABBA190"/>
    <w:multiLevelType w:val="multilevel"/>
    <w:tmpl w:val="FFFFFFFF"/>
    <w:name w:val="List125381057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4" w15:restartNumberingAfterBreak="0">
    <w:nsid w:val="4ABC6B19"/>
    <w:multiLevelType w:val="multilevel"/>
    <w:tmpl w:val="FFFFFFFF"/>
    <w:name w:val="List125386216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5" w15:restartNumberingAfterBreak="0">
    <w:nsid w:val="4ABC6B1C"/>
    <w:multiLevelType w:val="multilevel"/>
    <w:tmpl w:val="FFFFFFFF"/>
    <w:name w:val="List12538621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6" w15:restartNumberingAfterBreak="0">
    <w:nsid w:val="4ABC78F2"/>
    <w:multiLevelType w:val="multilevel"/>
    <w:tmpl w:val="FFFFFFFF"/>
    <w:name w:val="List12538657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7" w15:restartNumberingAfterBreak="0">
    <w:nsid w:val="4ABCC0E2"/>
    <w:multiLevelType w:val="multilevel"/>
    <w:tmpl w:val="FFFFFFFF"/>
    <w:name w:val="List125388413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8" w15:restartNumberingAfterBreak="0">
    <w:nsid w:val="4AD434F5"/>
    <w:multiLevelType w:val="multilevel"/>
    <w:tmpl w:val="FFFFFFFF"/>
    <w:name w:val="List12554211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9" w15:restartNumberingAfterBreak="0">
    <w:nsid w:val="4AD43903"/>
    <w:multiLevelType w:val="multilevel"/>
    <w:tmpl w:val="FFFFFFFF"/>
    <w:name w:val="List12554222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0" w15:restartNumberingAfterBreak="0">
    <w:nsid w:val="4B596438"/>
    <w:multiLevelType w:val="multilevel"/>
    <w:tmpl w:val="FFFFFFFF"/>
    <w:name w:val="List12641495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1" w15:restartNumberingAfterBreak="0">
    <w:nsid w:val="4BA38E04"/>
    <w:multiLevelType w:val="multilevel"/>
    <w:tmpl w:val="FFFFFFFF"/>
    <w:name w:val="List12690099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2" w15:restartNumberingAfterBreak="0">
    <w:nsid w:val="4BAC8789"/>
    <w:multiLevelType w:val="multilevel"/>
    <w:tmpl w:val="FFFFFFFF"/>
    <w:name w:val="List12695980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3" w15:restartNumberingAfterBreak="0">
    <w:nsid w:val="4BAC8808"/>
    <w:multiLevelType w:val="multilevel"/>
    <w:tmpl w:val="FFFFFFFF"/>
    <w:name w:val="List126959821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4" w15:restartNumberingAfterBreak="0">
    <w:nsid w:val="4BACC622"/>
    <w:multiLevelType w:val="multilevel"/>
    <w:tmpl w:val="FFFFFFFF"/>
    <w:name w:val="List12696141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5" w15:restartNumberingAfterBreak="0">
    <w:nsid w:val="4BACC629"/>
    <w:multiLevelType w:val="multilevel"/>
    <w:tmpl w:val="FFFFFFFF"/>
    <w:name w:val="List12696141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6" w15:restartNumberingAfterBreak="0">
    <w:nsid w:val="4BACC62B"/>
    <w:multiLevelType w:val="multilevel"/>
    <w:tmpl w:val="FFFFFFFF"/>
    <w:name w:val="List12696141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7" w15:restartNumberingAfterBreak="0">
    <w:nsid w:val="4BACDA35"/>
    <w:multiLevelType w:val="multilevel"/>
    <w:tmpl w:val="FFFFFFFF"/>
    <w:name w:val="List12696192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8" w15:restartNumberingAfterBreak="0">
    <w:nsid w:val="4BACDA38"/>
    <w:multiLevelType w:val="multilevel"/>
    <w:tmpl w:val="FFFFFFFF"/>
    <w:name w:val="List126961925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9" w15:restartNumberingAfterBreak="0">
    <w:nsid w:val="4BACDA3A"/>
    <w:multiLevelType w:val="multilevel"/>
    <w:tmpl w:val="FFFFFFFF"/>
    <w:name w:val="List12696192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0" w15:restartNumberingAfterBreak="0">
    <w:nsid w:val="4BB0C85E"/>
    <w:multiLevelType w:val="multilevel"/>
    <w:tmpl w:val="FFFFFFFF"/>
    <w:name w:val="List126987683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1" w15:restartNumberingAfterBreak="0">
    <w:nsid w:val="4BB0C860"/>
    <w:multiLevelType w:val="multilevel"/>
    <w:tmpl w:val="FFFFFFFF"/>
    <w:name w:val="List126987683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2" w15:restartNumberingAfterBreak="0">
    <w:nsid w:val="4BB0CC7B"/>
    <w:multiLevelType w:val="multilevel"/>
    <w:tmpl w:val="FFFFFFFF"/>
    <w:name w:val="List12698778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3" w15:restartNumberingAfterBreak="0">
    <w:nsid w:val="4C172EE9"/>
    <w:multiLevelType w:val="multilevel"/>
    <w:tmpl w:val="FFFFFFFF"/>
    <w:name w:val="List12765877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4" w15:restartNumberingAfterBreak="0">
    <w:nsid w:val="4CD98DF5"/>
    <w:multiLevelType w:val="multilevel"/>
    <w:tmpl w:val="FFFFFFFF"/>
    <w:name w:val="List128932606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5" w15:restartNumberingAfterBreak="0">
    <w:nsid w:val="4CE17344"/>
    <w:multiLevelType w:val="multilevel"/>
    <w:tmpl w:val="FFFFFFFF"/>
    <w:name w:val="List12898435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6" w15:restartNumberingAfterBreak="0">
    <w:nsid w:val="4CE1734A"/>
    <w:multiLevelType w:val="multilevel"/>
    <w:tmpl w:val="FFFFFFFF"/>
    <w:name w:val="List128984353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7" w15:restartNumberingAfterBreak="0">
    <w:nsid w:val="4CE1734C"/>
    <w:multiLevelType w:val="multilevel"/>
    <w:tmpl w:val="FFFFFFFF"/>
    <w:name w:val="List128984353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8" w15:restartNumberingAfterBreak="0">
    <w:nsid w:val="4CE1734E"/>
    <w:multiLevelType w:val="multilevel"/>
    <w:tmpl w:val="FFFFFFFF"/>
    <w:name w:val="List128984353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9" w15:restartNumberingAfterBreak="0">
    <w:nsid w:val="4CE17350"/>
    <w:multiLevelType w:val="multilevel"/>
    <w:tmpl w:val="FFFFFFFF"/>
    <w:name w:val="List128984353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0" w15:restartNumberingAfterBreak="0">
    <w:nsid w:val="4CE17351"/>
    <w:multiLevelType w:val="multilevel"/>
    <w:tmpl w:val="FFFFFFFF"/>
    <w:name w:val="List128984353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1" w15:restartNumberingAfterBreak="0">
    <w:nsid w:val="4CE17353"/>
    <w:multiLevelType w:val="multilevel"/>
    <w:tmpl w:val="FFFFFFFF"/>
    <w:name w:val="List12898435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2" w15:restartNumberingAfterBreak="0">
    <w:nsid w:val="4CE17354"/>
    <w:multiLevelType w:val="multilevel"/>
    <w:tmpl w:val="FFFFFFFF"/>
    <w:name w:val="List128984354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3" w15:restartNumberingAfterBreak="0">
    <w:nsid w:val="4EDE460E"/>
    <w:multiLevelType w:val="multilevel"/>
    <w:tmpl w:val="FFFFFFFF"/>
    <w:name w:val="List132318977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4" w15:restartNumberingAfterBreak="0">
    <w:nsid w:val="4EDE4611"/>
    <w:multiLevelType w:val="multilevel"/>
    <w:tmpl w:val="FFFFFFFF"/>
    <w:name w:val="List13231897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5" w15:restartNumberingAfterBreak="0">
    <w:nsid w:val="4EDE4628"/>
    <w:multiLevelType w:val="multilevel"/>
    <w:tmpl w:val="FFFFFFFF"/>
    <w:name w:val="List132318980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6" w15:restartNumberingAfterBreak="0">
    <w:nsid w:val="4F265581"/>
    <w:multiLevelType w:val="multilevel"/>
    <w:tmpl w:val="FFFFFFFF"/>
    <w:name w:val="List13279123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7" w15:restartNumberingAfterBreak="0">
    <w:nsid w:val="4F3A9218"/>
    <w:multiLevelType w:val="multilevel"/>
    <w:tmpl w:val="FFFFFFFF"/>
    <w:name w:val="List132923855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8" w15:restartNumberingAfterBreak="0">
    <w:nsid w:val="4F58D201"/>
    <w:multiLevelType w:val="multilevel"/>
    <w:tmpl w:val="FFFFFFFF"/>
    <w:name w:val="List13312209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9" w15:restartNumberingAfterBreak="0">
    <w:nsid w:val="4F7D6D01"/>
    <w:multiLevelType w:val="multilevel"/>
    <w:tmpl w:val="FFFFFFFF"/>
    <w:name w:val="List133361996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0" w15:restartNumberingAfterBreak="0">
    <w:nsid w:val="4F7D6D02"/>
    <w:multiLevelType w:val="multilevel"/>
    <w:tmpl w:val="FFFFFFFF"/>
    <w:name w:val="List133361997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1" w15:restartNumberingAfterBreak="0">
    <w:nsid w:val="4F7D6D59"/>
    <w:multiLevelType w:val="multilevel"/>
    <w:tmpl w:val="FFFFFFFF"/>
    <w:name w:val="List133362005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2" w15:restartNumberingAfterBreak="0">
    <w:nsid w:val="4F7EFCC2"/>
    <w:multiLevelType w:val="multilevel"/>
    <w:tmpl w:val="FFFFFFFF"/>
    <w:name w:val="List13337223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3" w15:restartNumberingAfterBreak="0">
    <w:nsid w:val="4F7EFE63"/>
    <w:multiLevelType w:val="multilevel"/>
    <w:tmpl w:val="FFFFFFFF"/>
    <w:name w:val="List1333722723_1"/>
    <w:lvl w:ilvl="0">
      <w:start w:val="1"/>
      <w:numFmt w:val="decimal"/>
      <w:lvlText w:val="%1."/>
      <w:lvlJc w:val="left"/>
      <w:rPr>
        <w:rFonts w:ascii="Arial" w:hAnsi="Aria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4" w15:restartNumberingAfterBreak="0">
    <w:nsid w:val="4F7EFE6D"/>
    <w:multiLevelType w:val="multilevel"/>
    <w:tmpl w:val="FFFFFFFF"/>
    <w:name w:val="List133372273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5" w15:restartNumberingAfterBreak="0">
    <w:nsid w:val="4F87E93F"/>
    <w:multiLevelType w:val="multilevel"/>
    <w:tmpl w:val="FFFFFFFF"/>
    <w:name w:val="List133430713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6" w15:restartNumberingAfterBreak="0">
    <w:nsid w:val="50A50708"/>
    <w:multiLevelType w:val="multilevel"/>
    <w:tmpl w:val="FFFFFFFF"/>
    <w:name w:val="List135299252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7" w15:restartNumberingAfterBreak="0">
    <w:nsid w:val="50A5070A"/>
    <w:multiLevelType w:val="multilevel"/>
    <w:tmpl w:val="FFFFFFFF"/>
    <w:name w:val="List135299252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8" w15:restartNumberingAfterBreak="0">
    <w:nsid w:val="50A5070D"/>
    <w:multiLevelType w:val="multilevel"/>
    <w:tmpl w:val="FFFFFFFF"/>
    <w:name w:val="List13529925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9" w15:restartNumberingAfterBreak="0">
    <w:nsid w:val="50ACEE87"/>
    <w:multiLevelType w:val="multilevel"/>
    <w:tmpl w:val="FFFFFFFF"/>
    <w:name w:val="List135351053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0" w15:restartNumberingAfterBreak="0">
    <w:nsid w:val="50ACEE8F"/>
    <w:multiLevelType w:val="multilevel"/>
    <w:tmpl w:val="FFFFFFFF"/>
    <w:name w:val="List135351054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1" w15:restartNumberingAfterBreak="0">
    <w:nsid w:val="50ACEF6D"/>
    <w:multiLevelType w:val="multilevel"/>
    <w:tmpl w:val="FFFFFFFF"/>
    <w:name w:val="List13535107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2" w15:restartNumberingAfterBreak="0">
    <w:nsid w:val="50ACEF89"/>
    <w:multiLevelType w:val="multilevel"/>
    <w:tmpl w:val="FFFFFFFF"/>
    <w:name w:val="List13535107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3" w15:restartNumberingAfterBreak="0">
    <w:nsid w:val="50ACEF8E"/>
    <w:multiLevelType w:val="multilevel"/>
    <w:tmpl w:val="FFFFFFFF"/>
    <w:name w:val="List13535107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4" w15:restartNumberingAfterBreak="0">
    <w:nsid w:val="50ACEF92"/>
    <w:multiLevelType w:val="multilevel"/>
    <w:tmpl w:val="FFFFFFFF"/>
    <w:name w:val="List135351080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5" w15:restartNumberingAfterBreak="0">
    <w:nsid w:val="50ACEF94"/>
    <w:multiLevelType w:val="multilevel"/>
    <w:tmpl w:val="FFFFFFFF"/>
    <w:name w:val="List135351080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6" w15:restartNumberingAfterBreak="0">
    <w:nsid w:val="50ACEF9A"/>
    <w:multiLevelType w:val="multilevel"/>
    <w:tmpl w:val="FFFFFFFF"/>
    <w:name w:val="List13535108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7" w15:restartNumberingAfterBreak="0">
    <w:nsid w:val="50ACEF9D"/>
    <w:multiLevelType w:val="multilevel"/>
    <w:tmpl w:val="FFFFFFFF"/>
    <w:name w:val="List13535108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8" w15:restartNumberingAfterBreak="0">
    <w:nsid w:val="50ACEF9F"/>
    <w:multiLevelType w:val="multilevel"/>
    <w:tmpl w:val="FFFFFFFF"/>
    <w:name w:val="List135351081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9" w15:restartNumberingAfterBreak="0">
    <w:nsid w:val="50ACEFA1"/>
    <w:multiLevelType w:val="multilevel"/>
    <w:tmpl w:val="FFFFFFFF"/>
    <w:name w:val="List13535108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0" w15:restartNumberingAfterBreak="0">
    <w:nsid w:val="519CDE74"/>
    <w:multiLevelType w:val="multilevel"/>
    <w:tmpl w:val="FFFFFFFF"/>
    <w:name w:val="List13692350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1" w15:restartNumberingAfterBreak="0">
    <w:nsid w:val="519CE39F"/>
    <w:multiLevelType w:val="multilevel"/>
    <w:tmpl w:val="FFFFFFFF"/>
    <w:name w:val="List13692363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2" w15:restartNumberingAfterBreak="0">
    <w:nsid w:val="519CE40B"/>
    <w:multiLevelType w:val="multilevel"/>
    <w:tmpl w:val="FFFFFFFF"/>
    <w:name w:val="List136923649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3" w15:restartNumberingAfterBreak="0">
    <w:nsid w:val="519CE5DA"/>
    <w:multiLevelType w:val="multilevel"/>
    <w:tmpl w:val="FFFFFFFF"/>
    <w:name w:val="List13692369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4" w15:restartNumberingAfterBreak="0">
    <w:nsid w:val="519CE6AD"/>
    <w:multiLevelType w:val="multilevel"/>
    <w:tmpl w:val="FFFFFFFF"/>
    <w:name w:val="List13692371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5" w15:restartNumberingAfterBreak="0">
    <w:nsid w:val="519DD418"/>
    <w:multiLevelType w:val="multilevel"/>
    <w:tmpl w:val="FFFFFFFF"/>
    <w:name w:val="List136929794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6" w15:restartNumberingAfterBreak="0">
    <w:nsid w:val="519DD425"/>
    <w:multiLevelType w:val="multilevel"/>
    <w:tmpl w:val="FFFFFFFF"/>
    <w:name w:val="List136929795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7" w15:restartNumberingAfterBreak="0">
    <w:nsid w:val="519DD43E"/>
    <w:multiLevelType w:val="multilevel"/>
    <w:tmpl w:val="FFFFFFFF"/>
    <w:name w:val="List13692979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8" w15:restartNumberingAfterBreak="0">
    <w:nsid w:val="519DD443"/>
    <w:multiLevelType w:val="multilevel"/>
    <w:tmpl w:val="FFFFFFFF"/>
    <w:name w:val="List13692979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9" w15:restartNumberingAfterBreak="0">
    <w:nsid w:val="519DD44E"/>
    <w:multiLevelType w:val="multilevel"/>
    <w:tmpl w:val="FFFFFFFF"/>
    <w:name w:val="List13692979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0" w15:restartNumberingAfterBreak="0">
    <w:nsid w:val="519DD457"/>
    <w:multiLevelType w:val="multilevel"/>
    <w:tmpl w:val="FFFFFFFF"/>
    <w:name w:val="List13692980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1" w15:restartNumberingAfterBreak="0">
    <w:nsid w:val="519DD45B"/>
    <w:multiLevelType w:val="multilevel"/>
    <w:tmpl w:val="FFFFFFFF"/>
    <w:name w:val="List13692980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2" w15:restartNumberingAfterBreak="0">
    <w:nsid w:val="519DD460"/>
    <w:multiLevelType w:val="multilevel"/>
    <w:tmpl w:val="FFFFFFFF"/>
    <w:name w:val="List136929801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3" w15:restartNumberingAfterBreak="0">
    <w:nsid w:val="519DD507"/>
    <w:multiLevelType w:val="multilevel"/>
    <w:tmpl w:val="FFFFFFFF"/>
    <w:name w:val="List13692981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4" w15:restartNumberingAfterBreak="0">
    <w:nsid w:val="519F1BBD"/>
    <w:multiLevelType w:val="multilevel"/>
    <w:tmpl w:val="FFFFFFFF"/>
    <w:name w:val="List13693818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5" w15:restartNumberingAfterBreak="0">
    <w:nsid w:val="519F1BC2"/>
    <w:multiLevelType w:val="multilevel"/>
    <w:tmpl w:val="FFFFFFFF"/>
    <w:name w:val="List13693818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6" w15:restartNumberingAfterBreak="0">
    <w:nsid w:val="519F1BC6"/>
    <w:multiLevelType w:val="multilevel"/>
    <w:tmpl w:val="FFFFFFFF"/>
    <w:name w:val="List136938183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7" w15:restartNumberingAfterBreak="0">
    <w:nsid w:val="519F1BC9"/>
    <w:multiLevelType w:val="multilevel"/>
    <w:tmpl w:val="FFFFFFFF"/>
    <w:name w:val="List136938183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8" w15:restartNumberingAfterBreak="0">
    <w:nsid w:val="519F1CA7"/>
    <w:multiLevelType w:val="multilevel"/>
    <w:tmpl w:val="FFFFFFFF"/>
    <w:name w:val="List13693820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9" w15:restartNumberingAfterBreak="0">
    <w:nsid w:val="519F1CAA"/>
    <w:multiLevelType w:val="multilevel"/>
    <w:tmpl w:val="FFFFFFFF"/>
    <w:name w:val="List13693820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0" w15:restartNumberingAfterBreak="0">
    <w:nsid w:val="519F1CAD"/>
    <w:multiLevelType w:val="multilevel"/>
    <w:tmpl w:val="FFFFFFFF"/>
    <w:name w:val="List13693820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1" w15:restartNumberingAfterBreak="0">
    <w:nsid w:val="519F2B1B"/>
    <w:multiLevelType w:val="multilevel"/>
    <w:tmpl w:val="FFFFFFFF"/>
    <w:name w:val="List13693857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2" w15:restartNumberingAfterBreak="0">
    <w:nsid w:val="519F2B1E"/>
    <w:multiLevelType w:val="multilevel"/>
    <w:tmpl w:val="FFFFFFFF"/>
    <w:name w:val="List13693857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3" w15:restartNumberingAfterBreak="0">
    <w:nsid w:val="51BADB3B"/>
    <w:multiLevelType w:val="multilevel"/>
    <w:tmpl w:val="FFFFFFFF"/>
    <w:name w:val="List137120031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4" w15:restartNumberingAfterBreak="0">
    <w:nsid w:val="51BADB91"/>
    <w:multiLevelType w:val="multilevel"/>
    <w:tmpl w:val="FFFFFFFF"/>
    <w:name w:val="List137120040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5" w15:restartNumberingAfterBreak="0">
    <w:nsid w:val="51BADB9B"/>
    <w:multiLevelType w:val="multilevel"/>
    <w:tmpl w:val="FFFFFFFF"/>
    <w:name w:val="List13712004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6" w15:restartNumberingAfterBreak="0">
    <w:nsid w:val="51BADBB5"/>
    <w:multiLevelType w:val="multilevel"/>
    <w:tmpl w:val="FFFFFFFF"/>
    <w:name w:val="List137120043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7" w15:restartNumberingAfterBreak="0">
    <w:nsid w:val="51BADBBE"/>
    <w:multiLevelType w:val="multilevel"/>
    <w:tmpl w:val="FFFFFFFF"/>
    <w:name w:val="List137120044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8" w15:restartNumberingAfterBreak="0">
    <w:nsid w:val="51BADBC2"/>
    <w:multiLevelType w:val="multilevel"/>
    <w:tmpl w:val="FFFFFFFF"/>
    <w:name w:val="List137120045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9" w15:restartNumberingAfterBreak="0">
    <w:nsid w:val="51BADBC6"/>
    <w:multiLevelType w:val="multilevel"/>
    <w:tmpl w:val="FFFFFFFF"/>
    <w:name w:val="List13712004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0" w15:restartNumberingAfterBreak="0">
    <w:nsid w:val="51BADBCA"/>
    <w:multiLevelType w:val="multilevel"/>
    <w:tmpl w:val="FFFFFFFF"/>
    <w:name w:val="List13712004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1" w15:restartNumberingAfterBreak="0">
    <w:nsid w:val="51BF1DC2"/>
    <w:multiLevelType w:val="multilevel"/>
    <w:tmpl w:val="FFFFFFFF"/>
    <w:name w:val="List137147949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2" w15:restartNumberingAfterBreak="0">
    <w:nsid w:val="51BF1DC9"/>
    <w:multiLevelType w:val="multilevel"/>
    <w:tmpl w:val="FFFFFFFF"/>
    <w:name w:val="List137147949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3" w15:restartNumberingAfterBreak="0">
    <w:nsid w:val="51BF1DD0"/>
    <w:multiLevelType w:val="multilevel"/>
    <w:tmpl w:val="FFFFFFFF"/>
    <w:name w:val="List137147950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4" w15:restartNumberingAfterBreak="0">
    <w:nsid w:val="51BF1DDA"/>
    <w:multiLevelType w:val="multilevel"/>
    <w:tmpl w:val="FFFFFFFF"/>
    <w:name w:val="List13714795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5" w15:restartNumberingAfterBreak="0">
    <w:nsid w:val="51BF1DE0"/>
    <w:multiLevelType w:val="multilevel"/>
    <w:tmpl w:val="FFFFFFFF"/>
    <w:name w:val="List137147952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6" w15:restartNumberingAfterBreak="0">
    <w:nsid w:val="51BF1DE4"/>
    <w:multiLevelType w:val="multilevel"/>
    <w:tmpl w:val="FFFFFFFF"/>
    <w:name w:val="List13714795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7" w15:restartNumberingAfterBreak="0">
    <w:nsid w:val="51BF1DE8"/>
    <w:multiLevelType w:val="multilevel"/>
    <w:tmpl w:val="FFFFFFFF"/>
    <w:name w:val="List13714795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8" w15:restartNumberingAfterBreak="0">
    <w:nsid w:val="51BF1DED"/>
    <w:multiLevelType w:val="multilevel"/>
    <w:tmpl w:val="FFFFFFFF"/>
    <w:name w:val="List137147953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9" w15:restartNumberingAfterBreak="0">
    <w:nsid w:val="51BF1DF2"/>
    <w:multiLevelType w:val="multilevel"/>
    <w:tmpl w:val="FFFFFFFF"/>
    <w:name w:val="List137147953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0" w15:restartNumberingAfterBreak="0">
    <w:nsid w:val="51BF1DF6"/>
    <w:multiLevelType w:val="multilevel"/>
    <w:tmpl w:val="FFFFFFFF"/>
    <w:name w:val="List137147954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1" w15:restartNumberingAfterBreak="0">
    <w:nsid w:val="51D2B594"/>
    <w:multiLevelType w:val="multilevel"/>
    <w:tmpl w:val="FFFFFFFF"/>
    <w:name w:val="List137276354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2" w15:restartNumberingAfterBreak="0">
    <w:nsid w:val="51D2B598"/>
    <w:multiLevelType w:val="multilevel"/>
    <w:tmpl w:val="FFFFFFFF"/>
    <w:name w:val="List137276354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3" w15:restartNumberingAfterBreak="0">
    <w:nsid w:val="51D45228"/>
    <w:multiLevelType w:val="multilevel"/>
    <w:tmpl w:val="FFFFFFFF"/>
    <w:name w:val="List13728691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4" w15:restartNumberingAfterBreak="0">
    <w:nsid w:val="51D6CFDE"/>
    <w:multiLevelType w:val="multilevel"/>
    <w:tmpl w:val="FFFFFFFF"/>
    <w:name w:val="List13730324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5" w15:restartNumberingAfterBreak="0">
    <w:nsid w:val="51D6CFEA"/>
    <w:multiLevelType w:val="multilevel"/>
    <w:tmpl w:val="FFFFFFFF"/>
    <w:name w:val="List13730324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6" w15:restartNumberingAfterBreak="0">
    <w:nsid w:val="51D6CFF3"/>
    <w:multiLevelType w:val="multilevel"/>
    <w:tmpl w:val="FFFFFFFF"/>
    <w:name w:val="List137303243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7" w15:restartNumberingAfterBreak="0">
    <w:nsid w:val="51D6CFF5"/>
    <w:multiLevelType w:val="multilevel"/>
    <w:tmpl w:val="FFFFFFFF"/>
    <w:name w:val="List137303243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8" w15:restartNumberingAfterBreak="0">
    <w:nsid w:val="51D6CFF8"/>
    <w:multiLevelType w:val="multilevel"/>
    <w:tmpl w:val="FFFFFFFF"/>
    <w:name w:val="List137303244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9" w15:restartNumberingAfterBreak="0">
    <w:nsid w:val="51D6CFFA"/>
    <w:multiLevelType w:val="multilevel"/>
    <w:tmpl w:val="FFFFFFFF"/>
    <w:name w:val="List137303244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0" w15:restartNumberingAfterBreak="0">
    <w:nsid w:val="51D6CFFD"/>
    <w:multiLevelType w:val="multilevel"/>
    <w:tmpl w:val="FFFFFFFF"/>
    <w:name w:val="List137303244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1" w15:restartNumberingAfterBreak="0">
    <w:nsid w:val="51D6D000"/>
    <w:multiLevelType w:val="multilevel"/>
    <w:tmpl w:val="FFFFFFFF"/>
    <w:name w:val="List137303244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2" w15:restartNumberingAfterBreak="0">
    <w:nsid w:val="51D6D218"/>
    <w:multiLevelType w:val="multilevel"/>
    <w:tmpl w:val="FFFFFFFF"/>
    <w:name w:val="List13730329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3" w15:restartNumberingAfterBreak="0">
    <w:nsid w:val="51D6D280"/>
    <w:multiLevelType w:val="multilevel"/>
    <w:tmpl w:val="FFFFFFFF"/>
    <w:name w:val="List137303308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4" w15:restartNumberingAfterBreak="0">
    <w:nsid w:val="51D6D284"/>
    <w:multiLevelType w:val="multilevel"/>
    <w:tmpl w:val="FFFFFFFF"/>
    <w:name w:val="List13730330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5" w15:restartNumberingAfterBreak="0">
    <w:nsid w:val="51D6D28A"/>
    <w:multiLevelType w:val="multilevel"/>
    <w:tmpl w:val="FFFFFFFF"/>
    <w:name w:val="List13730330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6" w15:restartNumberingAfterBreak="0">
    <w:nsid w:val="51D6E0A0"/>
    <w:multiLevelType w:val="multilevel"/>
    <w:tmpl w:val="FFFFFFFF"/>
    <w:name w:val="List137303670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7" w15:restartNumberingAfterBreak="0">
    <w:nsid w:val="51D6E0A7"/>
    <w:multiLevelType w:val="multilevel"/>
    <w:tmpl w:val="FFFFFFFF"/>
    <w:name w:val="List13730367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8" w15:restartNumberingAfterBreak="0">
    <w:nsid w:val="51D6E908"/>
    <w:multiLevelType w:val="multilevel"/>
    <w:tmpl w:val="FFFFFFFF"/>
    <w:name w:val="List137303885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9" w15:restartNumberingAfterBreak="0">
    <w:nsid w:val="51DA7E93"/>
    <w:multiLevelType w:val="multilevel"/>
    <w:tmpl w:val="FFFFFFFF"/>
    <w:name w:val="List13732737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0" w15:restartNumberingAfterBreak="0">
    <w:nsid w:val="51DAEA69"/>
    <w:multiLevelType w:val="multilevel"/>
    <w:tmpl w:val="FFFFFFFF"/>
    <w:name w:val="List13733013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1" w15:restartNumberingAfterBreak="0">
    <w:nsid w:val="51DAEA6A"/>
    <w:multiLevelType w:val="multilevel"/>
    <w:tmpl w:val="FFFFFFFF"/>
    <w:name w:val="List13733013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2" w15:restartNumberingAfterBreak="0">
    <w:nsid w:val="51DAEA71"/>
    <w:multiLevelType w:val="multilevel"/>
    <w:tmpl w:val="FFFFFFFF"/>
    <w:name w:val="List13733013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3" w15:restartNumberingAfterBreak="0">
    <w:nsid w:val="51DAEA75"/>
    <w:multiLevelType w:val="multilevel"/>
    <w:tmpl w:val="FFFFFFFF"/>
    <w:name w:val="List13733013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4" w15:restartNumberingAfterBreak="0">
    <w:nsid w:val="51DD20D3"/>
    <w:multiLevelType w:val="multilevel"/>
    <w:tmpl w:val="FFFFFFFF"/>
    <w:name w:val="List13734463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5" w15:restartNumberingAfterBreak="0">
    <w:nsid w:val="51DD217C"/>
    <w:multiLevelType w:val="multilevel"/>
    <w:tmpl w:val="FFFFFFFF"/>
    <w:name w:val="List13734465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6" w15:restartNumberingAfterBreak="0">
    <w:nsid w:val="51DD2181"/>
    <w:multiLevelType w:val="multilevel"/>
    <w:tmpl w:val="FFFFFFFF"/>
    <w:name w:val="List13734465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7" w15:restartNumberingAfterBreak="0">
    <w:nsid w:val="52721D7A"/>
    <w:multiLevelType w:val="multilevel"/>
    <w:tmpl w:val="FFFFFFFF"/>
    <w:name w:val="List138321036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8" w15:restartNumberingAfterBreak="0">
    <w:nsid w:val="52721D7D"/>
    <w:multiLevelType w:val="multilevel"/>
    <w:tmpl w:val="FFFFFFFF"/>
    <w:name w:val="List13832103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9" w15:restartNumberingAfterBreak="0">
    <w:nsid w:val="529F67E0"/>
    <w:multiLevelType w:val="multilevel"/>
    <w:tmpl w:val="FFFFFFFF"/>
    <w:name w:val="List13861785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0" w15:restartNumberingAfterBreak="0">
    <w:nsid w:val="529F68D5"/>
    <w:multiLevelType w:val="multilevel"/>
    <w:tmpl w:val="FFFFFFFF"/>
    <w:name w:val="List13861787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1" w15:restartNumberingAfterBreak="0">
    <w:nsid w:val="52A094F6"/>
    <w:multiLevelType w:val="multilevel"/>
    <w:tmpl w:val="FFFFFFFF"/>
    <w:name w:val="List13862556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2" w15:restartNumberingAfterBreak="0">
    <w:nsid w:val="53C77FA8"/>
    <w:multiLevelType w:val="multilevel"/>
    <w:tmpl w:val="FFFFFFFF"/>
    <w:name w:val="List14055832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3" w15:restartNumberingAfterBreak="0">
    <w:nsid w:val="53C77FBA"/>
    <w:multiLevelType w:val="multilevel"/>
    <w:tmpl w:val="FFFFFFFF"/>
    <w:name w:val="List140558329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4" w15:restartNumberingAfterBreak="0">
    <w:nsid w:val="53C7835B"/>
    <w:multiLevelType w:val="multilevel"/>
    <w:tmpl w:val="FFFFFFFF"/>
    <w:name w:val="List140558421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5" w15:restartNumberingAfterBreak="0">
    <w:nsid w:val="53C78385"/>
    <w:multiLevelType w:val="multilevel"/>
    <w:tmpl w:val="FFFFFFFF"/>
    <w:name w:val="List14055842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6" w15:restartNumberingAfterBreak="0">
    <w:nsid w:val="53C783AF"/>
    <w:multiLevelType w:val="multilevel"/>
    <w:tmpl w:val="FFFFFFFF"/>
    <w:name w:val="List140558430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7" w15:restartNumberingAfterBreak="0">
    <w:nsid w:val="53C783C4"/>
    <w:multiLevelType w:val="multilevel"/>
    <w:tmpl w:val="FFFFFFFF"/>
    <w:name w:val="List14055843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8" w15:restartNumberingAfterBreak="0">
    <w:nsid w:val="53C783CC"/>
    <w:multiLevelType w:val="multilevel"/>
    <w:tmpl w:val="FFFFFFFF"/>
    <w:name w:val="List140558433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9" w15:restartNumberingAfterBreak="0">
    <w:nsid w:val="53C783D5"/>
    <w:multiLevelType w:val="multilevel"/>
    <w:tmpl w:val="FFFFFFFF"/>
    <w:name w:val="List140558434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0" w15:restartNumberingAfterBreak="0">
    <w:nsid w:val="53C783DA"/>
    <w:multiLevelType w:val="multilevel"/>
    <w:tmpl w:val="FFFFFFFF"/>
    <w:name w:val="List140558434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1" w15:restartNumberingAfterBreak="0">
    <w:nsid w:val="53C7A7B1"/>
    <w:multiLevelType w:val="multilevel"/>
    <w:tmpl w:val="FFFFFFFF"/>
    <w:name w:val="List14055935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2" w15:restartNumberingAfterBreak="0">
    <w:nsid w:val="53C7A7B3"/>
    <w:multiLevelType w:val="multilevel"/>
    <w:tmpl w:val="FFFFFFFF"/>
    <w:name w:val="List14055935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3" w15:restartNumberingAfterBreak="0">
    <w:nsid w:val="53DC6FD3"/>
    <w:multiLevelType w:val="hybridMultilevel"/>
    <w:tmpl w:val="FF9EF760"/>
    <w:lvl w:ilvl="0" w:tplc="F7CAA44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4" w15:restartNumberingAfterBreak="0">
    <w:nsid w:val="541AB389"/>
    <w:multiLevelType w:val="multilevel"/>
    <w:tmpl w:val="FFFFFFFF"/>
    <w:name w:val="List141103604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5" w15:restartNumberingAfterBreak="0">
    <w:nsid w:val="541BFF31"/>
    <w:multiLevelType w:val="multilevel"/>
    <w:tmpl w:val="FFFFFFFF"/>
    <w:name w:val="List141112094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6" w15:restartNumberingAfterBreak="0">
    <w:nsid w:val="541BFF3E"/>
    <w:multiLevelType w:val="multilevel"/>
    <w:tmpl w:val="FFFFFFFF"/>
    <w:name w:val="List14111209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7" w15:restartNumberingAfterBreak="0">
    <w:nsid w:val="545A364C"/>
    <w:multiLevelType w:val="multilevel"/>
    <w:tmpl w:val="FFFFFFFF"/>
    <w:name w:val="List12208582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8" w15:restartNumberingAfterBreak="0">
    <w:nsid w:val="545A364D"/>
    <w:multiLevelType w:val="multilevel"/>
    <w:tmpl w:val="FFFFFFFF"/>
    <w:name w:val="List122085834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9" w15:restartNumberingAfterBreak="0">
    <w:nsid w:val="54D8CE76"/>
    <w:multiLevelType w:val="multilevel"/>
    <w:tmpl w:val="FFFFFFFF"/>
    <w:name w:val="List142349477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0" w15:restartNumberingAfterBreak="0">
    <w:nsid w:val="54D8D0BB"/>
    <w:multiLevelType w:val="multilevel"/>
    <w:tmpl w:val="FFFFFFFF"/>
    <w:name w:val="List14234953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1" w15:restartNumberingAfterBreak="0">
    <w:nsid w:val="54D8D2E9"/>
    <w:multiLevelType w:val="multilevel"/>
    <w:tmpl w:val="FFFFFFFF"/>
    <w:name w:val="List14234959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2" w15:restartNumberingAfterBreak="0">
    <w:nsid w:val="54D8D38D"/>
    <w:multiLevelType w:val="multilevel"/>
    <w:tmpl w:val="FFFFFFFF"/>
    <w:name w:val="List14234960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3" w15:restartNumberingAfterBreak="0">
    <w:nsid w:val="54D8D39B"/>
    <w:multiLevelType w:val="multilevel"/>
    <w:tmpl w:val="FFFFFFFF"/>
    <w:name w:val="List142349609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4" w15:restartNumberingAfterBreak="0">
    <w:nsid w:val="54D8D652"/>
    <w:multiLevelType w:val="multilevel"/>
    <w:tmpl w:val="FFFFFFFF"/>
    <w:name w:val="List14234967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5" w15:restartNumberingAfterBreak="0">
    <w:nsid w:val="54D8DBDA"/>
    <w:multiLevelType w:val="multilevel"/>
    <w:tmpl w:val="FFFFFFFF"/>
    <w:name w:val="List142349820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6" w15:restartNumberingAfterBreak="0">
    <w:nsid w:val="54D8DC2A"/>
    <w:multiLevelType w:val="multilevel"/>
    <w:tmpl w:val="FFFFFFFF"/>
    <w:name w:val="List14234982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7" w15:restartNumberingAfterBreak="0">
    <w:nsid w:val="54D8DC71"/>
    <w:multiLevelType w:val="multilevel"/>
    <w:tmpl w:val="FFFFFFFF"/>
    <w:name w:val="List14234983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8" w15:restartNumberingAfterBreak="0">
    <w:nsid w:val="54D8DCE8"/>
    <w:multiLevelType w:val="multilevel"/>
    <w:tmpl w:val="FFFFFFFF"/>
    <w:name w:val="List14234984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9" w15:restartNumberingAfterBreak="0">
    <w:nsid w:val="54D8DD3A"/>
    <w:multiLevelType w:val="multilevel"/>
    <w:tmpl w:val="FFFFFFFF"/>
    <w:name w:val="List14234985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0" w15:restartNumberingAfterBreak="0">
    <w:nsid w:val="54D8DD9A"/>
    <w:multiLevelType w:val="multilevel"/>
    <w:tmpl w:val="FFFFFFFF"/>
    <w:name w:val="List142349865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1" w15:restartNumberingAfterBreak="0">
    <w:nsid w:val="54D8DDE5"/>
    <w:multiLevelType w:val="multilevel"/>
    <w:tmpl w:val="FFFFFFFF"/>
    <w:name w:val="List14234987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2" w15:restartNumberingAfterBreak="0">
    <w:nsid w:val="54D8DFB9"/>
    <w:multiLevelType w:val="multilevel"/>
    <w:tmpl w:val="FFFFFFFF"/>
    <w:name w:val="List14234991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3" w15:restartNumberingAfterBreak="0">
    <w:nsid w:val="554B3465"/>
    <w:multiLevelType w:val="multilevel"/>
    <w:tmpl w:val="FFFFFFFF"/>
    <w:name w:val="List14309919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4" w15:restartNumberingAfterBreak="0">
    <w:nsid w:val="554B346F"/>
    <w:multiLevelType w:val="multilevel"/>
    <w:tmpl w:val="FFFFFFFF"/>
    <w:name w:val="List14309919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5" w15:restartNumberingAfterBreak="0">
    <w:nsid w:val="554B3474"/>
    <w:multiLevelType w:val="multilevel"/>
    <w:tmpl w:val="FFFFFFFF"/>
    <w:name w:val="List143099198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6" w15:restartNumberingAfterBreak="0">
    <w:nsid w:val="554B347D"/>
    <w:multiLevelType w:val="multilevel"/>
    <w:tmpl w:val="FFFFFFFF"/>
    <w:name w:val="List143099199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7" w15:restartNumberingAfterBreak="0">
    <w:nsid w:val="554B348A"/>
    <w:multiLevelType w:val="multilevel"/>
    <w:tmpl w:val="FFFFFFFF"/>
    <w:name w:val="List14309920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8" w15:restartNumberingAfterBreak="0">
    <w:nsid w:val="554B348E"/>
    <w:multiLevelType w:val="multilevel"/>
    <w:tmpl w:val="FFFFFFFF"/>
    <w:name w:val="List14309920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39" w15:restartNumberingAfterBreak="0">
    <w:nsid w:val="554B426D"/>
    <w:multiLevelType w:val="multilevel"/>
    <w:tmpl w:val="FFFFFFFF"/>
    <w:name w:val="List14309955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0" w15:restartNumberingAfterBreak="0">
    <w:nsid w:val="554B4289"/>
    <w:multiLevelType w:val="multilevel"/>
    <w:tmpl w:val="FFFFFFFF"/>
    <w:name w:val="List14309955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1" w15:restartNumberingAfterBreak="0">
    <w:nsid w:val="554B4372"/>
    <w:multiLevelType w:val="multilevel"/>
    <w:tmpl w:val="FFFFFFFF"/>
    <w:name w:val="List14309958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2" w15:restartNumberingAfterBreak="0">
    <w:nsid w:val="554B43A8"/>
    <w:multiLevelType w:val="multilevel"/>
    <w:tmpl w:val="FFFFFFFF"/>
    <w:name w:val="List14309958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3" w15:restartNumberingAfterBreak="0">
    <w:nsid w:val="554B43D8"/>
    <w:multiLevelType w:val="multilevel"/>
    <w:tmpl w:val="FFFFFFFF"/>
    <w:name w:val="List14309959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4" w15:restartNumberingAfterBreak="0">
    <w:nsid w:val="554B443E"/>
    <w:multiLevelType w:val="multilevel"/>
    <w:tmpl w:val="FFFFFFFF"/>
    <w:name w:val="List143099603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5" w15:restartNumberingAfterBreak="0">
    <w:nsid w:val="554B63CB"/>
    <w:multiLevelType w:val="multilevel"/>
    <w:tmpl w:val="FFFFFFFF"/>
    <w:name w:val="List14310041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6" w15:restartNumberingAfterBreak="0">
    <w:nsid w:val="554B7B11"/>
    <w:multiLevelType w:val="multilevel"/>
    <w:tmpl w:val="FFFFFFFF"/>
    <w:name w:val="List14310100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7" w15:restartNumberingAfterBreak="0">
    <w:nsid w:val="554B7B13"/>
    <w:multiLevelType w:val="multilevel"/>
    <w:tmpl w:val="FFFFFFFF"/>
    <w:name w:val="List143101006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8" w15:restartNumberingAfterBreak="0">
    <w:nsid w:val="554B7B16"/>
    <w:multiLevelType w:val="multilevel"/>
    <w:tmpl w:val="FFFFFFFF"/>
    <w:name w:val="List143101007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9" w15:restartNumberingAfterBreak="0">
    <w:nsid w:val="554B7B18"/>
    <w:multiLevelType w:val="multilevel"/>
    <w:tmpl w:val="FFFFFFFF"/>
    <w:name w:val="List14310100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0" w15:restartNumberingAfterBreak="0">
    <w:nsid w:val="554B7B1A"/>
    <w:multiLevelType w:val="multilevel"/>
    <w:tmpl w:val="FFFFFFFF"/>
    <w:name w:val="List143101007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1" w15:restartNumberingAfterBreak="0">
    <w:nsid w:val="554B7B1C"/>
    <w:multiLevelType w:val="multilevel"/>
    <w:tmpl w:val="FFFFFFFF"/>
    <w:name w:val="List143101007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2" w15:restartNumberingAfterBreak="0">
    <w:nsid w:val="554B7B1F"/>
    <w:multiLevelType w:val="multilevel"/>
    <w:tmpl w:val="FFFFFFFF"/>
    <w:name w:val="List143101007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3" w15:restartNumberingAfterBreak="0">
    <w:nsid w:val="554B7B21"/>
    <w:multiLevelType w:val="multilevel"/>
    <w:tmpl w:val="FFFFFFFF"/>
    <w:name w:val="List143101008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4" w15:restartNumberingAfterBreak="0">
    <w:nsid w:val="554B7B24"/>
    <w:multiLevelType w:val="multilevel"/>
    <w:tmpl w:val="FFFFFFFF"/>
    <w:name w:val="List14310100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5" w15:restartNumberingAfterBreak="0">
    <w:nsid w:val="554B7B25"/>
    <w:multiLevelType w:val="multilevel"/>
    <w:tmpl w:val="FFFFFFFF"/>
    <w:name w:val="List143101008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6" w15:restartNumberingAfterBreak="0">
    <w:nsid w:val="554B7B28"/>
    <w:multiLevelType w:val="multilevel"/>
    <w:tmpl w:val="FFFFFFFF"/>
    <w:name w:val="List143101008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7" w15:restartNumberingAfterBreak="0">
    <w:nsid w:val="554B7B2A"/>
    <w:multiLevelType w:val="multilevel"/>
    <w:tmpl w:val="FFFFFFFF"/>
    <w:name w:val="List143101009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8" w15:restartNumberingAfterBreak="0">
    <w:nsid w:val="554B7B2E"/>
    <w:multiLevelType w:val="multilevel"/>
    <w:tmpl w:val="FFFFFFFF"/>
    <w:name w:val="List143101009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9" w15:restartNumberingAfterBreak="0">
    <w:nsid w:val="554B7B30"/>
    <w:multiLevelType w:val="multilevel"/>
    <w:tmpl w:val="FFFFFFFF"/>
    <w:name w:val="List143101009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0" w15:restartNumberingAfterBreak="0">
    <w:nsid w:val="554B7B32"/>
    <w:multiLevelType w:val="multilevel"/>
    <w:tmpl w:val="FFFFFFFF"/>
    <w:name w:val="List14310100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1" w15:restartNumberingAfterBreak="0">
    <w:nsid w:val="55F2E933"/>
    <w:multiLevelType w:val="multilevel"/>
    <w:tmpl w:val="FFFFFFFF"/>
    <w:name w:val="List14419827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2" w15:restartNumberingAfterBreak="0">
    <w:nsid w:val="566EEFC9"/>
    <w:multiLevelType w:val="multilevel"/>
    <w:tmpl w:val="FFFFFFFF"/>
    <w:name w:val="List14501109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3" w15:restartNumberingAfterBreak="0">
    <w:nsid w:val="566EEFCB"/>
    <w:multiLevelType w:val="multilevel"/>
    <w:tmpl w:val="FFFFFFFF"/>
    <w:name w:val="List14501109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4" w15:restartNumberingAfterBreak="0">
    <w:nsid w:val="566EEFCE"/>
    <w:multiLevelType w:val="multilevel"/>
    <w:tmpl w:val="FFFFFFFF"/>
    <w:name w:val="List14501109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5" w15:restartNumberingAfterBreak="0">
    <w:nsid w:val="566EEFD2"/>
    <w:multiLevelType w:val="multilevel"/>
    <w:tmpl w:val="FFFFFFFF"/>
    <w:name w:val="List145011093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6" w15:restartNumberingAfterBreak="0">
    <w:nsid w:val="566EF015"/>
    <w:multiLevelType w:val="multilevel"/>
    <w:tmpl w:val="FFFFFFFF"/>
    <w:name w:val="List145011099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7" w15:restartNumberingAfterBreak="0">
    <w:nsid w:val="566EF025"/>
    <w:multiLevelType w:val="multilevel"/>
    <w:tmpl w:val="FFFFFFFF"/>
    <w:name w:val="List14501110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8" w15:restartNumberingAfterBreak="0">
    <w:nsid w:val="566EF037"/>
    <w:multiLevelType w:val="multilevel"/>
    <w:tmpl w:val="FFFFFFFF"/>
    <w:name w:val="List14501110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9" w15:restartNumberingAfterBreak="0">
    <w:nsid w:val="566EF039"/>
    <w:multiLevelType w:val="multilevel"/>
    <w:tmpl w:val="FFFFFFFF"/>
    <w:name w:val="List145011103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0" w15:restartNumberingAfterBreak="0">
    <w:nsid w:val="566EF095"/>
    <w:multiLevelType w:val="multilevel"/>
    <w:tmpl w:val="FFFFFFFF"/>
    <w:name w:val="List14501111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1" w15:restartNumberingAfterBreak="0">
    <w:nsid w:val="566EF0B8"/>
    <w:multiLevelType w:val="multilevel"/>
    <w:tmpl w:val="FFFFFFFF"/>
    <w:name w:val="List14501111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2" w15:restartNumberingAfterBreak="0">
    <w:nsid w:val="566EF0C3"/>
    <w:multiLevelType w:val="multilevel"/>
    <w:tmpl w:val="FFFFFFFF"/>
    <w:name w:val="List14501111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3" w15:restartNumberingAfterBreak="0">
    <w:nsid w:val="566EF0D5"/>
    <w:multiLevelType w:val="multilevel"/>
    <w:tmpl w:val="FFFFFFFF"/>
    <w:name w:val="List14501111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4" w15:restartNumberingAfterBreak="0">
    <w:nsid w:val="5677C1A1"/>
    <w:multiLevelType w:val="multilevel"/>
    <w:tmpl w:val="FFFFFFFF"/>
    <w:name w:val="List14506889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5" w15:restartNumberingAfterBreak="0">
    <w:nsid w:val="5677C1A3"/>
    <w:multiLevelType w:val="multilevel"/>
    <w:tmpl w:val="FFFFFFFF"/>
    <w:name w:val="List14506889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6" w15:restartNumberingAfterBreak="0">
    <w:nsid w:val="5714FE4D"/>
    <w:multiLevelType w:val="multilevel"/>
    <w:tmpl w:val="FFFFFFFF"/>
    <w:name w:val="List14609936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7" w15:restartNumberingAfterBreak="0">
    <w:nsid w:val="5715F294"/>
    <w:multiLevelType w:val="multilevel"/>
    <w:tmpl w:val="FFFFFFFF"/>
    <w:name w:val="List146105614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8" w15:restartNumberingAfterBreak="0">
    <w:nsid w:val="5715F296"/>
    <w:multiLevelType w:val="multilevel"/>
    <w:tmpl w:val="FFFFFFFF"/>
    <w:name w:val="List146105615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9" w15:restartNumberingAfterBreak="0">
    <w:nsid w:val="58160713"/>
    <w:multiLevelType w:val="multilevel"/>
    <w:tmpl w:val="FFFFFFFF"/>
    <w:name w:val="List284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0" w15:restartNumberingAfterBreak="0">
    <w:nsid w:val="58AF1878"/>
    <w:multiLevelType w:val="multilevel"/>
    <w:tmpl w:val="FFFFFFFF"/>
    <w:name w:val="List14878700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1" w15:restartNumberingAfterBreak="0">
    <w:nsid w:val="58AF1880"/>
    <w:multiLevelType w:val="multilevel"/>
    <w:tmpl w:val="FFFFFFFF"/>
    <w:name w:val="List14878700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2" w15:restartNumberingAfterBreak="0">
    <w:nsid w:val="5B8FE8C7"/>
    <w:multiLevelType w:val="multilevel"/>
    <w:tmpl w:val="FFFFFFFF"/>
    <w:name w:val="List15361578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3" w15:restartNumberingAfterBreak="0">
    <w:nsid w:val="5B8FE8CA"/>
    <w:multiLevelType w:val="multilevel"/>
    <w:tmpl w:val="FFFFFFFF"/>
    <w:name w:val="List15361578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4" w15:restartNumberingAfterBreak="0">
    <w:nsid w:val="5B8FE8CE"/>
    <w:multiLevelType w:val="multilevel"/>
    <w:tmpl w:val="FFFFFFFF"/>
    <w:name w:val="List153615790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5" w15:restartNumberingAfterBreak="0">
    <w:nsid w:val="5B8FE8D4"/>
    <w:multiLevelType w:val="multilevel"/>
    <w:tmpl w:val="FFFFFFFF"/>
    <w:name w:val="List153615790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6" w15:restartNumberingAfterBreak="0">
    <w:nsid w:val="5C66F007"/>
    <w:multiLevelType w:val="multilevel"/>
    <w:tmpl w:val="FFFFFFFF"/>
    <w:name w:val="List155024999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7" w15:restartNumberingAfterBreak="0">
    <w:nsid w:val="5C66F00B"/>
    <w:multiLevelType w:val="multilevel"/>
    <w:tmpl w:val="FFFFFFFF"/>
    <w:name w:val="List15502499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8" w15:restartNumberingAfterBreak="0">
    <w:nsid w:val="5C66F00E"/>
    <w:multiLevelType w:val="multilevel"/>
    <w:tmpl w:val="FFFFFFFF"/>
    <w:name w:val="List15502499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9" w15:restartNumberingAfterBreak="0">
    <w:nsid w:val="5DE86699"/>
    <w:multiLevelType w:val="multilevel"/>
    <w:tmpl w:val="FFFFFFFF"/>
    <w:name w:val="List118112384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0" w15:restartNumberingAfterBreak="0">
    <w:nsid w:val="5DE8669A"/>
    <w:multiLevelType w:val="multilevel"/>
    <w:tmpl w:val="FFFFFFFF"/>
    <w:name w:val="List118112384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1" w15:restartNumberingAfterBreak="0">
    <w:nsid w:val="5E6F7E38"/>
    <w:multiLevelType w:val="multilevel"/>
    <w:tmpl w:val="FFFFFFFF"/>
    <w:name w:val="List158436511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2" w15:restartNumberingAfterBreak="0">
    <w:nsid w:val="60421A31"/>
    <w:multiLevelType w:val="multilevel"/>
    <w:tmpl w:val="FFFFFFFF"/>
    <w:name w:val="List16149448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3" w15:restartNumberingAfterBreak="0">
    <w:nsid w:val="6042457A"/>
    <w:multiLevelType w:val="multilevel"/>
    <w:tmpl w:val="FFFFFFFF"/>
    <w:name w:val="List16149558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4" w15:restartNumberingAfterBreak="0">
    <w:nsid w:val="60424589"/>
    <w:multiLevelType w:val="multilevel"/>
    <w:tmpl w:val="FFFFFFFF"/>
    <w:name w:val="List16149559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5" w15:restartNumberingAfterBreak="0">
    <w:nsid w:val="6045E3FD"/>
    <w:multiLevelType w:val="multilevel"/>
    <w:tmpl w:val="FFFFFFFF"/>
    <w:name w:val="List161519308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6" w15:restartNumberingAfterBreak="0">
    <w:nsid w:val="6045F102"/>
    <w:multiLevelType w:val="multilevel"/>
    <w:tmpl w:val="FFFFFFFF"/>
    <w:name w:val="List161519641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7" w15:restartNumberingAfterBreak="0">
    <w:nsid w:val="6045F265"/>
    <w:multiLevelType w:val="multilevel"/>
    <w:tmpl w:val="FFFFFFFF"/>
    <w:name w:val="List16151967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8" w15:restartNumberingAfterBreak="0">
    <w:nsid w:val="6045F429"/>
    <w:multiLevelType w:val="multilevel"/>
    <w:tmpl w:val="FFFFFFFF"/>
    <w:name w:val="List16151972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9" w15:restartNumberingAfterBreak="0">
    <w:nsid w:val="6045F580"/>
    <w:multiLevelType w:val="multilevel"/>
    <w:tmpl w:val="FFFFFFFF"/>
    <w:name w:val="List161519756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0" w15:restartNumberingAfterBreak="0">
    <w:nsid w:val="6045F584"/>
    <w:multiLevelType w:val="multilevel"/>
    <w:tmpl w:val="FFFFFFFF"/>
    <w:name w:val="List16151975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1" w15:restartNumberingAfterBreak="0">
    <w:nsid w:val="6045F58F"/>
    <w:multiLevelType w:val="multilevel"/>
    <w:tmpl w:val="FFFFFFFF"/>
    <w:name w:val="List16151975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2" w15:restartNumberingAfterBreak="0">
    <w:nsid w:val="60460D0E"/>
    <w:multiLevelType w:val="multilevel"/>
    <w:tmpl w:val="FFFFFFFF"/>
    <w:name w:val="List1615203598_1"/>
    <w:lvl w:ilvl="0">
      <w:start w:val="1"/>
      <w:numFmt w:val="decimal"/>
      <w:lvlText w:val="%1."/>
      <w:lvlJc w:val="left"/>
      <w:rPr>
        <w:rFonts w:cs="Arial"/>
      </w:rPr>
    </w:lvl>
    <w:lvl w:ilvl="1">
      <w:start w:val="1"/>
      <w:numFmt w:val="decimal"/>
      <w:lvlText w:val="%2."/>
      <w:lvlJc w:val="left"/>
      <w:rPr>
        <w:rFonts w:cs="Arial"/>
      </w:rPr>
    </w:lvl>
    <w:lvl w:ilvl="2">
      <w:start w:val="1"/>
      <w:numFmt w:val="decimal"/>
      <w:lvlText w:val="%3."/>
      <w:lvlJc w:val="left"/>
      <w:rPr>
        <w:rFonts w:cs="Arial"/>
      </w:rPr>
    </w:lvl>
    <w:lvl w:ilvl="3">
      <w:start w:val="1"/>
      <w:numFmt w:val="decimal"/>
      <w:lvlText w:val="%4."/>
      <w:lvlJc w:val="left"/>
      <w:rPr>
        <w:rFonts w:cs="Arial"/>
      </w:rPr>
    </w:lvl>
    <w:lvl w:ilvl="4">
      <w:start w:val="1"/>
      <w:numFmt w:val="decimal"/>
      <w:lvlText w:val="%5."/>
      <w:lvlJc w:val="left"/>
      <w:rPr>
        <w:rFonts w:cs="Arial"/>
      </w:rPr>
    </w:lvl>
    <w:lvl w:ilvl="5">
      <w:start w:val="1"/>
      <w:numFmt w:val="decimal"/>
      <w:lvlText w:val="%6."/>
      <w:lvlJc w:val="left"/>
      <w:rPr>
        <w:rFonts w:cs="Arial"/>
      </w:rPr>
    </w:lvl>
    <w:lvl w:ilvl="6">
      <w:start w:val="1"/>
      <w:numFmt w:val="decimal"/>
      <w:lvlText w:val="%7."/>
      <w:lvlJc w:val="left"/>
      <w:rPr>
        <w:rFonts w:cs="Arial"/>
      </w:rPr>
    </w:lvl>
    <w:lvl w:ilvl="7">
      <w:start w:val="1"/>
      <w:numFmt w:val="decimal"/>
      <w:lvlText w:val="%8."/>
      <w:lvlJc w:val="left"/>
      <w:rPr>
        <w:rFonts w:cs="Arial"/>
      </w:rPr>
    </w:lvl>
    <w:lvl w:ilvl="8">
      <w:start w:val="1"/>
      <w:numFmt w:val="decimal"/>
      <w:lvlText w:val="%9."/>
      <w:lvlJc w:val="left"/>
      <w:rPr>
        <w:rFonts w:cs="Arial"/>
      </w:rPr>
    </w:lvl>
  </w:abstractNum>
  <w:abstractNum w:abstractNumId="503" w15:restartNumberingAfterBreak="0">
    <w:nsid w:val="60460DCA"/>
    <w:multiLevelType w:val="multilevel"/>
    <w:tmpl w:val="FFFFFFFF"/>
    <w:name w:val="List1615203786_1"/>
    <w:lvl w:ilvl="0">
      <w:start w:val="1"/>
      <w:numFmt w:val="decimal"/>
      <w:lvlText w:val="%1."/>
      <w:lvlJc w:val="left"/>
      <w:rPr>
        <w:rFonts w:cs="Arial"/>
      </w:rPr>
    </w:lvl>
    <w:lvl w:ilvl="1">
      <w:start w:val="1"/>
      <w:numFmt w:val="decimal"/>
      <w:lvlText w:val="%2."/>
      <w:lvlJc w:val="left"/>
      <w:rPr>
        <w:rFonts w:cs="Arial"/>
      </w:rPr>
    </w:lvl>
    <w:lvl w:ilvl="2">
      <w:start w:val="1"/>
      <w:numFmt w:val="decimal"/>
      <w:lvlText w:val="%3."/>
      <w:lvlJc w:val="left"/>
      <w:rPr>
        <w:rFonts w:cs="Arial"/>
      </w:rPr>
    </w:lvl>
    <w:lvl w:ilvl="3">
      <w:start w:val="1"/>
      <w:numFmt w:val="decimal"/>
      <w:lvlText w:val="%4."/>
      <w:lvlJc w:val="left"/>
      <w:rPr>
        <w:rFonts w:cs="Arial"/>
      </w:rPr>
    </w:lvl>
    <w:lvl w:ilvl="4">
      <w:start w:val="1"/>
      <w:numFmt w:val="decimal"/>
      <w:lvlText w:val="%5."/>
      <w:lvlJc w:val="left"/>
      <w:rPr>
        <w:rFonts w:cs="Arial"/>
      </w:rPr>
    </w:lvl>
    <w:lvl w:ilvl="5">
      <w:start w:val="1"/>
      <w:numFmt w:val="decimal"/>
      <w:lvlText w:val="%6."/>
      <w:lvlJc w:val="left"/>
      <w:rPr>
        <w:rFonts w:cs="Arial"/>
      </w:rPr>
    </w:lvl>
    <w:lvl w:ilvl="6">
      <w:start w:val="1"/>
      <w:numFmt w:val="decimal"/>
      <w:lvlText w:val="%7."/>
      <w:lvlJc w:val="left"/>
      <w:rPr>
        <w:rFonts w:cs="Arial"/>
      </w:rPr>
    </w:lvl>
    <w:lvl w:ilvl="7">
      <w:start w:val="1"/>
      <w:numFmt w:val="decimal"/>
      <w:lvlText w:val="%8."/>
      <w:lvlJc w:val="left"/>
      <w:rPr>
        <w:rFonts w:cs="Arial"/>
      </w:rPr>
    </w:lvl>
    <w:lvl w:ilvl="8">
      <w:start w:val="1"/>
      <w:numFmt w:val="decimal"/>
      <w:lvlText w:val="%9."/>
      <w:lvlJc w:val="left"/>
      <w:rPr>
        <w:rFonts w:cs="Arial"/>
      </w:rPr>
    </w:lvl>
  </w:abstractNum>
  <w:abstractNum w:abstractNumId="504" w15:restartNumberingAfterBreak="0">
    <w:nsid w:val="60461093"/>
    <w:multiLevelType w:val="multilevel"/>
    <w:tmpl w:val="FFFFFFFF"/>
    <w:name w:val="List161520449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5" w15:restartNumberingAfterBreak="0">
    <w:nsid w:val="6046239B"/>
    <w:multiLevelType w:val="multilevel"/>
    <w:tmpl w:val="FFFFFFFF"/>
    <w:name w:val="List16152093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6" w15:restartNumberingAfterBreak="0">
    <w:nsid w:val="604623A3"/>
    <w:multiLevelType w:val="multilevel"/>
    <w:tmpl w:val="FFFFFFFF"/>
    <w:name w:val="List161520937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7" w15:restartNumberingAfterBreak="0">
    <w:nsid w:val="604623A6"/>
    <w:multiLevelType w:val="multilevel"/>
    <w:tmpl w:val="FFFFFFFF"/>
    <w:name w:val="List16152093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8" w15:restartNumberingAfterBreak="0">
    <w:nsid w:val="6046261E"/>
    <w:multiLevelType w:val="multilevel"/>
    <w:tmpl w:val="FFFFFFFF"/>
    <w:name w:val="List16152100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9" w15:restartNumberingAfterBreak="0">
    <w:nsid w:val="604631FC"/>
    <w:multiLevelType w:val="multilevel"/>
    <w:tmpl w:val="FFFFFFFF"/>
    <w:name w:val="List161521305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0" w15:restartNumberingAfterBreak="0">
    <w:nsid w:val="6046324D"/>
    <w:multiLevelType w:val="multilevel"/>
    <w:tmpl w:val="FFFFFFFF"/>
    <w:name w:val="List161521313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1" w15:restartNumberingAfterBreak="0">
    <w:nsid w:val="60463255"/>
    <w:multiLevelType w:val="multilevel"/>
    <w:tmpl w:val="FFFFFFFF"/>
    <w:name w:val="List161521314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2" w15:restartNumberingAfterBreak="0">
    <w:nsid w:val="6046325F"/>
    <w:multiLevelType w:val="multilevel"/>
    <w:tmpl w:val="FFFFFFFF"/>
    <w:name w:val="List161521315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3" w15:restartNumberingAfterBreak="0">
    <w:nsid w:val="60463264"/>
    <w:multiLevelType w:val="multilevel"/>
    <w:tmpl w:val="FFFFFFFF"/>
    <w:name w:val="List161521315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4" w15:restartNumberingAfterBreak="0">
    <w:nsid w:val="60463271"/>
    <w:multiLevelType w:val="multilevel"/>
    <w:tmpl w:val="FFFFFFFF"/>
    <w:name w:val="List161521316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5" w15:restartNumberingAfterBreak="0">
    <w:nsid w:val="60463277"/>
    <w:multiLevelType w:val="multilevel"/>
    <w:tmpl w:val="FFFFFFFF"/>
    <w:name w:val="List161521317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6" w15:restartNumberingAfterBreak="0">
    <w:nsid w:val="60463280"/>
    <w:multiLevelType w:val="multilevel"/>
    <w:tmpl w:val="FFFFFFFF"/>
    <w:name w:val="List16152131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7" w15:restartNumberingAfterBreak="0">
    <w:nsid w:val="60463285"/>
    <w:multiLevelType w:val="multilevel"/>
    <w:tmpl w:val="FFFFFFFF"/>
    <w:name w:val="List16152131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8" w15:restartNumberingAfterBreak="0">
    <w:nsid w:val="6046328B"/>
    <w:multiLevelType w:val="multilevel"/>
    <w:tmpl w:val="FFFFFFFF"/>
    <w:name w:val="List16152131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19" w15:restartNumberingAfterBreak="0">
    <w:nsid w:val="60463290"/>
    <w:multiLevelType w:val="multilevel"/>
    <w:tmpl w:val="FFFFFFFF"/>
    <w:name w:val="List161521320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0" w15:restartNumberingAfterBreak="0">
    <w:nsid w:val="604632B8"/>
    <w:multiLevelType w:val="multilevel"/>
    <w:tmpl w:val="FFFFFFFF"/>
    <w:name w:val="List161521324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1" w15:restartNumberingAfterBreak="0">
    <w:nsid w:val="604632DE"/>
    <w:multiLevelType w:val="multilevel"/>
    <w:tmpl w:val="FFFFFFFF"/>
    <w:name w:val="List161521327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2" w15:restartNumberingAfterBreak="0">
    <w:nsid w:val="604632EF"/>
    <w:multiLevelType w:val="multilevel"/>
    <w:tmpl w:val="FFFFFFFF"/>
    <w:name w:val="List16152132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3" w15:restartNumberingAfterBreak="0">
    <w:nsid w:val="604632FB"/>
    <w:multiLevelType w:val="multilevel"/>
    <w:tmpl w:val="FFFFFFFF"/>
    <w:name w:val="List16152133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4" w15:restartNumberingAfterBreak="0">
    <w:nsid w:val="60463305"/>
    <w:multiLevelType w:val="multilevel"/>
    <w:tmpl w:val="FFFFFFFF"/>
    <w:name w:val="List16152133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5" w15:restartNumberingAfterBreak="0">
    <w:nsid w:val="6046330B"/>
    <w:multiLevelType w:val="multilevel"/>
    <w:tmpl w:val="FFFFFFFF"/>
    <w:name w:val="List16152133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6" w15:restartNumberingAfterBreak="0">
    <w:nsid w:val="60463311"/>
    <w:multiLevelType w:val="multilevel"/>
    <w:tmpl w:val="FFFFFFFF"/>
    <w:name w:val="List16152133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7" w15:restartNumberingAfterBreak="0">
    <w:nsid w:val="60463317"/>
    <w:multiLevelType w:val="multilevel"/>
    <w:tmpl w:val="FFFFFFFF"/>
    <w:name w:val="List161521333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8" w15:restartNumberingAfterBreak="0">
    <w:nsid w:val="6046331F"/>
    <w:multiLevelType w:val="multilevel"/>
    <w:tmpl w:val="FFFFFFFF"/>
    <w:name w:val="List161521334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9" w15:restartNumberingAfterBreak="0">
    <w:nsid w:val="6046332B"/>
    <w:multiLevelType w:val="multilevel"/>
    <w:tmpl w:val="FFFFFFFF"/>
    <w:name w:val="List16152133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0" w15:restartNumberingAfterBreak="0">
    <w:nsid w:val="60463331"/>
    <w:multiLevelType w:val="multilevel"/>
    <w:tmpl w:val="FFFFFFFF"/>
    <w:name w:val="List16152133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1" w15:restartNumberingAfterBreak="0">
    <w:nsid w:val="604643A9"/>
    <w:multiLevelType w:val="multilevel"/>
    <w:tmpl w:val="FFFFFFFF"/>
    <w:name w:val="List16152175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2" w15:restartNumberingAfterBreak="0">
    <w:nsid w:val="60464461"/>
    <w:multiLevelType w:val="multilevel"/>
    <w:tmpl w:val="FFFFFFFF"/>
    <w:name w:val="List16152177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3" w15:restartNumberingAfterBreak="0">
    <w:nsid w:val="60464C89"/>
    <w:multiLevelType w:val="multilevel"/>
    <w:tmpl w:val="FFFFFFFF"/>
    <w:name w:val="List161521984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4" w15:restartNumberingAfterBreak="0">
    <w:nsid w:val="60464D4F"/>
    <w:multiLevelType w:val="multilevel"/>
    <w:tmpl w:val="FFFFFFFF"/>
    <w:name w:val="List16152200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5" w15:restartNumberingAfterBreak="0">
    <w:nsid w:val="60464DC0"/>
    <w:multiLevelType w:val="multilevel"/>
    <w:tmpl w:val="FFFFFFFF"/>
    <w:name w:val="List16152201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6" w15:restartNumberingAfterBreak="0">
    <w:nsid w:val="60464F2A"/>
    <w:multiLevelType w:val="multilevel"/>
    <w:tmpl w:val="FFFFFFFF"/>
    <w:name w:val="List161522052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7" w15:restartNumberingAfterBreak="0">
    <w:nsid w:val="60464F3E"/>
    <w:multiLevelType w:val="multilevel"/>
    <w:tmpl w:val="FFFFFFFF"/>
    <w:name w:val="List161522054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8" w15:restartNumberingAfterBreak="0">
    <w:nsid w:val="60464F5F"/>
    <w:multiLevelType w:val="multilevel"/>
    <w:tmpl w:val="FFFFFFFF"/>
    <w:name w:val="List161522057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9" w15:restartNumberingAfterBreak="0">
    <w:nsid w:val="60464F80"/>
    <w:multiLevelType w:val="multilevel"/>
    <w:tmpl w:val="FFFFFFFF"/>
    <w:name w:val="List161522060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0" w15:restartNumberingAfterBreak="0">
    <w:nsid w:val="60464F9F"/>
    <w:multiLevelType w:val="multilevel"/>
    <w:tmpl w:val="FFFFFFFF"/>
    <w:name w:val="List16152206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1" w15:restartNumberingAfterBreak="0">
    <w:nsid w:val="60464FBF"/>
    <w:multiLevelType w:val="multilevel"/>
    <w:tmpl w:val="FFFFFFFF"/>
    <w:name w:val="List16152206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2" w15:restartNumberingAfterBreak="0">
    <w:nsid w:val="60473711"/>
    <w:multiLevelType w:val="multilevel"/>
    <w:tmpl w:val="FFFFFFFF"/>
    <w:name w:val="List16152798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3" w15:restartNumberingAfterBreak="0">
    <w:nsid w:val="60473714"/>
    <w:multiLevelType w:val="multilevel"/>
    <w:tmpl w:val="FFFFFFFF"/>
    <w:name w:val="List16152798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4" w15:restartNumberingAfterBreak="0">
    <w:nsid w:val="60473738"/>
    <w:multiLevelType w:val="multilevel"/>
    <w:tmpl w:val="FFFFFFFF"/>
    <w:name w:val="List16152799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5" w15:restartNumberingAfterBreak="0">
    <w:nsid w:val="60473760"/>
    <w:multiLevelType w:val="multilevel"/>
    <w:tmpl w:val="FFFFFFFF"/>
    <w:name w:val="List161527996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6" w15:restartNumberingAfterBreak="0">
    <w:nsid w:val="60473765"/>
    <w:multiLevelType w:val="multilevel"/>
    <w:tmpl w:val="FFFFFFFF"/>
    <w:name w:val="List16152799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7" w15:restartNumberingAfterBreak="0">
    <w:nsid w:val="60473AC7"/>
    <w:multiLevelType w:val="multilevel"/>
    <w:tmpl w:val="FFFFFFFF"/>
    <w:name w:val="List16152808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8" w15:restartNumberingAfterBreak="0">
    <w:nsid w:val="60473AF9"/>
    <w:multiLevelType w:val="multilevel"/>
    <w:tmpl w:val="FFFFFFFF"/>
    <w:name w:val="List16152808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9" w15:restartNumberingAfterBreak="0">
    <w:nsid w:val="60473B21"/>
    <w:multiLevelType w:val="multilevel"/>
    <w:tmpl w:val="FFFFFFFF"/>
    <w:name w:val="List16152809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0" w15:restartNumberingAfterBreak="0">
    <w:nsid w:val="60473B44"/>
    <w:multiLevelType w:val="multilevel"/>
    <w:tmpl w:val="FFFFFFFF"/>
    <w:name w:val="List161528096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1" w15:restartNumberingAfterBreak="0">
    <w:nsid w:val="60473F13"/>
    <w:multiLevelType w:val="multilevel"/>
    <w:tmpl w:val="FFFFFFFF"/>
    <w:name w:val="List16152819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2" w15:restartNumberingAfterBreak="0">
    <w:nsid w:val="60473F18"/>
    <w:multiLevelType w:val="multilevel"/>
    <w:tmpl w:val="FFFFFFFF"/>
    <w:name w:val="List161528194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3" w15:restartNumberingAfterBreak="0">
    <w:nsid w:val="60473F2F"/>
    <w:multiLevelType w:val="multilevel"/>
    <w:tmpl w:val="FFFFFFFF"/>
    <w:name w:val="List161528196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4" w15:restartNumberingAfterBreak="0">
    <w:nsid w:val="604740DC"/>
    <w:multiLevelType w:val="multilevel"/>
    <w:tmpl w:val="FFFFFFFF"/>
    <w:name w:val="List161528239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5" w15:restartNumberingAfterBreak="0">
    <w:nsid w:val="60474107"/>
    <w:multiLevelType w:val="multilevel"/>
    <w:tmpl w:val="FFFFFFFF"/>
    <w:name w:val="List16152824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6" w15:restartNumberingAfterBreak="0">
    <w:nsid w:val="60474187"/>
    <w:multiLevelType w:val="multilevel"/>
    <w:tmpl w:val="FFFFFFFF"/>
    <w:name w:val="List161528256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7" w15:restartNumberingAfterBreak="0">
    <w:nsid w:val="604741B1"/>
    <w:multiLevelType w:val="multilevel"/>
    <w:tmpl w:val="FFFFFFFF"/>
    <w:name w:val="List161528260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8" w15:restartNumberingAfterBreak="0">
    <w:nsid w:val="604741C3"/>
    <w:multiLevelType w:val="multilevel"/>
    <w:tmpl w:val="FFFFFFFF"/>
    <w:name w:val="List161528262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9" w15:restartNumberingAfterBreak="0">
    <w:nsid w:val="604749B7"/>
    <w:multiLevelType w:val="multilevel"/>
    <w:tmpl w:val="FFFFFFFF"/>
    <w:name w:val="List161528466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0" w15:restartNumberingAfterBreak="0">
    <w:nsid w:val="604749E7"/>
    <w:multiLevelType w:val="multilevel"/>
    <w:tmpl w:val="FFFFFFFF"/>
    <w:name w:val="List16152847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1" w15:restartNumberingAfterBreak="0">
    <w:nsid w:val="60474A42"/>
    <w:multiLevelType w:val="multilevel"/>
    <w:tmpl w:val="FFFFFFFF"/>
    <w:name w:val="List161528480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2" w15:restartNumberingAfterBreak="0">
    <w:nsid w:val="60477B8D"/>
    <w:multiLevelType w:val="multilevel"/>
    <w:tmpl w:val="FFFFFFFF"/>
    <w:name w:val="List16152974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3" w15:restartNumberingAfterBreak="0">
    <w:nsid w:val="60477F16"/>
    <w:multiLevelType w:val="multilevel"/>
    <w:tmpl w:val="FFFFFFFF"/>
    <w:name w:val="List16152983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4" w15:restartNumberingAfterBreak="0">
    <w:nsid w:val="6141CDFD"/>
    <w:multiLevelType w:val="multilevel"/>
    <w:tmpl w:val="FFFFFFFF"/>
    <w:name w:val="List16317025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5" w15:restartNumberingAfterBreak="0">
    <w:nsid w:val="6141F97C"/>
    <w:multiLevelType w:val="multilevel"/>
    <w:tmpl w:val="FFFFFFFF"/>
    <w:name w:val="List16317136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6" w15:restartNumberingAfterBreak="0">
    <w:nsid w:val="6141F990"/>
    <w:multiLevelType w:val="multilevel"/>
    <w:tmpl w:val="FFFFFFFF"/>
    <w:name w:val="List16317136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7" w15:restartNumberingAfterBreak="0">
    <w:nsid w:val="6141F9AB"/>
    <w:multiLevelType w:val="multilevel"/>
    <w:tmpl w:val="FFFFFFFF"/>
    <w:name w:val="List16317137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8" w15:restartNumberingAfterBreak="0">
    <w:nsid w:val="614205E0"/>
    <w:multiLevelType w:val="multilevel"/>
    <w:tmpl w:val="FFFFFFFF"/>
    <w:name w:val="List163171683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69" w15:restartNumberingAfterBreak="0">
    <w:nsid w:val="614205E9"/>
    <w:multiLevelType w:val="multilevel"/>
    <w:tmpl w:val="FFFFFFFF"/>
    <w:name w:val="List163171684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0" w15:restartNumberingAfterBreak="0">
    <w:nsid w:val="61420601"/>
    <w:multiLevelType w:val="multilevel"/>
    <w:tmpl w:val="FFFFFFFF"/>
    <w:name w:val="List16317168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1" w15:restartNumberingAfterBreak="0">
    <w:nsid w:val="6142063D"/>
    <w:multiLevelType w:val="multilevel"/>
    <w:tmpl w:val="FFFFFFFF"/>
    <w:name w:val="List16317169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2" w15:restartNumberingAfterBreak="0">
    <w:nsid w:val="6142067B"/>
    <w:multiLevelType w:val="multilevel"/>
    <w:tmpl w:val="FFFFFFFF"/>
    <w:name w:val="List16317169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3" w15:restartNumberingAfterBreak="0">
    <w:nsid w:val="6142068D"/>
    <w:multiLevelType w:val="multilevel"/>
    <w:tmpl w:val="FFFFFFFF"/>
    <w:name w:val="List163171700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4" w15:restartNumberingAfterBreak="0">
    <w:nsid w:val="6142069C"/>
    <w:multiLevelType w:val="multilevel"/>
    <w:tmpl w:val="FFFFFFFF"/>
    <w:name w:val="List163171702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5" w15:restartNumberingAfterBreak="0">
    <w:nsid w:val="614206A7"/>
    <w:multiLevelType w:val="multilevel"/>
    <w:tmpl w:val="FFFFFFFF"/>
    <w:name w:val="List16317170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6" w15:restartNumberingAfterBreak="0">
    <w:nsid w:val="614206C2"/>
    <w:multiLevelType w:val="multilevel"/>
    <w:tmpl w:val="FFFFFFFF"/>
    <w:name w:val="List16317170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7" w15:restartNumberingAfterBreak="0">
    <w:nsid w:val="614206E8"/>
    <w:multiLevelType w:val="multilevel"/>
    <w:tmpl w:val="FFFFFFFF"/>
    <w:name w:val="List163171709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8" w15:restartNumberingAfterBreak="0">
    <w:nsid w:val="614206F3"/>
    <w:multiLevelType w:val="multilevel"/>
    <w:tmpl w:val="FFFFFFFF"/>
    <w:name w:val="List16317171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9" w15:restartNumberingAfterBreak="0">
    <w:nsid w:val="61420733"/>
    <w:multiLevelType w:val="multilevel"/>
    <w:tmpl w:val="FFFFFFFF"/>
    <w:name w:val="List16317171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0" w15:restartNumberingAfterBreak="0">
    <w:nsid w:val="61420757"/>
    <w:multiLevelType w:val="multilevel"/>
    <w:tmpl w:val="FFFFFFFF"/>
    <w:name w:val="List16317172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1" w15:restartNumberingAfterBreak="0">
    <w:nsid w:val="61420788"/>
    <w:multiLevelType w:val="multilevel"/>
    <w:tmpl w:val="FFFFFFFF"/>
    <w:name w:val="List163171725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2" w15:restartNumberingAfterBreak="0">
    <w:nsid w:val="61420792"/>
    <w:multiLevelType w:val="multilevel"/>
    <w:tmpl w:val="FFFFFFFF"/>
    <w:name w:val="List163171726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3" w15:restartNumberingAfterBreak="0">
    <w:nsid w:val="614207AC"/>
    <w:multiLevelType w:val="multilevel"/>
    <w:tmpl w:val="FFFFFFFF"/>
    <w:name w:val="List16317172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4" w15:restartNumberingAfterBreak="0">
    <w:nsid w:val="614207EC"/>
    <w:multiLevelType w:val="multilevel"/>
    <w:tmpl w:val="FFFFFFFF"/>
    <w:name w:val="List163171735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5" w15:restartNumberingAfterBreak="0">
    <w:nsid w:val="61420822"/>
    <w:multiLevelType w:val="multilevel"/>
    <w:tmpl w:val="FFFFFFFF"/>
    <w:name w:val="List16317174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6" w15:restartNumberingAfterBreak="0">
    <w:nsid w:val="61420835"/>
    <w:multiLevelType w:val="multilevel"/>
    <w:tmpl w:val="FFFFFFFF"/>
    <w:name w:val="List1631717429_1"/>
    <w:lvl w:ilvl="0">
      <w:start w:val="1"/>
      <w:numFmt w:val="decimal"/>
      <w:pStyle w:val="Elencocontinu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7" w15:restartNumberingAfterBreak="0">
    <w:nsid w:val="61420BDC"/>
    <w:multiLevelType w:val="multilevel"/>
    <w:tmpl w:val="FFFFFFFF"/>
    <w:name w:val="List1631718364_1"/>
    <w:lvl w:ilvl="0">
      <w:start w:val="1"/>
      <w:numFmt w:val="decimal"/>
      <w:pStyle w:val="Titolo2"/>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8" w15:restartNumberingAfterBreak="0">
    <w:nsid w:val="61420C25"/>
    <w:multiLevelType w:val="multilevel"/>
    <w:tmpl w:val="FFFFFFFF"/>
    <w:name w:val="List1631718437_1"/>
    <w:lvl w:ilvl="0">
      <w:start w:val="1"/>
      <w:numFmt w:val="decimal"/>
      <w:pStyle w:val="Elencopuntato"/>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9" w15:restartNumberingAfterBreak="0">
    <w:nsid w:val="61420C37"/>
    <w:multiLevelType w:val="multilevel"/>
    <w:tmpl w:val="FFFFFFFF"/>
    <w:name w:val="List16317184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0" w15:restartNumberingAfterBreak="0">
    <w:nsid w:val="61420C38"/>
    <w:multiLevelType w:val="multilevel"/>
    <w:tmpl w:val="FFFFFFFF"/>
    <w:name w:val="List1631718455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1" w15:restartNumberingAfterBreak="0">
    <w:nsid w:val="61420C39"/>
    <w:multiLevelType w:val="multilevel"/>
    <w:tmpl w:val="FFFFFFFF"/>
    <w:name w:val="List163171845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2" w15:restartNumberingAfterBreak="0">
    <w:nsid w:val="61420C3A"/>
    <w:multiLevelType w:val="multilevel"/>
    <w:tmpl w:val="FFFFFFFF"/>
    <w:name w:val="List163171845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3" w15:restartNumberingAfterBreak="0">
    <w:nsid w:val="61420C3B"/>
    <w:multiLevelType w:val="multilevel"/>
    <w:tmpl w:val="FFFFFFFF"/>
    <w:name w:val="List16317184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4" w15:restartNumberingAfterBreak="0">
    <w:nsid w:val="61420C3D"/>
    <w:multiLevelType w:val="multilevel"/>
    <w:tmpl w:val="FFFFFFFF"/>
    <w:name w:val="List16317184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5" w15:restartNumberingAfterBreak="0">
    <w:nsid w:val="61420C3E"/>
    <w:multiLevelType w:val="multilevel"/>
    <w:tmpl w:val="FFFFFFFF"/>
    <w:name w:val="List163171846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6" w15:restartNumberingAfterBreak="0">
    <w:nsid w:val="61420C3F"/>
    <w:multiLevelType w:val="multilevel"/>
    <w:tmpl w:val="FFFFFFFF"/>
    <w:name w:val="List163171846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7" w15:restartNumberingAfterBreak="0">
    <w:nsid w:val="61420C41"/>
    <w:multiLevelType w:val="multilevel"/>
    <w:tmpl w:val="FFFFFFFF"/>
    <w:name w:val="List16317184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8" w15:restartNumberingAfterBreak="0">
    <w:nsid w:val="61420C42"/>
    <w:multiLevelType w:val="multilevel"/>
    <w:tmpl w:val="FFFFFFFF"/>
    <w:name w:val="List1631718465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9" w15:restartNumberingAfterBreak="0">
    <w:nsid w:val="61420C43"/>
    <w:multiLevelType w:val="multilevel"/>
    <w:tmpl w:val="FFFFFFFF"/>
    <w:name w:val="List163171846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0" w15:restartNumberingAfterBreak="0">
    <w:nsid w:val="61420C44"/>
    <w:multiLevelType w:val="multilevel"/>
    <w:tmpl w:val="FFFFFFFF"/>
    <w:name w:val="List163171846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1" w15:restartNumberingAfterBreak="0">
    <w:nsid w:val="61420C45"/>
    <w:multiLevelType w:val="multilevel"/>
    <w:tmpl w:val="FFFFFFFF"/>
    <w:name w:val="List163171846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2" w15:restartNumberingAfterBreak="0">
    <w:nsid w:val="61420C47"/>
    <w:multiLevelType w:val="multilevel"/>
    <w:tmpl w:val="FFFFFFFF"/>
    <w:name w:val="List16317184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3" w15:restartNumberingAfterBreak="0">
    <w:nsid w:val="61420C48"/>
    <w:multiLevelType w:val="multilevel"/>
    <w:tmpl w:val="FFFFFFFF"/>
    <w:name w:val="List1631718471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4" w15:restartNumberingAfterBreak="0">
    <w:nsid w:val="61420C49"/>
    <w:multiLevelType w:val="multilevel"/>
    <w:tmpl w:val="FFFFFFFF"/>
    <w:name w:val="List16317184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5" w15:restartNumberingAfterBreak="0">
    <w:nsid w:val="61420C4B"/>
    <w:multiLevelType w:val="multilevel"/>
    <w:tmpl w:val="FFFFFFFF"/>
    <w:name w:val="List163171847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6" w15:restartNumberingAfterBreak="0">
    <w:nsid w:val="61420C4C"/>
    <w:multiLevelType w:val="multilevel"/>
    <w:tmpl w:val="FFFFFFFF"/>
    <w:name w:val="List163171847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7" w15:restartNumberingAfterBreak="0">
    <w:nsid w:val="61420C4D"/>
    <w:multiLevelType w:val="multilevel"/>
    <w:tmpl w:val="FFFFFFFF"/>
    <w:name w:val="List16317184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8" w15:restartNumberingAfterBreak="0">
    <w:nsid w:val="61420C4E"/>
    <w:multiLevelType w:val="multilevel"/>
    <w:tmpl w:val="FFFFFFFF"/>
    <w:name w:val="List163171847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9" w15:restartNumberingAfterBreak="0">
    <w:nsid w:val="61420C4F"/>
    <w:multiLevelType w:val="multilevel"/>
    <w:tmpl w:val="FFFFFFFF"/>
    <w:name w:val="List163171847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0" w15:restartNumberingAfterBreak="0">
    <w:nsid w:val="61420C51"/>
    <w:multiLevelType w:val="multilevel"/>
    <w:tmpl w:val="FFFFFFFF"/>
    <w:name w:val="List163171848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1" w15:restartNumberingAfterBreak="0">
    <w:nsid w:val="61420C54"/>
    <w:multiLevelType w:val="multilevel"/>
    <w:tmpl w:val="FFFFFFFF"/>
    <w:name w:val="List16317184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2" w15:restartNumberingAfterBreak="0">
    <w:nsid w:val="61420C55"/>
    <w:multiLevelType w:val="multilevel"/>
    <w:tmpl w:val="FFFFFFFF"/>
    <w:name w:val="List163171848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3" w15:restartNumberingAfterBreak="0">
    <w:nsid w:val="61420C56"/>
    <w:multiLevelType w:val="multilevel"/>
    <w:tmpl w:val="FFFFFFFF"/>
    <w:name w:val="List16317184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4" w15:restartNumberingAfterBreak="0">
    <w:nsid w:val="61420C57"/>
    <w:multiLevelType w:val="multilevel"/>
    <w:tmpl w:val="FFFFFFFF"/>
    <w:name w:val="List16317184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5" w15:restartNumberingAfterBreak="0">
    <w:nsid w:val="61420CC1"/>
    <w:multiLevelType w:val="multilevel"/>
    <w:tmpl w:val="FFFFFFFF"/>
    <w:name w:val="List16317185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6" w15:restartNumberingAfterBreak="0">
    <w:nsid w:val="61420CC2"/>
    <w:multiLevelType w:val="multilevel"/>
    <w:tmpl w:val="FFFFFFFF"/>
    <w:name w:val="List163171859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7" w15:restartNumberingAfterBreak="0">
    <w:nsid w:val="61420CC3"/>
    <w:multiLevelType w:val="multilevel"/>
    <w:tmpl w:val="FFFFFFFF"/>
    <w:name w:val="List1631718594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8" w15:restartNumberingAfterBreak="0">
    <w:nsid w:val="61420CC4"/>
    <w:multiLevelType w:val="multilevel"/>
    <w:tmpl w:val="FFFFFFFF"/>
    <w:name w:val="List16317185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9" w15:restartNumberingAfterBreak="0">
    <w:nsid w:val="61420CC5"/>
    <w:multiLevelType w:val="multilevel"/>
    <w:tmpl w:val="FFFFFFFF"/>
    <w:name w:val="List163171859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0" w15:restartNumberingAfterBreak="0">
    <w:nsid w:val="61420CC6"/>
    <w:multiLevelType w:val="multilevel"/>
    <w:tmpl w:val="FFFFFFFF"/>
    <w:name w:val="List16317185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1" w15:restartNumberingAfterBreak="0">
    <w:nsid w:val="61420CC8"/>
    <w:multiLevelType w:val="multilevel"/>
    <w:tmpl w:val="FFFFFFFF"/>
    <w:name w:val="List163171860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2" w15:restartNumberingAfterBreak="0">
    <w:nsid w:val="61420CCD"/>
    <w:multiLevelType w:val="multilevel"/>
    <w:tmpl w:val="FFFFFFFF"/>
    <w:name w:val="List163171860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3" w15:restartNumberingAfterBreak="0">
    <w:nsid w:val="61420CCE"/>
    <w:multiLevelType w:val="multilevel"/>
    <w:tmpl w:val="FFFFFFFF"/>
    <w:name w:val="List16317186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4" w15:restartNumberingAfterBreak="0">
    <w:nsid w:val="61420CDC"/>
    <w:multiLevelType w:val="multilevel"/>
    <w:tmpl w:val="FFFFFFFF"/>
    <w:name w:val="List163171862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5" w15:restartNumberingAfterBreak="0">
    <w:nsid w:val="61420CDD"/>
    <w:multiLevelType w:val="multilevel"/>
    <w:tmpl w:val="FFFFFFFF"/>
    <w:name w:val="List16317186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6" w15:restartNumberingAfterBreak="0">
    <w:nsid w:val="61420DDD"/>
    <w:multiLevelType w:val="multilevel"/>
    <w:tmpl w:val="FFFFFFFF"/>
    <w:name w:val="List16317188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7" w15:restartNumberingAfterBreak="0">
    <w:nsid w:val="61420DE6"/>
    <w:multiLevelType w:val="multilevel"/>
    <w:tmpl w:val="FFFFFFFF"/>
    <w:name w:val="List16317188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8" w15:restartNumberingAfterBreak="0">
    <w:nsid w:val="61420DE7"/>
    <w:multiLevelType w:val="multilevel"/>
    <w:tmpl w:val="FFFFFFFF"/>
    <w:name w:val="List1631718886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9" w15:restartNumberingAfterBreak="0">
    <w:nsid w:val="61420DE8"/>
    <w:multiLevelType w:val="multilevel"/>
    <w:tmpl w:val="FFFFFFFF"/>
    <w:name w:val="List16317188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0" w15:restartNumberingAfterBreak="0">
    <w:nsid w:val="61420DE9"/>
    <w:multiLevelType w:val="multilevel"/>
    <w:tmpl w:val="FFFFFFFF"/>
    <w:name w:val="List16317188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1" w15:restartNumberingAfterBreak="0">
    <w:nsid w:val="61420DEC"/>
    <w:multiLevelType w:val="multilevel"/>
    <w:tmpl w:val="FFFFFFFF"/>
    <w:name w:val="List16317188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2" w15:restartNumberingAfterBreak="0">
    <w:nsid w:val="61420DED"/>
    <w:multiLevelType w:val="multilevel"/>
    <w:tmpl w:val="FFFFFFFF"/>
    <w:name w:val="List16317188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3" w15:restartNumberingAfterBreak="0">
    <w:nsid w:val="61420DEE"/>
    <w:multiLevelType w:val="multilevel"/>
    <w:tmpl w:val="FFFFFFFF"/>
    <w:name w:val="List163171889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4" w15:restartNumberingAfterBreak="0">
    <w:nsid w:val="61420DEF"/>
    <w:multiLevelType w:val="multilevel"/>
    <w:tmpl w:val="FFFFFFFF"/>
    <w:name w:val="List16317188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5" w15:restartNumberingAfterBreak="0">
    <w:nsid w:val="61420DF0"/>
    <w:multiLevelType w:val="multilevel"/>
    <w:tmpl w:val="FFFFFFFF"/>
    <w:name w:val="List1631718895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6" w15:restartNumberingAfterBreak="0">
    <w:nsid w:val="6142114F"/>
    <w:multiLevelType w:val="multilevel"/>
    <w:tmpl w:val="FFFFFFFF"/>
    <w:name w:val="List163171975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7" w15:restartNumberingAfterBreak="0">
    <w:nsid w:val="61430C92"/>
    <w:multiLevelType w:val="multilevel"/>
    <w:tmpl w:val="FFFFFFFF"/>
    <w:name w:val="List16317840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8" w15:restartNumberingAfterBreak="0">
    <w:nsid w:val="61430C93"/>
    <w:multiLevelType w:val="multilevel"/>
    <w:tmpl w:val="FFFFFFFF"/>
    <w:name w:val="List16317840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9" w15:restartNumberingAfterBreak="0">
    <w:nsid w:val="61430C94"/>
    <w:multiLevelType w:val="multilevel"/>
    <w:tmpl w:val="FFFFFFFF"/>
    <w:name w:val="List16317840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0" w15:restartNumberingAfterBreak="0">
    <w:nsid w:val="61430C95"/>
    <w:multiLevelType w:val="multilevel"/>
    <w:tmpl w:val="FFFFFFFF"/>
    <w:name w:val="List1631784084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1" w15:restartNumberingAfterBreak="0">
    <w:nsid w:val="61430C96"/>
    <w:multiLevelType w:val="multilevel"/>
    <w:tmpl w:val="FFFFFFFF"/>
    <w:name w:val="List163178408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2" w15:restartNumberingAfterBreak="0">
    <w:nsid w:val="61430C97"/>
    <w:multiLevelType w:val="multilevel"/>
    <w:tmpl w:val="FFFFFFFF"/>
    <w:name w:val="List16317840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3" w15:restartNumberingAfterBreak="0">
    <w:nsid w:val="61430CEF"/>
    <w:multiLevelType w:val="multilevel"/>
    <w:tmpl w:val="FFFFFFFF"/>
    <w:name w:val="List163178417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4" w15:restartNumberingAfterBreak="0">
    <w:nsid w:val="61430CF8"/>
    <w:multiLevelType w:val="multilevel"/>
    <w:tmpl w:val="FFFFFFFF"/>
    <w:name w:val="List16317841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5" w15:restartNumberingAfterBreak="0">
    <w:nsid w:val="61430CF9"/>
    <w:multiLevelType w:val="multilevel"/>
    <w:tmpl w:val="FFFFFFFF"/>
    <w:name w:val="List163178418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6" w15:restartNumberingAfterBreak="0">
    <w:nsid w:val="61430CFA"/>
    <w:multiLevelType w:val="multilevel"/>
    <w:tmpl w:val="FFFFFFFF"/>
    <w:name w:val="List1631784185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7" w15:restartNumberingAfterBreak="0">
    <w:nsid w:val="61430CFB"/>
    <w:multiLevelType w:val="multilevel"/>
    <w:tmpl w:val="FFFFFFFF"/>
    <w:name w:val="List16317841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8" w15:restartNumberingAfterBreak="0">
    <w:nsid w:val="61430D0D"/>
    <w:multiLevelType w:val="multilevel"/>
    <w:tmpl w:val="FFFFFFFF"/>
    <w:name w:val="List163178420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9" w15:restartNumberingAfterBreak="0">
    <w:nsid w:val="61430D0E"/>
    <w:multiLevelType w:val="multilevel"/>
    <w:tmpl w:val="FFFFFFFF"/>
    <w:name w:val="List1631784205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0" w15:restartNumberingAfterBreak="0">
    <w:nsid w:val="61430D0F"/>
    <w:multiLevelType w:val="multilevel"/>
    <w:tmpl w:val="FFFFFFFF"/>
    <w:name w:val="List16317842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1" w15:restartNumberingAfterBreak="0">
    <w:nsid w:val="61430D3C"/>
    <w:multiLevelType w:val="multilevel"/>
    <w:tmpl w:val="FFFFFFFF"/>
    <w:name w:val="List163178425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2" w15:restartNumberingAfterBreak="0">
    <w:nsid w:val="61430D3E"/>
    <w:multiLevelType w:val="multilevel"/>
    <w:tmpl w:val="FFFFFFFF"/>
    <w:name w:val="List16317842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3" w15:restartNumberingAfterBreak="0">
    <w:nsid w:val="61430D54"/>
    <w:multiLevelType w:val="multilevel"/>
    <w:tmpl w:val="FFFFFFFF"/>
    <w:name w:val="List163178427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4" w15:restartNumberingAfterBreak="0">
    <w:nsid w:val="61430D55"/>
    <w:multiLevelType w:val="multilevel"/>
    <w:tmpl w:val="FFFFFFFF"/>
    <w:name w:val="List16317842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5" w15:restartNumberingAfterBreak="0">
    <w:nsid w:val="61430D56"/>
    <w:multiLevelType w:val="multilevel"/>
    <w:tmpl w:val="FFFFFFFF"/>
    <w:name w:val="List163178427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6" w15:restartNumberingAfterBreak="0">
    <w:nsid w:val="61430D59"/>
    <w:multiLevelType w:val="multilevel"/>
    <w:tmpl w:val="FFFFFFFF"/>
    <w:name w:val="List163178428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7" w15:restartNumberingAfterBreak="0">
    <w:nsid w:val="61430D5A"/>
    <w:multiLevelType w:val="multilevel"/>
    <w:tmpl w:val="FFFFFFFF"/>
    <w:name w:val="List1631784281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8" w15:restartNumberingAfterBreak="0">
    <w:nsid w:val="61430D5F"/>
    <w:multiLevelType w:val="multilevel"/>
    <w:tmpl w:val="FFFFFFFF"/>
    <w:name w:val="List16317842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9" w15:restartNumberingAfterBreak="0">
    <w:nsid w:val="61430D60"/>
    <w:multiLevelType w:val="multilevel"/>
    <w:tmpl w:val="FFFFFFFF"/>
    <w:name w:val="List1631784287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0" w15:restartNumberingAfterBreak="0">
    <w:nsid w:val="61430D61"/>
    <w:multiLevelType w:val="multilevel"/>
    <w:tmpl w:val="FFFFFFFF"/>
    <w:name w:val="List163178428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1" w15:restartNumberingAfterBreak="0">
    <w:nsid w:val="61430D62"/>
    <w:multiLevelType w:val="multilevel"/>
    <w:tmpl w:val="FFFFFFFF"/>
    <w:name w:val="List16317842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2" w15:restartNumberingAfterBreak="0">
    <w:nsid w:val="61430D66"/>
    <w:multiLevelType w:val="multilevel"/>
    <w:tmpl w:val="FFFFFFFF"/>
    <w:name w:val="List163178429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3" w15:restartNumberingAfterBreak="0">
    <w:nsid w:val="61430D67"/>
    <w:multiLevelType w:val="multilevel"/>
    <w:tmpl w:val="FFFFFFFF"/>
    <w:name w:val="List16317842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4" w15:restartNumberingAfterBreak="0">
    <w:nsid w:val="61430D68"/>
    <w:multiLevelType w:val="multilevel"/>
    <w:tmpl w:val="FFFFFFFF"/>
    <w:name w:val="List1631784295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5" w15:restartNumberingAfterBreak="0">
    <w:nsid w:val="61430D69"/>
    <w:multiLevelType w:val="multilevel"/>
    <w:tmpl w:val="FFFFFFFF"/>
    <w:name w:val="List163178429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6" w15:restartNumberingAfterBreak="0">
    <w:nsid w:val="61430D6A"/>
    <w:multiLevelType w:val="multilevel"/>
    <w:tmpl w:val="FFFFFFFF"/>
    <w:name w:val="List16317842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7" w15:restartNumberingAfterBreak="0">
    <w:nsid w:val="61430D6E"/>
    <w:multiLevelType w:val="multilevel"/>
    <w:tmpl w:val="FFFFFFFF"/>
    <w:name w:val="List163178430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8" w15:restartNumberingAfterBreak="0">
    <w:nsid w:val="61430D6F"/>
    <w:multiLevelType w:val="multilevel"/>
    <w:tmpl w:val="FFFFFFFF"/>
    <w:name w:val="List163178430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9" w15:restartNumberingAfterBreak="0">
    <w:nsid w:val="61430D70"/>
    <w:multiLevelType w:val="multilevel"/>
    <w:tmpl w:val="FFFFFFFF"/>
    <w:name w:val="List163178430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0" w15:restartNumberingAfterBreak="0">
    <w:nsid w:val="61430D72"/>
    <w:multiLevelType w:val="multilevel"/>
    <w:tmpl w:val="FFFFFFFF"/>
    <w:name w:val="List16317843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1" w15:restartNumberingAfterBreak="0">
    <w:nsid w:val="61430D73"/>
    <w:multiLevelType w:val="multilevel"/>
    <w:tmpl w:val="FFFFFFFF"/>
    <w:name w:val="List1631784306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2" w15:restartNumberingAfterBreak="0">
    <w:nsid w:val="61430D74"/>
    <w:multiLevelType w:val="multilevel"/>
    <w:tmpl w:val="FFFFFFFF"/>
    <w:name w:val="List16317843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3" w15:restartNumberingAfterBreak="0">
    <w:nsid w:val="61430D75"/>
    <w:multiLevelType w:val="multilevel"/>
    <w:tmpl w:val="FFFFFFFF"/>
    <w:name w:val="List163178430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4" w15:restartNumberingAfterBreak="0">
    <w:nsid w:val="61430D78"/>
    <w:multiLevelType w:val="multilevel"/>
    <w:tmpl w:val="FFFFFFFF"/>
    <w:name w:val="List163178431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5" w15:restartNumberingAfterBreak="0">
    <w:nsid w:val="61430D79"/>
    <w:multiLevelType w:val="multilevel"/>
    <w:tmpl w:val="FFFFFFFF"/>
    <w:name w:val="List1631784312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6" w15:restartNumberingAfterBreak="0">
    <w:nsid w:val="61430D7A"/>
    <w:multiLevelType w:val="multilevel"/>
    <w:tmpl w:val="FFFFFFFF"/>
    <w:name w:val="List16317843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7" w15:restartNumberingAfterBreak="0">
    <w:nsid w:val="61430D7B"/>
    <w:multiLevelType w:val="multilevel"/>
    <w:tmpl w:val="FFFFFFFF"/>
    <w:name w:val="List163178431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8" w15:restartNumberingAfterBreak="0">
    <w:nsid w:val="61430D7C"/>
    <w:multiLevelType w:val="multilevel"/>
    <w:tmpl w:val="FFFFFFFF"/>
    <w:name w:val="List1631784315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9" w15:restartNumberingAfterBreak="0">
    <w:nsid w:val="61430D7D"/>
    <w:multiLevelType w:val="multilevel"/>
    <w:tmpl w:val="FFFFFFFF"/>
    <w:name w:val="List163178431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0" w15:restartNumberingAfterBreak="0">
    <w:nsid w:val="61430E03"/>
    <w:multiLevelType w:val="multilevel"/>
    <w:tmpl w:val="FFFFFFFF"/>
    <w:name w:val="List163178445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1" w15:restartNumberingAfterBreak="0">
    <w:nsid w:val="61430E07"/>
    <w:multiLevelType w:val="multilevel"/>
    <w:tmpl w:val="FFFFFFFF"/>
    <w:name w:val="List16317844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2" w15:restartNumberingAfterBreak="0">
    <w:nsid w:val="61430E0A"/>
    <w:multiLevelType w:val="multilevel"/>
    <w:tmpl w:val="FFFFFFFF"/>
    <w:name w:val="List16317844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3" w15:restartNumberingAfterBreak="0">
    <w:nsid w:val="61430E0B"/>
    <w:multiLevelType w:val="multilevel"/>
    <w:tmpl w:val="FFFFFFFF"/>
    <w:name w:val="List163178445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4" w15:restartNumberingAfterBreak="0">
    <w:nsid w:val="61430E0C"/>
    <w:multiLevelType w:val="multilevel"/>
    <w:tmpl w:val="FFFFFFFF"/>
    <w:name w:val="List16317844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5" w15:restartNumberingAfterBreak="0">
    <w:nsid w:val="61430E0E"/>
    <w:multiLevelType w:val="multilevel"/>
    <w:tmpl w:val="FFFFFFFF"/>
    <w:name w:val="List163178446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6" w15:restartNumberingAfterBreak="0">
    <w:nsid w:val="61430E10"/>
    <w:multiLevelType w:val="multilevel"/>
    <w:tmpl w:val="FFFFFFFF"/>
    <w:name w:val="List163178446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7" w15:restartNumberingAfterBreak="0">
    <w:nsid w:val="61430E11"/>
    <w:multiLevelType w:val="multilevel"/>
    <w:tmpl w:val="FFFFFFFF"/>
    <w:name w:val="List1631784464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8" w15:restartNumberingAfterBreak="0">
    <w:nsid w:val="61430E12"/>
    <w:multiLevelType w:val="multilevel"/>
    <w:tmpl w:val="FFFFFFFF"/>
    <w:name w:val="List163178446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9" w15:restartNumberingAfterBreak="0">
    <w:nsid w:val="61430E13"/>
    <w:multiLevelType w:val="multilevel"/>
    <w:tmpl w:val="FFFFFFFF"/>
    <w:name w:val="List163178446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0" w15:restartNumberingAfterBreak="0">
    <w:nsid w:val="61430E16"/>
    <w:multiLevelType w:val="multilevel"/>
    <w:tmpl w:val="FFFFFFFF"/>
    <w:name w:val="List163178447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1" w15:restartNumberingAfterBreak="0">
    <w:nsid w:val="61430E17"/>
    <w:multiLevelType w:val="multilevel"/>
    <w:tmpl w:val="FFFFFFFF"/>
    <w:name w:val="List16317844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2" w15:restartNumberingAfterBreak="0">
    <w:nsid w:val="61430E18"/>
    <w:multiLevelType w:val="multilevel"/>
    <w:tmpl w:val="FFFFFFFF"/>
    <w:name w:val="List16317844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3" w15:restartNumberingAfterBreak="0">
    <w:nsid w:val="61430E63"/>
    <w:multiLevelType w:val="multilevel"/>
    <w:tmpl w:val="FFFFFFFF"/>
    <w:name w:val="List16317845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4" w15:restartNumberingAfterBreak="0">
    <w:nsid w:val="61430EA0"/>
    <w:multiLevelType w:val="multilevel"/>
    <w:tmpl w:val="FFFFFFFF"/>
    <w:name w:val="List163178460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5" w15:restartNumberingAfterBreak="0">
    <w:nsid w:val="6143153B"/>
    <w:multiLevelType w:val="multilevel"/>
    <w:tmpl w:val="FFFFFFFF"/>
    <w:name w:val="List163178629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6" w15:restartNumberingAfterBreak="0">
    <w:nsid w:val="6143156D"/>
    <w:multiLevelType w:val="multilevel"/>
    <w:tmpl w:val="FFFFFFFF"/>
    <w:name w:val="List163178634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7" w15:restartNumberingAfterBreak="0">
    <w:nsid w:val="6143156E"/>
    <w:multiLevelType w:val="multilevel"/>
    <w:tmpl w:val="FFFFFFFF"/>
    <w:name w:val="List163178635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8" w15:restartNumberingAfterBreak="0">
    <w:nsid w:val="6143156F"/>
    <w:multiLevelType w:val="multilevel"/>
    <w:tmpl w:val="FFFFFFFF"/>
    <w:name w:val="List163178635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9" w15:restartNumberingAfterBreak="0">
    <w:nsid w:val="61431570"/>
    <w:multiLevelType w:val="multilevel"/>
    <w:tmpl w:val="FFFFFFFF"/>
    <w:name w:val="List163178635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0" w15:restartNumberingAfterBreak="0">
    <w:nsid w:val="61431572"/>
    <w:multiLevelType w:val="multilevel"/>
    <w:tmpl w:val="FFFFFFFF"/>
    <w:name w:val="List16317863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1" w15:restartNumberingAfterBreak="0">
    <w:nsid w:val="61431573"/>
    <w:multiLevelType w:val="multilevel"/>
    <w:tmpl w:val="FFFFFFFF"/>
    <w:name w:val="List16317863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2" w15:restartNumberingAfterBreak="0">
    <w:nsid w:val="61431577"/>
    <w:multiLevelType w:val="multilevel"/>
    <w:tmpl w:val="FFFFFFFF"/>
    <w:name w:val="List163178635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3" w15:restartNumberingAfterBreak="0">
    <w:nsid w:val="61431578"/>
    <w:multiLevelType w:val="multilevel"/>
    <w:tmpl w:val="FFFFFFFF"/>
    <w:name w:val="List16317863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4" w15:restartNumberingAfterBreak="0">
    <w:nsid w:val="6143157F"/>
    <w:multiLevelType w:val="multilevel"/>
    <w:tmpl w:val="FFFFFFFF"/>
    <w:name w:val="List163178636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5" w15:restartNumberingAfterBreak="0">
    <w:nsid w:val="61431580"/>
    <w:multiLevelType w:val="multilevel"/>
    <w:tmpl w:val="FFFFFFFF"/>
    <w:name w:val="List1631786367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6" w15:restartNumberingAfterBreak="0">
    <w:nsid w:val="61431581"/>
    <w:multiLevelType w:val="multilevel"/>
    <w:tmpl w:val="FFFFFFFF"/>
    <w:name w:val="List163178636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7" w15:restartNumberingAfterBreak="0">
    <w:nsid w:val="61431593"/>
    <w:multiLevelType w:val="multilevel"/>
    <w:tmpl w:val="FFFFFFFF"/>
    <w:name w:val="List16317863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8" w15:restartNumberingAfterBreak="0">
    <w:nsid w:val="614315BA"/>
    <w:multiLevelType w:val="multilevel"/>
    <w:tmpl w:val="FFFFFFFF"/>
    <w:name w:val="List16317864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9" w15:restartNumberingAfterBreak="0">
    <w:nsid w:val="615D67CC"/>
    <w:multiLevelType w:val="multilevel"/>
    <w:tmpl w:val="FFFFFFFF"/>
    <w:name w:val="List16335113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0" w15:restartNumberingAfterBreak="0">
    <w:nsid w:val="615D684A"/>
    <w:multiLevelType w:val="multilevel"/>
    <w:tmpl w:val="FFFFFFFF"/>
    <w:name w:val="List16335114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1" w15:restartNumberingAfterBreak="0">
    <w:nsid w:val="615D68A2"/>
    <w:multiLevelType w:val="multilevel"/>
    <w:tmpl w:val="FFFFFFFF"/>
    <w:name w:val="List16335115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2" w15:restartNumberingAfterBreak="0">
    <w:nsid w:val="615D68BE"/>
    <w:multiLevelType w:val="multilevel"/>
    <w:tmpl w:val="FFFFFFFF"/>
    <w:name w:val="List16335116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3" w15:restartNumberingAfterBreak="0">
    <w:nsid w:val="615D6920"/>
    <w:multiLevelType w:val="multilevel"/>
    <w:tmpl w:val="FFFFFFFF"/>
    <w:name w:val="List163351171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4" w15:restartNumberingAfterBreak="0">
    <w:nsid w:val="615D6921"/>
    <w:multiLevelType w:val="multilevel"/>
    <w:tmpl w:val="FFFFFFFF"/>
    <w:name w:val="List16335117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5" w15:restartNumberingAfterBreak="0">
    <w:nsid w:val="615D6922"/>
    <w:multiLevelType w:val="multilevel"/>
    <w:tmpl w:val="FFFFFFFF"/>
    <w:name w:val="List16335117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6" w15:restartNumberingAfterBreak="0">
    <w:nsid w:val="615D6923"/>
    <w:multiLevelType w:val="multilevel"/>
    <w:tmpl w:val="FFFFFFFF"/>
    <w:name w:val="List1633511714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7" w15:restartNumberingAfterBreak="0">
    <w:nsid w:val="615D6924"/>
    <w:multiLevelType w:val="multilevel"/>
    <w:tmpl w:val="FFFFFFFF"/>
    <w:name w:val="List163351171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8" w15:restartNumberingAfterBreak="0">
    <w:nsid w:val="615D6925"/>
    <w:multiLevelType w:val="multilevel"/>
    <w:tmpl w:val="FFFFFFFF"/>
    <w:name w:val="List163351171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9" w15:restartNumberingAfterBreak="0">
    <w:nsid w:val="615D6926"/>
    <w:multiLevelType w:val="multilevel"/>
    <w:tmpl w:val="FFFFFFFF"/>
    <w:name w:val="List1633511716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0" w15:restartNumberingAfterBreak="0">
    <w:nsid w:val="615D6927"/>
    <w:multiLevelType w:val="multilevel"/>
    <w:tmpl w:val="FFFFFFFF"/>
    <w:name w:val="List16335117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1" w15:restartNumberingAfterBreak="0">
    <w:nsid w:val="615D6928"/>
    <w:multiLevelType w:val="multilevel"/>
    <w:tmpl w:val="FFFFFFFF"/>
    <w:name w:val="List163351171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2" w15:restartNumberingAfterBreak="0">
    <w:nsid w:val="615D6929"/>
    <w:multiLevelType w:val="multilevel"/>
    <w:tmpl w:val="FFFFFFFF"/>
    <w:name w:val="List163351171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3" w15:restartNumberingAfterBreak="0">
    <w:nsid w:val="615D692A"/>
    <w:multiLevelType w:val="multilevel"/>
    <w:tmpl w:val="FFFFFFFF"/>
    <w:name w:val="List1633511719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4" w15:restartNumberingAfterBreak="0">
    <w:nsid w:val="615D692B"/>
    <w:multiLevelType w:val="multilevel"/>
    <w:tmpl w:val="FFFFFFFF"/>
    <w:name w:val="List163351172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5" w15:restartNumberingAfterBreak="0">
    <w:nsid w:val="615D692C"/>
    <w:multiLevelType w:val="multilevel"/>
    <w:tmpl w:val="FFFFFFFF"/>
    <w:name w:val="List16335117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6" w15:restartNumberingAfterBreak="0">
    <w:nsid w:val="615D692D"/>
    <w:multiLevelType w:val="multilevel"/>
    <w:tmpl w:val="FFFFFFFF"/>
    <w:name w:val="List16335117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7" w15:restartNumberingAfterBreak="0">
    <w:nsid w:val="615D692E"/>
    <w:multiLevelType w:val="multilevel"/>
    <w:tmpl w:val="FFFFFFFF"/>
    <w:name w:val="List16335117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8" w15:restartNumberingAfterBreak="0">
    <w:nsid w:val="615D692F"/>
    <w:multiLevelType w:val="multilevel"/>
    <w:tmpl w:val="FFFFFFFF"/>
    <w:name w:val="List163351172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9" w15:restartNumberingAfterBreak="0">
    <w:nsid w:val="615D6930"/>
    <w:multiLevelType w:val="multilevel"/>
    <w:tmpl w:val="FFFFFFFF"/>
    <w:name w:val="List16335117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0" w15:restartNumberingAfterBreak="0">
    <w:nsid w:val="615D6931"/>
    <w:multiLevelType w:val="multilevel"/>
    <w:tmpl w:val="FFFFFFFF"/>
    <w:name w:val="List1633511726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1" w15:restartNumberingAfterBreak="0">
    <w:nsid w:val="615D6932"/>
    <w:multiLevelType w:val="multilevel"/>
    <w:tmpl w:val="FFFFFFFF"/>
    <w:name w:val="List163351172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2" w15:restartNumberingAfterBreak="0">
    <w:nsid w:val="615D7B49"/>
    <w:multiLevelType w:val="multilevel"/>
    <w:tmpl w:val="FFFFFFFF"/>
    <w:name w:val="List16335163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3" w15:restartNumberingAfterBreak="0">
    <w:nsid w:val="615D7B63"/>
    <w:multiLevelType w:val="multilevel"/>
    <w:tmpl w:val="FFFFFFFF"/>
    <w:name w:val="List16335163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4" w15:restartNumberingAfterBreak="0">
    <w:nsid w:val="615D7C11"/>
    <w:multiLevelType w:val="multilevel"/>
    <w:tmpl w:val="FFFFFFFF"/>
    <w:name w:val="List16335165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5" w15:restartNumberingAfterBreak="0">
    <w:nsid w:val="615D95B2"/>
    <w:multiLevelType w:val="multilevel"/>
    <w:tmpl w:val="FFFFFFFF"/>
    <w:name w:val="List163352312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6" w15:restartNumberingAfterBreak="0">
    <w:nsid w:val="615D95CB"/>
    <w:multiLevelType w:val="multilevel"/>
    <w:tmpl w:val="FFFFFFFF"/>
    <w:name w:val="List16335231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7" w15:restartNumberingAfterBreak="0">
    <w:nsid w:val="615D95CC"/>
    <w:multiLevelType w:val="multilevel"/>
    <w:tmpl w:val="FFFFFFFF"/>
    <w:name w:val="List163352314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8" w15:restartNumberingAfterBreak="0">
    <w:nsid w:val="615D95CD"/>
    <w:multiLevelType w:val="multilevel"/>
    <w:tmpl w:val="FFFFFFFF"/>
    <w:name w:val="List1633523148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39" w15:restartNumberingAfterBreak="0">
    <w:nsid w:val="615D96E9"/>
    <w:multiLevelType w:val="multilevel"/>
    <w:tmpl w:val="FFFFFFFF"/>
    <w:name w:val="List163352343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0" w15:restartNumberingAfterBreak="0">
    <w:nsid w:val="615D96FF"/>
    <w:multiLevelType w:val="multilevel"/>
    <w:tmpl w:val="FFFFFFFF"/>
    <w:name w:val="List16335234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1" w15:restartNumberingAfterBreak="0">
    <w:nsid w:val="615D9702"/>
    <w:multiLevelType w:val="multilevel"/>
    <w:tmpl w:val="FFFFFFFF"/>
    <w:name w:val="List16335234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2" w15:restartNumberingAfterBreak="0">
    <w:nsid w:val="615D971A"/>
    <w:multiLevelType w:val="multilevel"/>
    <w:tmpl w:val="FFFFFFFF"/>
    <w:name w:val="List16335234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3" w15:restartNumberingAfterBreak="0">
    <w:nsid w:val="615D9778"/>
    <w:multiLevelType w:val="multilevel"/>
    <w:tmpl w:val="FFFFFFFF"/>
    <w:name w:val="List163352357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4" w15:restartNumberingAfterBreak="0">
    <w:nsid w:val="615D977F"/>
    <w:multiLevelType w:val="multilevel"/>
    <w:tmpl w:val="FFFFFFFF"/>
    <w:name w:val="List16335235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5" w15:restartNumberingAfterBreak="0">
    <w:nsid w:val="615D9780"/>
    <w:multiLevelType w:val="multilevel"/>
    <w:tmpl w:val="FFFFFFFF"/>
    <w:name w:val="List163352358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6" w15:restartNumberingAfterBreak="0">
    <w:nsid w:val="615D9781"/>
    <w:multiLevelType w:val="multilevel"/>
    <w:tmpl w:val="FFFFFFFF"/>
    <w:name w:val="List1633523584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7" w15:restartNumberingAfterBreak="0">
    <w:nsid w:val="615D9782"/>
    <w:multiLevelType w:val="multilevel"/>
    <w:tmpl w:val="FFFFFFFF"/>
    <w:name w:val="List163352358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8" w15:restartNumberingAfterBreak="0">
    <w:nsid w:val="615D9783"/>
    <w:multiLevelType w:val="multilevel"/>
    <w:tmpl w:val="FFFFFFFF"/>
    <w:name w:val="List1633523585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9" w15:restartNumberingAfterBreak="0">
    <w:nsid w:val="615D97AE"/>
    <w:multiLevelType w:val="multilevel"/>
    <w:tmpl w:val="FFFFFFFF"/>
    <w:name w:val="List163352363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0" w15:restartNumberingAfterBreak="0">
    <w:nsid w:val="615D9863"/>
    <w:multiLevelType w:val="multilevel"/>
    <w:tmpl w:val="FFFFFFFF"/>
    <w:name w:val="List16335238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1" w15:restartNumberingAfterBreak="0">
    <w:nsid w:val="615D99B3"/>
    <w:multiLevelType w:val="multilevel"/>
    <w:tmpl w:val="FFFFFFFF"/>
    <w:name w:val="List16335241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2" w15:restartNumberingAfterBreak="0">
    <w:nsid w:val="615D99D7"/>
    <w:multiLevelType w:val="multilevel"/>
    <w:tmpl w:val="FFFFFFFF"/>
    <w:name w:val="List16335241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3" w15:restartNumberingAfterBreak="0">
    <w:nsid w:val="615D9A3F"/>
    <w:multiLevelType w:val="multilevel"/>
    <w:tmpl w:val="FFFFFFFF"/>
    <w:name w:val="List16335242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4" w15:restartNumberingAfterBreak="0">
    <w:nsid w:val="615D9A69"/>
    <w:multiLevelType w:val="multilevel"/>
    <w:tmpl w:val="FFFFFFFF"/>
    <w:name w:val="List16335243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5" w15:restartNumberingAfterBreak="0">
    <w:nsid w:val="615D9D20"/>
    <w:multiLevelType w:val="multilevel"/>
    <w:tmpl w:val="FFFFFFFF"/>
    <w:name w:val="List16335250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6" w15:restartNumberingAfterBreak="0">
    <w:nsid w:val="615D9D52"/>
    <w:multiLevelType w:val="multilevel"/>
    <w:tmpl w:val="FFFFFFFF"/>
    <w:name w:val="List163352507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7" w15:restartNumberingAfterBreak="0">
    <w:nsid w:val="615D9DBA"/>
    <w:multiLevelType w:val="multilevel"/>
    <w:tmpl w:val="FFFFFFFF"/>
    <w:name w:val="List163352517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8" w15:restartNumberingAfterBreak="0">
    <w:nsid w:val="615D9DD4"/>
    <w:multiLevelType w:val="multilevel"/>
    <w:tmpl w:val="FFFFFFFF"/>
    <w:name w:val="List163352520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59" w15:restartNumberingAfterBreak="0">
    <w:nsid w:val="615D9F90"/>
    <w:multiLevelType w:val="multilevel"/>
    <w:tmpl w:val="FFFFFFFF"/>
    <w:name w:val="List163352564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0" w15:restartNumberingAfterBreak="0">
    <w:nsid w:val="615DA05D"/>
    <w:multiLevelType w:val="multilevel"/>
    <w:tmpl w:val="FFFFFFFF"/>
    <w:name w:val="List16335258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1" w15:restartNumberingAfterBreak="0">
    <w:nsid w:val="615DA088"/>
    <w:multiLevelType w:val="multilevel"/>
    <w:tmpl w:val="FFFFFFFF"/>
    <w:name w:val="List163352589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2" w15:restartNumberingAfterBreak="0">
    <w:nsid w:val="615DA0BF"/>
    <w:multiLevelType w:val="multilevel"/>
    <w:tmpl w:val="FFFFFFFF"/>
    <w:name w:val="List163352595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3" w15:restartNumberingAfterBreak="0">
    <w:nsid w:val="615DA0C0"/>
    <w:multiLevelType w:val="multilevel"/>
    <w:tmpl w:val="FFFFFFFF"/>
    <w:name w:val="List163352595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4" w15:restartNumberingAfterBreak="0">
    <w:nsid w:val="615DA0C1"/>
    <w:multiLevelType w:val="multilevel"/>
    <w:tmpl w:val="FFFFFFFF"/>
    <w:name w:val="List1633525952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5" w15:restartNumberingAfterBreak="0">
    <w:nsid w:val="615DA0C2"/>
    <w:multiLevelType w:val="multilevel"/>
    <w:tmpl w:val="FFFFFFFF"/>
    <w:name w:val="List16335259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6" w15:restartNumberingAfterBreak="0">
    <w:nsid w:val="615DA0E8"/>
    <w:multiLevelType w:val="multilevel"/>
    <w:tmpl w:val="FFFFFFFF"/>
    <w:name w:val="List16335259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7" w15:restartNumberingAfterBreak="0">
    <w:nsid w:val="615DA11C"/>
    <w:multiLevelType w:val="multilevel"/>
    <w:tmpl w:val="FFFFFFFF"/>
    <w:name w:val="List163352604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8" w15:restartNumberingAfterBreak="0">
    <w:nsid w:val="615DA15C"/>
    <w:multiLevelType w:val="multilevel"/>
    <w:tmpl w:val="FFFFFFFF"/>
    <w:name w:val="List163352610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69" w15:restartNumberingAfterBreak="0">
    <w:nsid w:val="615DA17D"/>
    <w:multiLevelType w:val="multilevel"/>
    <w:tmpl w:val="FFFFFFFF"/>
    <w:name w:val="List163352614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0" w15:restartNumberingAfterBreak="0">
    <w:nsid w:val="615DA1B6"/>
    <w:multiLevelType w:val="multilevel"/>
    <w:tmpl w:val="FFFFFFFF"/>
    <w:name w:val="List16335261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1" w15:restartNumberingAfterBreak="0">
    <w:nsid w:val="615DA1C7"/>
    <w:multiLevelType w:val="multilevel"/>
    <w:tmpl w:val="FFFFFFFF"/>
    <w:name w:val="List163352621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2" w15:restartNumberingAfterBreak="0">
    <w:nsid w:val="615DA1C8"/>
    <w:multiLevelType w:val="multilevel"/>
    <w:tmpl w:val="FFFFFFFF"/>
    <w:name w:val="List163352621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3" w15:restartNumberingAfterBreak="0">
    <w:nsid w:val="615DA1C9"/>
    <w:multiLevelType w:val="multilevel"/>
    <w:tmpl w:val="FFFFFFFF"/>
    <w:name w:val="List16335262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4" w15:restartNumberingAfterBreak="0">
    <w:nsid w:val="615DA1EF"/>
    <w:multiLevelType w:val="multilevel"/>
    <w:tmpl w:val="FFFFFFFF"/>
    <w:name w:val="List16335262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5" w15:restartNumberingAfterBreak="0">
    <w:nsid w:val="615DA216"/>
    <w:multiLevelType w:val="multilevel"/>
    <w:tmpl w:val="FFFFFFFF"/>
    <w:name w:val="List163352629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6" w15:restartNumberingAfterBreak="0">
    <w:nsid w:val="615DA362"/>
    <w:multiLevelType w:val="multilevel"/>
    <w:tmpl w:val="FFFFFFFF"/>
    <w:name w:val="List163352662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7" w15:restartNumberingAfterBreak="0">
    <w:nsid w:val="615DA3D3"/>
    <w:multiLevelType w:val="multilevel"/>
    <w:tmpl w:val="FFFFFFFF"/>
    <w:name w:val="List16335267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8" w15:restartNumberingAfterBreak="0">
    <w:nsid w:val="61600C9D"/>
    <w:multiLevelType w:val="multilevel"/>
    <w:tmpl w:val="FFFFFFFF"/>
    <w:name w:val="List163368463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79" w15:restartNumberingAfterBreak="0">
    <w:nsid w:val="61600CC5"/>
    <w:multiLevelType w:val="multilevel"/>
    <w:tmpl w:val="FFFFFFFF"/>
    <w:name w:val="List16336846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0" w15:restartNumberingAfterBreak="0">
    <w:nsid w:val="6179724E"/>
    <w:multiLevelType w:val="multilevel"/>
    <w:tmpl w:val="FFFFFFFF"/>
    <w:name w:val="List163534907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1" w15:restartNumberingAfterBreak="0">
    <w:nsid w:val="6179725A"/>
    <w:multiLevelType w:val="multilevel"/>
    <w:tmpl w:val="FFFFFFFF"/>
    <w:name w:val="List16353490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2" w15:restartNumberingAfterBreak="0">
    <w:nsid w:val="6179726A"/>
    <w:multiLevelType w:val="multilevel"/>
    <w:tmpl w:val="FFFFFFFF"/>
    <w:name w:val="List16353490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3" w15:restartNumberingAfterBreak="0">
    <w:nsid w:val="617972A2"/>
    <w:multiLevelType w:val="multilevel"/>
    <w:tmpl w:val="FFFFFFFF"/>
    <w:name w:val="List163534915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4" w15:restartNumberingAfterBreak="0">
    <w:nsid w:val="617A6AD1"/>
    <w:multiLevelType w:val="multilevel"/>
    <w:tmpl w:val="FFFFFFFF"/>
    <w:name w:val="List16354126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5" w15:restartNumberingAfterBreak="0">
    <w:nsid w:val="617A6E2B"/>
    <w:multiLevelType w:val="multilevel"/>
    <w:tmpl w:val="FFFFFFFF"/>
    <w:name w:val="List16354135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6" w15:restartNumberingAfterBreak="0">
    <w:nsid w:val="62066824"/>
    <w:multiLevelType w:val="multilevel"/>
    <w:tmpl w:val="FFFFFFFF"/>
    <w:name w:val="List164458704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7" w15:restartNumberingAfterBreak="0">
    <w:nsid w:val="62066A32"/>
    <w:multiLevelType w:val="multilevel"/>
    <w:tmpl w:val="FFFFFFFF"/>
    <w:name w:val="List164458757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8" w15:restartNumberingAfterBreak="0">
    <w:nsid w:val="620E2F95"/>
    <w:multiLevelType w:val="multilevel"/>
    <w:tmpl w:val="FFFFFFFF"/>
    <w:name w:val="List164509685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9" w15:restartNumberingAfterBreak="0">
    <w:nsid w:val="620E3124"/>
    <w:multiLevelType w:val="multilevel"/>
    <w:tmpl w:val="FFFFFFFF"/>
    <w:name w:val="List164509725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0" w15:restartNumberingAfterBreak="0">
    <w:nsid w:val="620E69F5"/>
    <w:multiLevelType w:val="multilevel"/>
    <w:tmpl w:val="FFFFFFFF"/>
    <w:name w:val="List164511179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1" w15:restartNumberingAfterBreak="0">
    <w:nsid w:val="620F5ED2"/>
    <w:multiLevelType w:val="multilevel"/>
    <w:tmpl w:val="FFFFFFFF"/>
    <w:name w:val="List16451744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2" w15:restartNumberingAfterBreak="0">
    <w:nsid w:val="620F6006"/>
    <w:multiLevelType w:val="multilevel"/>
    <w:tmpl w:val="FFFFFFFF"/>
    <w:name w:val="List164517479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3" w15:restartNumberingAfterBreak="0">
    <w:nsid w:val="620F600C"/>
    <w:multiLevelType w:val="multilevel"/>
    <w:tmpl w:val="FFFFFFFF"/>
    <w:name w:val="List164517479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4" w15:restartNumberingAfterBreak="0">
    <w:nsid w:val="620F64B6"/>
    <w:multiLevelType w:val="multilevel"/>
    <w:tmpl w:val="FFFFFFFF"/>
    <w:name w:val="List164517599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5" w15:restartNumberingAfterBreak="0">
    <w:nsid w:val="620F64E2"/>
    <w:multiLevelType w:val="multilevel"/>
    <w:tmpl w:val="FFFFFFFF"/>
    <w:name w:val="List164517603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6" w15:restartNumberingAfterBreak="0">
    <w:nsid w:val="620F66C7"/>
    <w:multiLevelType w:val="multilevel"/>
    <w:tmpl w:val="FFFFFFFF"/>
    <w:name w:val="List164517651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7" w15:restartNumberingAfterBreak="0">
    <w:nsid w:val="620F66CB"/>
    <w:multiLevelType w:val="multilevel"/>
    <w:tmpl w:val="FFFFFFFF"/>
    <w:name w:val="List16451765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8" w15:restartNumberingAfterBreak="0">
    <w:nsid w:val="620F6E71"/>
    <w:multiLevelType w:val="multilevel"/>
    <w:tmpl w:val="FFFFFFFF"/>
    <w:name w:val="List164517848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99" w15:restartNumberingAfterBreak="0">
    <w:nsid w:val="64FA055F"/>
    <w:multiLevelType w:val="multilevel"/>
    <w:tmpl w:val="FFFFFFFF"/>
    <w:name w:val="List5254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0" w15:restartNumberingAfterBreak="0">
    <w:nsid w:val="64FA0560"/>
    <w:multiLevelType w:val="multilevel"/>
    <w:tmpl w:val="FFFFFFFF"/>
    <w:name w:val="List2307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1" w15:restartNumberingAfterBreak="0">
    <w:nsid w:val="70D72DEC"/>
    <w:multiLevelType w:val="multilevel"/>
    <w:tmpl w:val="FFFFFFFF"/>
    <w:name w:val="List163178530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2" w15:restartNumberingAfterBreak="0">
    <w:nsid w:val="70D72DED"/>
    <w:multiLevelType w:val="multilevel"/>
    <w:tmpl w:val="FFFFFFFF"/>
    <w:name w:val="List163178537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3" w15:restartNumberingAfterBreak="0">
    <w:nsid w:val="70D72DEE"/>
    <w:multiLevelType w:val="multilevel"/>
    <w:tmpl w:val="FFFFFFFF"/>
    <w:name w:val="List163178537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4" w15:restartNumberingAfterBreak="0">
    <w:nsid w:val="70D72DEF"/>
    <w:multiLevelType w:val="multilevel"/>
    <w:tmpl w:val="FFFFFFFF"/>
    <w:name w:val="List1631785371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5" w15:restartNumberingAfterBreak="0">
    <w:nsid w:val="70D72DF0"/>
    <w:multiLevelType w:val="multilevel"/>
    <w:tmpl w:val="FFFFFFFF"/>
    <w:name w:val="List16317853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6" w15:restartNumberingAfterBreak="0">
    <w:nsid w:val="70D72DF1"/>
    <w:multiLevelType w:val="multilevel"/>
    <w:tmpl w:val="FFFFFFFF"/>
    <w:name w:val="List163178537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7" w15:restartNumberingAfterBreak="0">
    <w:nsid w:val="70D72DF2"/>
    <w:multiLevelType w:val="multilevel"/>
    <w:tmpl w:val="FFFFFFFF"/>
    <w:name w:val="List1631785373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8" w15:restartNumberingAfterBreak="0">
    <w:nsid w:val="70D72DF3"/>
    <w:multiLevelType w:val="multilevel"/>
    <w:tmpl w:val="FFFFFFFF"/>
    <w:name w:val="List163178537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9" w15:restartNumberingAfterBreak="0">
    <w:nsid w:val="70D72DF4"/>
    <w:multiLevelType w:val="multilevel"/>
    <w:tmpl w:val="FFFFFFFF"/>
    <w:name w:val="List163178537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0" w15:restartNumberingAfterBreak="0">
    <w:nsid w:val="70D72DF5"/>
    <w:multiLevelType w:val="multilevel"/>
    <w:tmpl w:val="FFFFFFFF"/>
    <w:name w:val="List16317855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1" w15:restartNumberingAfterBreak="0">
    <w:nsid w:val="70D72DF6"/>
    <w:multiLevelType w:val="multilevel"/>
    <w:tmpl w:val="FFFFFFFF"/>
    <w:name w:val="List163178554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2" w15:restartNumberingAfterBreak="0">
    <w:nsid w:val="70D72DF7"/>
    <w:multiLevelType w:val="multilevel"/>
    <w:tmpl w:val="FFFFFFFF"/>
    <w:name w:val="List163178554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3" w15:restartNumberingAfterBreak="0">
    <w:nsid w:val="70D72DF8"/>
    <w:multiLevelType w:val="multilevel"/>
    <w:tmpl w:val="FFFFFFFF"/>
    <w:name w:val="List163178554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4" w15:restartNumberingAfterBreak="0">
    <w:nsid w:val="70D72DF9"/>
    <w:multiLevelType w:val="multilevel"/>
    <w:tmpl w:val="FFFFFFFF"/>
    <w:name w:val="List16317855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5" w15:restartNumberingAfterBreak="0">
    <w:nsid w:val="70D72DFA"/>
    <w:multiLevelType w:val="multilevel"/>
    <w:tmpl w:val="FFFFFFFF"/>
    <w:name w:val="List163178554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6" w15:restartNumberingAfterBreak="0">
    <w:nsid w:val="70D72DFB"/>
    <w:multiLevelType w:val="multilevel"/>
    <w:tmpl w:val="FFFFFFFF"/>
    <w:name w:val="List1631785548_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7" w15:restartNumberingAfterBreak="0">
    <w:nsid w:val="70D72DFC"/>
    <w:multiLevelType w:val="multilevel"/>
    <w:tmpl w:val="FFFFFFFF"/>
    <w:name w:val="List163178555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8" w15:restartNumberingAfterBreak="0">
    <w:nsid w:val="70D72DFD"/>
    <w:multiLevelType w:val="multilevel"/>
    <w:tmpl w:val="FFFFFFFF"/>
    <w:name w:val="List16317859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9" w15:restartNumberingAfterBreak="0">
    <w:nsid w:val="72976B54"/>
    <w:multiLevelType w:val="multilevel"/>
    <w:tmpl w:val="FFFFFFFF"/>
    <w:name w:val="List142773071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0" w15:restartNumberingAfterBreak="0">
    <w:nsid w:val="72976B55"/>
    <w:multiLevelType w:val="multilevel"/>
    <w:tmpl w:val="FFFFFFFF"/>
    <w:name w:val="List142773071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1" w15:restartNumberingAfterBreak="0">
    <w:nsid w:val="72976B56"/>
    <w:multiLevelType w:val="multilevel"/>
    <w:tmpl w:val="FFFFFFFF"/>
    <w:name w:val="List14277307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2" w15:restartNumberingAfterBreak="0">
    <w:nsid w:val="72976B57"/>
    <w:multiLevelType w:val="multilevel"/>
    <w:tmpl w:val="FFFFFFFF"/>
    <w:name w:val="List14277307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3" w15:restartNumberingAfterBreak="0">
    <w:nsid w:val="72976B58"/>
    <w:multiLevelType w:val="multilevel"/>
    <w:tmpl w:val="FFFFFFFF"/>
    <w:name w:val="List14091342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4" w15:restartNumberingAfterBreak="0">
    <w:nsid w:val="72976B59"/>
    <w:multiLevelType w:val="multilevel"/>
    <w:tmpl w:val="FFFFFFFF"/>
    <w:name w:val="List140913424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5" w15:restartNumberingAfterBreak="0">
    <w:nsid w:val="72976B5A"/>
    <w:multiLevelType w:val="multilevel"/>
    <w:tmpl w:val="FFFFFFFF"/>
    <w:name w:val="List140930616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6" w15:restartNumberingAfterBreak="0">
    <w:nsid w:val="72976B5B"/>
    <w:multiLevelType w:val="multilevel"/>
    <w:tmpl w:val="FFFFFFFF"/>
    <w:name w:val="List140930620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7" w15:restartNumberingAfterBreak="0">
    <w:nsid w:val="72976B5C"/>
    <w:multiLevelType w:val="multilevel"/>
    <w:tmpl w:val="FFFFFFFF"/>
    <w:name w:val="List14093062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8" w15:restartNumberingAfterBreak="0">
    <w:nsid w:val="72976B5D"/>
    <w:multiLevelType w:val="multilevel"/>
    <w:tmpl w:val="FFFFFFFF"/>
    <w:name w:val="List14093062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9" w15:restartNumberingAfterBreak="0">
    <w:nsid w:val="72976B5E"/>
    <w:multiLevelType w:val="multilevel"/>
    <w:tmpl w:val="FFFFFFFF"/>
    <w:name w:val="List140956510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0" w15:restartNumberingAfterBreak="0">
    <w:nsid w:val="72976B5F"/>
    <w:multiLevelType w:val="multilevel"/>
    <w:tmpl w:val="FFFFFFFF"/>
    <w:name w:val="List14095651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1" w15:restartNumberingAfterBreak="0">
    <w:nsid w:val="72976B60"/>
    <w:multiLevelType w:val="multilevel"/>
    <w:tmpl w:val="FFFFFFFF"/>
    <w:name w:val="List141017246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2" w15:restartNumberingAfterBreak="0">
    <w:nsid w:val="72976B61"/>
    <w:multiLevelType w:val="multilevel"/>
    <w:tmpl w:val="FFFFFFFF"/>
    <w:name w:val="List14101725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3" w15:restartNumberingAfterBreak="0">
    <w:nsid w:val="72976B62"/>
    <w:multiLevelType w:val="multilevel"/>
    <w:tmpl w:val="FFFFFFFF"/>
    <w:name w:val="List14101725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4" w15:restartNumberingAfterBreak="0">
    <w:nsid w:val="733E5C59"/>
    <w:multiLevelType w:val="multilevel"/>
    <w:tmpl w:val="FFFFFFFF"/>
    <w:name w:val="List161909383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5" w15:restartNumberingAfterBreak="0">
    <w:nsid w:val="76514207"/>
    <w:multiLevelType w:val="multilevel"/>
    <w:tmpl w:val="FFFFFFFF"/>
    <w:name w:val="List16191628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6" w15:restartNumberingAfterBreak="0">
    <w:nsid w:val="76514208"/>
    <w:multiLevelType w:val="multilevel"/>
    <w:tmpl w:val="FFFFFFFF"/>
    <w:name w:val="List16191628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7" w15:restartNumberingAfterBreak="0">
    <w:nsid w:val="76514209"/>
    <w:multiLevelType w:val="multilevel"/>
    <w:tmpl w:val="FFFFFFFF"/>
    <w:name w:val="List16221220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8" w15:restartNumberingAfterBreak="0">
    <w:nsid w:val="7651420A"/>
    <w:multiLevelType w:val="multilevel"/>
    <w:tmpl w:val="FFFFFFFF"/>
    <w:name w:val="List162212206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39" w15:restartNumberingAfterBreak="0">
    <w:nsid w:val="7651420B"/>
    <w:multiLevelType w:val="multilevel"/>
    <w:tmpl w:val="FFFFFFFF"/>
    <w:name w:val="List162212212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0" w15:restartNumberingAfterBreak="0">
    <w:nsid w:val="7651420C"/>
    <w:multiLevelType w:val="multilevel"/>
    <w:tmpl w:val="FFFFFFFF"/>
    <w:name w:val="List162212218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1" w15:restartNumberingAfterBreak="0">
    <w:nsid w:val="769D2825"/>
    <w:multiLevelType w:val="multilevel"/>
    <w:tmpl w:val="FFFFFFFF"/>
    <w:name w:val="List146899902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2" w15:restartNumberingAfterBreak="0">
    <w:nsid w:val="769D2826"/>
    <w:multiLevelType w:val="multilevel"/>
    <w:tmpl w:val="FFFFFFFF"/>
    <w:name w:val="List146899903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3" w15:restartNumberingAfterBreak="0">
    <w:nsid w:val="769D2827"/>
    <w:multiLevelType w:val="multilevel"/>
    <w:tmpl w:val="FFFFFFFF"/>
    <w:name w:val="List146899903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4" w15:restartNumberingAfterBreak="0">
    <w:nsid w:val="769D2828"/>
    <w:multiLevelType w:val="multilevel"/>
    <w:tmpl w:val="FFFFFFFF"/>
    <w:name w:val="List146900057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5" w15:restartNumberingAfterBreak="0">
    <w:nsid w:val="769D2829"/>
    <w:multiLevelType w:val="multilevel"/>
    <w:tmpl w:val="FFFFFFFF"/>
    <w:name w:val="List146900057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6" w15:restartNumberingAfterBreak="0">
    <w:nsid w:val="769D282A"/>
    <w:multiLevelType w:val="multilevel"/>
    <w:tmpl w:val="FFFFFFFF"/>
    <w:name w:val="List14690005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7" w15:restartNumberingAfterBreak="0">
    <w:nsid w:val="769D282B"/>
    <w:multiLevelType w:val="multilevel"/>
    <w:tmpl w:val="FFFFFFFF"/>
    <w:name w:val="List146900059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8" w15:restartNumberingAfterBreak="0">
    <w:nsid w:val="769D282C"/>
    <w:multiLevelType w:val="multilevel"/>
    <w:tmpl w:val="FFFFFFFF"/>
    <w:name w:val="List14690238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9" w15:restartNumberingAfterBreak="0">
    <w:nsid w:val="769D282D"/>
    <w:multiLevelType w:val="multilevel"/>
    <w:tmpl w:val="FFFFFFFF"/>
    <w:name w:val="List146902450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0" w15:restartNumberingAfterBreak="0">
    <w:nsid w:val="769D282E"/>
    <w:multiLevelType w:val="multilevel"/>
    <w:tmpl w:val="FFFFFFFF"/>
    <w:name w:val="List14690249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1" w15:restartNumberingAfterBreak="0">
    <w:nsid w:val="769D282F"/>
    <w:multiLevelType w:val="multilevel"/>
    <w:tmpl w:val="FFFFFFFF"/>
    <w:name w:val="List14690249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2" w15:restartNumberingAfterBreak="0">
    <w:nsid w:val="769D2830"/>
    <w:multiLevelType w:val="multilevel"/>
    <w:tmpl w:val="FFFFFFFF"/>
    <w:name w:val="List146902687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3" w15:restartNumberingAfterBreak="0">
    <w:nsid w:val="769D2831"/>
    <w:multiLevelType w:val="multilevel"/>
    <w:tmpl w:val="FFFFFFFF"/>
    <w:name w:val="List146902689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4" w15:restartNumberingAfterBreak="0">
    <w:nsid w:val="769D2832"/>
    <w:multiLevelType w:val="multilevel"/>
    <w:tmpl w:val="FFFFFFFF"/>
    <w:name w:val="List146902690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5" w15:restartNumberingAfterBreak="0">
    <w:nsid w:val="769D2833"/>
    <w:multiLevelType w:val="multilevel"/>
    <w:tmpl w:val="FFFFFFFF"/>
    <w:name w:val="List14691071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6" w15:restartNumberingAfterBreak="0">
    <w:nsid w:val="769D2834"/>
    <w:multiLevelType w:val="multilevel"/>
    <w:tmpl w:val="FFFFFFFF"/>
    <w:name w:val="List14690315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7" w15:restartNumberingAfterBreak="0">
    <w:nsid w:val="769D2835"/>
    <w:multiLevelType w:val="multilevel"/>
    <w:tmpl w:val="FFFFFFFF"/>
    <w:name w:val="List146952652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8" w15:restartNumberingAfterBreak="0">
    <w:nsid w:val="769D2836"/>
    <w:multiLevelType w:val="multilevel"/>
    <w:tmpl w:val="FFFFFFFF"/>
    <w:name w:val="List146954178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59" w15:restartNumberingAfterBreak="0">
    <w:nsid w:val="769D2837"/>
    <w:multiLevelType w:val="multilevel"/>
    <w:tmpl w:val="FFFFFFFF"/>
    <w:name w:val="List146954179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0" w15:restartNumberingAfterBreak="0">
    <w:nsid w:val="769D2838"/>
    <w:multiLevelType w:val="multilevel"/>
    <w:tmpl w:val="FFFFFFFF"/>
    <w:name w:val="List146954179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1" w15:restartNumberingAfterBreak="0">
    <w:nsid w:val="769D2839"/>
    <w:multiLevelType w:val="multilevel"/>
    <w:tmpl w:val="FFFFFFFF"/>
    <w:name w:val="List146954179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2" w15:restartNumberingAfterBreak="0">
    <w:nsid w:val="769D283A"/>
    <w:multiLevelType w:val="multilevel"/>
    <w:tmpl w:val="FFFFFFFF"/>
    <w:name w:val="List146954179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3" w15:restartNumberingAfterBreak="0">
    <w:nsid w:val="769D283B"/>
    <w:multiLevelType w:val="multilevel"/>
    <w:tmpl w:val="FFFFFFFF"/>
    <w:name w:val="List146954180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4" w15:restartNumberingAfterBreak="0">
    <w:nsid w:val="769D283C"/>
    <w:multiLevelType w:val="multilevel"/>
    <w:tmpl w:val="FFFFFFFF"/>
    <w:name w:val="List146954180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5" w15:restartNumberingAfterBreak="0">
    <w:nsid w:val="769D283D"/>
    <w:multiLevelType w:val="multilevel"/>
    <w:tmpl w:val="FFFFFFFF"/>
    <w:name w:val="List14695418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6" w15:restartNumberingAfterBreak="0">
    <w:nsid w:val="769D283E"/>
    <w:multiLevelType w:val="multilevel"/>
    <w:tmpl w:val="FFFFFFFF"/>
    <w:name w:val="List14695418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7" w15:restartNumberingAfterBreak="0">
    <w:nsid w:val="769D283F"/>
    <w:multiLevelType w:val="multilevel"/>
    <w:tmpl w:val="FFFFFFFF"/>
    <w:name w:val="List146954181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8" w15:restartNumberingAfterBreak="0">
    <w:nsid w:val="769D2840"/>
    <w:multiLevelType w:val="multilevel"/>
    <w:tmpl w:val="FFFFFFFF"/>
    <w:name w:val="List146954184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9" w15:restartNumberingAfterBreak="0">
    <w:nsid w:val="769D2841"/>
    <w:multiLevelType w:val="multilevel"/>
    <w:tmpl w:val="FFFFFFFF"/>
    <w:name w:val="List146954187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0" w15:restartNumberingAfterBreak="0">
    <w:nsid w:val="769D2842"/>
    <w:multiLevelType w:val="multilevel"/>
    <w:tmpl w:val="FFFFFFFF"/>
    <w:name w:val="List14695418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1" w15:restartNumberingAfterBreak="0">
    <w:nsid w:val="769D2843"/>
    <w:multiLevelType w:val="multilevel"/>
    <w:tmpl w:val="FFFFFFFF"/>
    <w:name w:val="List146954188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2" w15:restartNumberingAfterBreak="0">
    <w:nsid w:val="769D2844"/>
    <w:multiLevelType w:val="multilevel"/>
    <w:tmpl w:val="FFFFFFFF"/>
    <w:name w:val="List1469548022_1"/>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3" w15:restartNumberingAfterBreak="0">
    <w:nsid w:val="769D2845"/>
    <w:multiLevelType w:val="multilevel"/>
    <w:tmpl w:val="FFFFFFFF"/>
    <w:name w:val="List1469548029_1"/>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4" w15:restartNumberingAfterBreak="0">
    <w:nsid w:val="769D2846"/>
    <w:multiLevelType w:val="multilevel"/>
    <w:tmpl w:val="FFFFFFFF"/>
    <w:name w:val="List146954807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5" w15:restartNumberingAfterBreak="0">
    <w:nsid w:val="769D2847"/>
    <w:multiLevelType w:val="multilevel"/>
    <w:tmpl w:val="FFFFFFFF"/>
    <w:name w:val="List14695480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6" w15:restartNumberingAfterBreak="0">
    <w:nsid w:val="769D2848"/>
    <w:multiLevelType w:val="multilevel"/>
    <w:tmpl w:val="FFFFFFFF"/>
    <w:name w:val="List14695480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7" w15:restartNumberingAfterBreak="0">
    <w:nsid w:val="769D2849"/>
    <w:multiLevelType w:val="multilevel"/>
    <w:tmpl w:val="FFFFFFFF"/>
    <w:name w:val="List146954810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8" w15:restartNumberingAfterBreak="0">
    <w:nsid w:val="769D284A"/>
    <w:multiLevelType w:val="multilevel"/>
    <w:tmpl w:val="FFFFFFFF"/>
    <w:name w:val="List146954810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79" w15:restartNumberingAfterBreak="0">
    <w:nsid w:val="769D284B"/>
    <w:multiLevelType w:val="multilevel"/>
    <w:tmpl w:val="FFFFFFFF"/>
    <w:name w:val="List146954811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0" w15:restartNumberingAfterBreak="0">
    <w:nsid w:val="769D284C"/>
    <w:multiLevelType w:val="multilevel"/>
    <w:tmpl w:val="FFFFFFFF"/>
    <w:name w:val="List146954811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1" w15:restartNumberingAfterBreak="0">
    <w:nsid w:val="769D284D"/>
    <w:multiLevelType w:val="multilevel"/>
    <w:tmpl w:val="FFFFFFFF"/>
    <w:name w:val="List146954812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2" w15:restartNumberingAfterBreak="0">
    <w:nsid w:val="769D284E"/>
    <w:multiLevelType w:val="multilevel"/>
    <w:tmpl w:val="FFFFFFFF"/>
    <w:name w:val="List146954812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3" w15:restartNumberingAfterBreak="0">
    <w:nsid w:val="769D284F"/>
    <w:multiLevelType w:val="multilevel"/>
    <w:tmpl w:val="FFFFFFFF"/>
    <w:name w:val="List146954813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4" w15:restartNumberingAfterBreak="0">
    <w:nsid w:val="769D2850"/>
    <w:multiLevelType w:val="multilevel"/>
    <w:tmpl w:val="FFFFFFFF"/>
    <w:name w:val="List146954813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5" w15:restartNumberingAfterBreak="0">
    <w:nsid w:val="769D2851"/>
    <w:multiLevelType w:val="multilevel"/>
    <w:tmpl w:val="FFFFFFFF"/>
    <w:name w:val="List146954814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6" w15:restartNumberingAfterBreak="0">
    <w:nsid w:val="769D2852"/>
    <w:multiLevelType w:val="multilevel"/>
    <w:tmpl w:val="FFFFFFFF"/>
    <w:name w:val="List146954814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7" w15:restartNumberingAfterBreak="0">
    <w:nsid w:val="769D2853"/>
    <w:multiLevelType w:val="multilevel"/>
    <w:tmpl w:val="FFFFFFFF"/>
    <w:name w:val="List14695481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8" w15:restartNumberingAfterBreak="0">
    <w:nsid w:val="769D2854"/>
    <w:multiLevelType w:val="multilevel"/>
    <w:tmpl w:val="FFFFFFFF"/>
    <w:name w:val="List146954816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9" w15:restartNumberingAfterBreak="0">
    <w:nsid w:val="769D2855"/>
    <w:multiLevelType w:val="multilevel"/>
    <w:tmpl w:val="FFFFFFFF"/>
    <w:name w:val="List146954816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0" w15:restartNumberingAfterBreak="0">
    <w:nsid w:val="769D2856"/>
    <w:multiLevelType w:val="multilevel"/>
    <w:tmpl w:val="FFFFFFFF"/>
    <w:name w:val="List146954817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1" w15:restartNumberingAfterBreak="0">
    <w:nsid w:val="769D2857"/>
    <w:multiLevelType w:val="multilevel"/>
    <w:tmpl w:val="FFFFFFFF"/>
    <w:name w:val="List146954817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2" w15:restartNumberingAfterBreak="0">
    <w:nsid w:val="769D2858"/>
    <w:multiLevelType w:val="multilevel"/>
    <w:tmpl w:val="FFFFFFFF"/>
    <w:name w:val="List146954914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3" w15:restartNumberingAfterBreak="0">
    <w:nsid w:val="769D2859"/>
    <w:multiLevelType w:val="multilevel"/>
    <w:tmpl w:val="FFFFFFFF"/>
    <w:name w:val="List146954926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4" w15:restartNumberingAfterBreak="0">
    <w:nsid w:val="769D285A"/>
    <w:multiLevelType w:val="multilevel"/>
    <w:tmpl w:val="FFFFFFFF"/>
    <w:name w:val="List146954995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5" w15:restartNumberingAfterBreak="0">
    <w:nsid w:val="769D285B"/>
    <w:multiLevelType w:val="multilevel"/>
    <w:tmpl w:val="FFFFFFFF"/>
    <w:name w:val="List146960995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6" w15:restartNumberingAfterBreak="0">
    <w:nsid w:val="769D285C"/>
    <w:multiLevelType w:val="multilevel"/>
    <w:tmpl w:val="FFFFFFFF"/>
    <w:name w:val="List146961075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7" w15:restartNumberingAfterBreak="0">
    <w:nsid w:val="769D285D"/>
    <w:multiLevelType w:val="multilevel"/>
    <w:tmpl w:val="FFFFFFFF"/>
    <w:name w:val="List146961448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8" w15:restartNumberingAfterBreak="0">
    <w:nsid w:val="769D285E"/>
    <w:multiLevelType w:val="multilevel"/>
    <w:tmpl w:val="FFFFFFFF"/>
    <w:name w:val="List146961448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9" w15:restartNumberingAfterBreak="0">
    <w:nsid w:val="769D285F"/>
    <w:multiLevelType w:val="multilevel"/>
    <w:tmpl w:val="FFFFFFFF"/>
    <w:name w:val="List146961448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0" w15:restartNumberingAfterBreak="0">
    <w:nsid w:val="769D2860"/>
    <w:multiLevelType w:val="multilevel"/>
    <w:tmpl w:val="FFFFFFFF"/>
    <w:name w:val="List146961448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1" w15:restartNumberingAfterBreak="0">
    <w:nsid w:val="769D2861"/>
    <w:multiLevelType w:val="multilevel"/>
    <w:tmpl w:val="FFFFFFFF"/>
    <w:name w:val="List146961449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2" w15:restartNumberingAfterBreak="0">
    <w:nsid w:val="769D2862"/>
    <w:multiLevelType w:val="multilevel"/>
    <w:tmpl w:val="FFFFFFFF"/>
    <w:name w:val="List146961449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3" w15:restartNumberingAfterBreak="0">
    <w:nsid w:val="769D2863"/>
    <w:multiLevelType w:val="multilevel"/>
    <w:tmpl w:val="FFFFFFFF"/>
    <w:name w:val="List1469614499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4" w15:restartNumberingAfterBreak="0">
    <w:nsid w:val="769D2864"/>
    <w:multiLevelType w:val="multilevel"/>
    <w:tmpl w:val="FFFFFFFF"/>
    <w:name w:val="List146961450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5" w15:restartNumberingAfterBreak="0">
    <w:nsid w:val="769D2865"/>
    <w:multiLevelType w:val="multilevel"/>
    <w:tmpl w:val="FFFFFFFF"/>
    <w:name w:val="List1469614507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6" w15:restartNumberingAfterBreak="0">
    <w:nsid w:val="769D2866"/>
    <w:multiLevelType w:val="multilevel"/>
    <w:tmpl w:val="FFFFFFFF"/>
    <w:name w:val="List1469614510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7" w15:restartNumberingAfterBreak="0">
    <w:nsid w:val="769D2867"/>
    <w:multiLevelType w:val="multilevel"/>
    <w:tmpl w:val="FFFFFFFF"/>
    <w:name w:val="List1469614513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8" w15:restartNumberingAfterBreak="0">
    <w:nsid w:val="769D2868"/>
    <w:multiLevelType w:val="multilevel"/>
    <w:tmpl w:val="FFFFFFFF"/>
    <w:name w:val="List1469614516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09" w15:restartNumberingAfterBreak="0">
    <w:nsid w:val="769D2869"/>
    <w:multiLevelType w:val="multilevel"/>
    <w:tmpl w:val="FFFFFFFF"/>
    <w:name w:val="List1469614521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0" w15:restartNumberingAfterBreak="0">
    <w:nsid w:val="769D286A"/>
    <w:multiLevelType w:val="multilevel"/>
    <w:tmpl w:val="FFFFFFFF"/>
    <w:name w:val="List1469614524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1" w15:restartNumberingAfterBreak="0">
    <w:nsid w:val="769D286B"/>
    <w:multiLevelType w:val="multilevel"/>
    <w:tmpl w:val="FFFFFFFF"/>
    <w:name w:val="List1469614528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2" w15:restartNumberingAfterBreak="0">
    <w:nsid w:val="769D286C"/>
    <w:multiLevelType w:val="multilevel"/>
    <w:tmpl w:val="FFFFFFFF"/>
    <w:name w:val="List1469614532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13" w15:restartNumberingAfterBreak="0">
    <w:nsid w:val="769D286D"/>
    <w:multiLevelType w:val="multilevel"/>
    <w:tmpl w:val="FFFFFFFF"/>
    <w:name w:val="List1469614535_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410009885">
    <w:abstractNumId w:val="48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 w16cid:durableId="1913420740">
    <w:abstractNumId w:val="48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 w16cid:durableId="45641095">
    <w:abstractNumId w:val="78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 w16cid:durableId="1649894482">
    <w:abstractNumId w:val="78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 w16cid:durableId="119766550">
    <w:abstractNumId w:val="71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 w16cid:durableId="998728690">
    <w:abstractNumId w:val="71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 w16cid:durableId="413353920">
    <w:abstractNumId w:val="71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 w16cid:durableId="1287543574">
    <w:abstractNumId w:val="43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 w16cid:durableId="2045709822">
    <w:abstractNumId w:val="43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 w16cid:durableId="1370376422">
    <w:abstractNumId w:val="43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 w16cid:durableId="1954941484">
    <w:abstractNumId w:val="43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 w16cid:durableId="1416704352">
    <w:abstractNumId w:val="71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 w16cid:durableId="1918326271">
    <w:abstractNumId w:val="71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 w16cid:durableId="1866357528">
    <w:abstractNumId w:val="71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 w16cid:durableId="400565464">
    <w:abstractNumId w:val="71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 w16cid:durableId="1999071556">
    <w:abstractNumId w:val="71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 w16cid:durableId="1591432441">
    <w:abstractNumId w:val="71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 w16cid:durableId="889070310">
    <w:abstractNumId w:val="71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 w16cid:durableId="2063824288">
    <w:abstractNumId w:val="72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 w16cid:durableId="1584143173">
    <w:abstractNumId w:val="72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 w16cid:durableId="1797747520">
    <w:abstractNumId w:val="72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 w16cid:durableId="1716075336">
    <w:abstractNumId w:val="72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3" w16cid:durableId="250429903">
    <w:abstractNumId w:val="72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4" w16cid:durableId="1546061954">
    <w:abstractNumId w:val="72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5" w16cid:durableId="1265528541">
    <w:abstractNumId w:val="72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6" w16cid:durableId="885142866">
    <w:abstractNumId w:val="72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7" w16cid:durableId="23799606">
    <w:abstractNumId w:val="72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8" w16cid:durableId="255794280">
    <w:abstractNumId w:val="72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9" w16cid:durableId="371199121">
    <w:abstractNumId w:val="73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0" w16cid:durableId="1279801690">
    <w:abstractNumId w:val="73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1" w16cid:durableId="1105536319">
    <w:abstractNumId w:val="78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2" w16cid:durableId="930696155">
    <w:abstractNumId w:val="78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3" w16cid:durableId="735319300">
    <w:abstractNumId w:val="79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4" w16cid:durableId="1916166855">
    <w:abstractNumId w:val="79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5" w16cid:durableId="821583933">
    <w:abstractNumId w:val="79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6" w16cid:durableId="246235701">
    <w:abstractNumId w:val="58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7" w16cid:durableId="489060203">
    <w:abstractNumId w:val="586"/>
    <w:lvlOverride w:ilvl="0">
      <w:startOverride w:val="1"/>
      <w:lvl w:ilvl="0">
        <w:start w:val="1"/>
        <w:numFmt w:val="bullet"/>
        <w:pStyle w:val="Elencocontinua"/>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8" w16cid:durableId="404299502">
    <w:abstractNumId w:val="587"/>
    <w:lvlOverride w:ilvl="0">
      <w:startOverride w:val="1"/>
      <w:lvl w:ilvl="0">
        <w:start w:val="1"/>
        <w:numFmt w:val="bullet"/>
        <w:pStyle w:val="Titolo2"/>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39" w16cid:durableId="1250846959">
    <w:abstractNumId w:val="588"/>
    <w:lvlOverride w:ilvl="0">
      <w:startOverride w:val="1"/>
      <w:lvl w:ilvl="0">
        <w:start w:val="1"/>
        <w:numFmt w:val="bullet"/>
        <w:pStyle w:val="Elencopuntato"/>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0" w16cid:durableId="1157068589">
    <w:abstractNumId w:val="58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1" w16cid:durableId="1310938676">
    <w:abstractNumId w:val="59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2" w16cid:durableId="669526931">
    <w:abstractNumId w:val="59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3" w16cid:durableId="2086995731">
    <w:abstractNumId w:val="59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4" w16cid:durableId="934292507">
    <w:abstractNumId w:val="59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5" w16cid:durableId="1958557873">
    <w:abstractNumId w:val="59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6" w16cid:durableId="532621007">
    <w:abstractNumId w:val="59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7" w16cid:durableId="994457184">
    <w:abstractNumId w:val="59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8" w16cid:durableId="338851266">
    <w:abstractNumId w:val="59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49" w16cid:durableId="1505583001">
    <w:abstractNumId w:val="59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0" w16cid:durableId="506553474">
    <w:abstractNumId w:val="59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1" w16cid:durableId="846214573">
    <w:abstractNumId w:val="60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2" w16cid:durableId="439297121">
    <w:abstractNumId w:val="60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3" w16cid:durableId="1785688419">
    <w:abstractNumId w:val="60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4" w16cid:durableId="1121149274">
    <w:abstractNumId w:val="60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5" w16cid:durableId="1703094758">
    <w:abstractNumId w:val="60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6" w16cid:durableId="1313562408">
    <w:abstractNumId w:val="60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7" w16cid:durableId="1762800375">
    <w:abstractNumId w:val="60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8" w16cid:durableId="685719292">
    <w:abstractNumId w:val="60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59" w16cid:durableId="1889562868">
    <w:abstractNumId w:val="60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0" w16cid:durableId="1875461691">
    <w:abstractNumId w:val="60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1" w16cid:durableId="803422878">
    <w:abstractNumId w:val="61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2" w16cid:durableId="821892045">
    <w:abstractNumId w:val="61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3" w16cid:durableId="1049036460">
    <w:abstractNumId w:val="61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4" w16cid:durableId="1344431655">
    <w:abstractNumId w:val="61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5" w16cid:durableId="660619530">
    <w:abstractNumId w:val="61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6" w16cid:durableId="101194569">
    <w:abstractNumId w:val="61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7" w16cid:durableId="180357876">
    <w:abstractNumId w:val="61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8" w16cid:durableId="951787241">
    <w:abstractNumId w:val="61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69" w16cid:durableId="493423198">
    <w:abstractNumId w:val="61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0" w16cid:durableId="186142671">
    <w:abstractNumId w:val="61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1" w16cid:durableId="499546023">
    <w:abstractNumId w:val="62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2" w16cid:durableId="1466585275">
    <w:abstractNumId w:val="62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3" w16cid:durableId="2070615879">
    <w:abstractNumId w:val="62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4" w16cid:durableId="1281886284">
    <w:abstractNumId w:val="62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5" w16cid:durableId="168834909">
    <w:abstractNumId w:val="62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6" w16cid:durableId="1508907967">
    <w:abstractNumId w:val="62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7" w16cid:durableId="1672216833">
    <w:abstractNumId w:val="62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8" w16cid:durableId="86385199">
    <w:abstractNumId w:val="62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79" w16cid:durableId="835807746">
    <w:abstractNumId w:val="62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0" w16cid:durableId="157577119">
    <w:abstractNumId w:val="62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1" w16cid:durableId="1297175744">
    <w:abstractNumId w:val="63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2" w16cid:durableId="1779332335">
    <w:abstractNumId w:val="63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3" w16cid:durableId="703793364">
    <w:abstractNumId w:val="63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4" w16cid:durableId="1217163163">
    <w:abstractNumId w:val="63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5" w16cid:durableId="1795051969">
    <w:abstractNumId w:val="63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6" w16cid:durableId="224879121">
    <w:abstractNumId w:val="63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7" w16cid:durableId="1135291816">
    <w:abstractNumId w:val="56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8" w16cid:durableId="780149358">
    <w:abstractNumId w:val="56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89" w16cid:durableId="1514302851">
    <w:abstractNumId w:val="56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0" w16cid:durableId="1829976403">
    <w:abstractNumId w:val="567"/>
  </w:num>
  <w:num w:numId="91" w16cid:durableId="569340824">
    <w:abstractNumId w:val="58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2" w16cid:durableId="1955288085">
    <w:abstractNumId w:val="64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3" w16cid:durableId="2109160073">
    <w:abstractNumId w:val="64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4" w16cid:durableId="1901553230">
    <w:abstractNumId w:val="64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5" w16cid:durableId="2030401249">
    <w:abstractNumId w:val="64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6" w16cid:durableId="1759058571">
    <w:abstractNumId w:val="65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7" w16cid:durableId="640159842">
    <w:abstractNumId w:val="65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8" w16cid:durableId="1703096516">
    <w:abstractNumId w:val="65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99" w16cid:durableId="1853493848">
    <w:abstractNumId w:val="65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0" w16cid:durableId="1820419585">
    <w:abstractNumId w:val="65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1" w16cid:durableId="1618827771">
    <w:abstractNumId w:val="65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2" w16cid:durableId="577639125">
    <w:abstractNumId w:val="65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3" w16cid:durableId="1194538419">
    <w:abstractNumId w:val="65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4" w16cid:durableId="1492671703">
    <w:abstractNumId w:val="65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5" w16cid:durableId="1560903064">
    <w:abstractNumId w:val="66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6" w16cid:durableId="226308686">
    <w:abstractNumId w:val="66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7" w16cid:durableId="486438779">
    <w:abstractNumId w:val="66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8" w16cid:durableId="867915093">
    <w:abstractNumId w:val="66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09" w16cid:durableId="1066803225">
    <w:abstractNumId w:val="66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0" w16cid:durableId="1276517232">
    <w:abstractNumId w:val="66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1" w16cid:durableId="945191796">
    <w:abstractNumId w:val="66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2" w16cid:durableId="680551282">
    <w:abstractNumId w:val="66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3" w16cid:durableId="1921865067">
    <w:abstractNumId w:val="66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4" w16cid:durableId="1244684224">
    <w:abstractNumId w:val="66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5" w16cid:durableId="547452948">
    <w:abstractNumId w:val="67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6" w16cid:durableId="963317372">
    <w:abstractNumId w:val="67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7" w16cid:durableId="1092774777">
    <w:abstractNumId w:val="67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8" w16cid:durableId="1704361362">
    <w:abstractNumId w:val="67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19" w16cid:durableId="1838155126">
    <w:abstractNumId w:val="67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0" w16cid:durableId="1998462647">
    <w:abstractNumId w:val="67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1" w16cid:durableId="79983182">
    <w:abstractNumId w:val="67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2" w16cid:durableId="1423064984">
    <w:abstractNumId w:val="67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3" w16cid:durableId="718165479">
    <w:abstractNumId w:val="67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4" w16cid:durableId="1701737950">
    <w:abstractNumId w:val="67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5" w16cid:durableId="1074664575">
    <w:abstractNumId w:val="68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6" w16cid:durableId="60442387">
    <w:abstractNumId w:val="68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7" w16cid:durableId="1778140037">
    <w:abstractNumId w:val="68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8" w16cid:durableId="495536865">
    <w:abstractNumId w:val="68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29" w16cid:durableId="1450394156">
    <w:abstractNumId w:val="68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0" w16cid:durableId="426274552">
    <w:abstractNumId w:val="68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1" w16cid:durableId="1880505375">
    <w:abstractNumId w:val="68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2" w16cid:durableId="541553159">
    <w:abstractNumId w:val="68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3" w16cid:durableId="1398357680">
    <w:abstractNumId w:val="68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4" w16cid:durableId="1433092038">
    <w:abstractNumId w:val="68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5" w16cid:durableId="200243337">
    <w:abstractNumId w:val="69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6" w16cid:durableId="769858344">
    <w:abstractNumId w:val="69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7" w16cid:durableId="1542160364">
    <w:abstractNumId w:val="69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8" w16cid:durableId="263539260">
    <w:abstractNumId w:val="69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39" w16cid:durableId="1296177017">
    <w:abstractNumId w:val="57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0" w16cid:durableId="700326108">
    <w:abstractNumId w:val="58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1" w16cid:durableId="1724061552">
    <w:abstractNumId w:val="63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2" w16cid:durableId="680819271">
    <w:abstractNumId w:val="63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3" w16cid:durableId="1837649328">
    <w:abstractNumId w:val="63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4" w16cid:durableId="1001471467">
    <w:abstractNumId w:val="64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5" w16cid:durableId="1790902761">
    <w:abstractNumId w:val="64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6" w16cid:durableId="1718697192">
    <w:abstractNumId w:val="64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7" w16cid:durableId="1051998600">
    <w:abstractNumId w:val="57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8" w16cid:durableId="1291982116">
    <w:abstractNumId w:val="57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49" w16cid:durableId="626157685">
    <w:abstractNumId w:val="57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0" w16cid:durableId="1003439051">
    <w:abstractNumId w:val="57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1" w16cid:durableId="833256054">
    <w:abstractNumId w:val="57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2" w16cid:durableId="698891430">
    <w:abstractNumId w:val="57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3" w16cid:durableId="792091309">
    <w:abstractNumId w:val="57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4" w16cid:durableId="1160733234">
    <w:abstractNumId w:val="69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5" w16cid:durableId="1796293279">
    <w:abstractNumId w:val="69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6" w16cid:durableId="816263453">
    <w:abstractNumId w:val="69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7" w16cid:durableId="1685814587">
    <w:abstractNumId w:val="69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8" w16cid:durableId="660085326">
    <w:abstractNumId w:val="69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59" w16cid:durableId="1021322474">
    <w:abstractNumId w:val="70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0" w16cid:durableId="1831367376">
    <w:abstractNumId w:val="70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1" w16cid:durableId="1723362204">
    <w:abstractNumId w:val="70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2" w16cid:durableId="1965772540">
    <w:abstractNumId w:val="70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3" w16cid:durableId="1632396572">
    <w:abstractNumId w:val="70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4" w16cid:durableId="240800187">
    <w:abstractNumId w:val="70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5" w16cid:durableId="248739702">
    <w:abstractNumId w:val="70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6" w16cid:durableId="568228449">
    <w:abstractNumId w:val="70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7" w16cid:durableId="487331432">
    <w:abstractNumId w:val="70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8" w16cid:durableId="1504976051">
    <w:abstractNumId w:val="80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69" w16cid:durableId="1335836889">
    <w:abstractNumId w:val="80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0" w16cid:durableId="1740861104">
    <w:abstractNumId w:val="80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1" w16cid:durableId="426973449">
    <w:abstractNumId w:val="80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2" w16cid:durableId="1860390771">
    <w:abstractNumId w:val="80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3" w16cid:durableId="648628457">
    <w:abstractNumId w:val="80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4" w16cid:durableId="980967351">
    <w:abstractNumId w:val="80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5" w16cid:durableId="190653994">
    <w:abstractNumId w:val="80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6" w16cid:durableId="441148843">
    <w:abstractNumId w:val="81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7" w16cid:durableId="1777556786">
    <w:abstractNumId w:val="81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8" w16cid:durableId="778531672">
    <w:abstractNumId w:val="81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79" w16cid:durableId="1642079094">
    <w:abstractNumId w:val="81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0" w16cid:durableId="1777630346">
    <w:abstractNumId w:val="81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1" w16cid:durableId="425346627">
    <w:abstractNumId w:val="81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2" w16cid:durableId="1641567341">
    <w:abstractNumId w:val="81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3" w16cid:durableId="1712535126">
    <w:abstractNumId w:val="81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4" w16cid:durableId="376440123">
    <w:abstractNumId w:val="73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5" w16cid:durableId="1378578380">
    <w:abstractNumId w:val="73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6" w16cid:durableId="313687416">
    <w:abstractNumId w:val="73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7" w16cid:durableId="1457262924">
    <w:abstractNumId w:val="73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8" w16cid:durableId="1161775995">
    <w:abstractNumId w:val="73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89" w16cid:durableId="1998534357">
    <w:abstractNumId w:val="73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0" w16cid:durableId="1924990120">
    <w:abstractNumId w:val="73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1" w16cid:durableId="1570729166">
    <w:abstractNumId w:val="73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2" w16cid:durableId="1917518051">
    <w:abstractNumId w:val="74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3" w16cid:durableId="840000197">
    <w:abstractNumId w:val="74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4" w16cid:durableId="944728320">
    <w:abstractNumId w:val="74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5" w16cid:durableId="2077313510">
    <w:abstractNumId w:val="74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6" w16cid:durableId="1084961914">
    <w:abstractNumId w:val="74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7" w16cid:durableId="1852451847">
    <w:abstractNumId w:val="74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8" w16cid:durableId="1494183861">
    <w:abstractNumId w:val="74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199" w16cid:durableId="991133417">
    <w:abstractNumId w:val="74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0" w16cid:durableId="1506821276">
    <w:abstractNumId w:val="74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1" w16cid:durableId="1883439906">
    <w:abstractNumId w:val="74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2" w16cid:durableId="1910339635">
    <w:abstractNumId w:val="750"/>
  </w:num>
  <w:num w:numId="203" w16cid:durableId="92281993">
    <w:abstractNumId w:val="75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4" w16cid:durableId="1585994811">
    <w:abstractNumId w:val="75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5" w16cid:durableId="2062752629">
    <w:abstractNumId w:val="753"/>
  </w:num>
  <w:num w:numId="206" w16cid:durableId="164057829">
    <w:abstractNumId w:val="75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7" w16cid:durableId="506529027">
    <w:abstractNumId w:val="75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8" w16cid:durableId="54163637">
    <w:abstractNumId w:val="75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09" w16cid:durableId="135221216">
    <w:abstractNumId w:val="75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0" w16cid:durableId="1969579417">
    <w:abstractNumId w:val="75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1" w16cid:durableId="1011448725">
    <w:abstractNumId w:val="75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2" w16cid:durableId="602954454">
    <w:abstractNumId w:val="76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3" w16cid:durableId="18550650">
    <w:abstractNumId w:val="76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4" w16cid:durableId="85424056">
    <w:abstractNumId w:val="76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5" w16cid:durableId="1383214555">
    <w:abstractNumId w:val="76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6" w16cid:durableId="1947958548">
    <w:abstractNumId w:val="76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7" w16cid:durableId="817958439">
    <w:abstractNumId w:val="76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8" w16cid:durableId="966397301">
    <w:abstractNumId w:val="76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19" w16cid:durableId="817459079">
    <w:abstractNumId w:val="76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0" w16cid:durableId="908465770">
    <w:abstractNumId w:val="76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1" w16cid:durableId="1160656490">
    <w:abstractNumId w:val="76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2" w16cid:durableId="993220848">
    <w:abstractNumId w:val="770"/>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3" w16cid:durableId="1489130346">
    <w:abstractNumId w:val="771"/>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4" w16cid:durableId="1867518479">
    <w:abstractNumId w:val="77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5" w16cid:durableId="1321075759">
    <w:abstractNumId w:val="77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6" w16cid:durableId="767771074">
    <w:abstractNumId w:val="77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7" w16cid:durableId="1971592006">
    <w:abstractNumId w:val="77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8" w16cid:durableId="726270721">
    <w:abstractNumId w:val="776"/>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29" w16cid:durableId="1599098041">
    <w:abstractNumId w:val="777"/>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30" w16cid:durableId="1727293056">
    <w:abstractNumId w:val="413"/>
  </w:num>
  <w:num w:numId="231" w16cid:durableId="1436706891">
    <w:abstractNumId w:val="28"/>
  </w:num>
  <w:num w:numId="232" w16cid:durableId="920335842">
    <w:abstractNumId w:val="778"/>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33" w16cid:durableId="1262375573">
    <w:abstractNumId w:val="779"/>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34" w16cid:durableId="2136751341">
    <w:abstractNumId w:val="482"/>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35" w16cid:durableId="1889872506">
    <w:abstractNumId w:val="483"/>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36" w16cid:durableId="1509949860">
    <w:abstractNumId w:val="484"/>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 w:numId="237" w16cid:durableId="1884710940">
    <w:abstractNumId w:val="485"/>
    <w:lvlOverride w:ilvl="0">
      <w:startOverride w:val="1"/>
      <w:lvl w:ilvl="0">
        <w:start w:val="1"/>
        <w:numFmt w:val="bullet"/>
        <w:lvlText w:val="·"/>
        <w:lvlJc w:val="left"/>
        <w:rPr>
          <w:rFonts w:ascii="Symbol" w:hAnsi="Symbol" w:cs="Symbol"/>
        </w:rPr>
      </w:lvl>
    </w:lvlOverride>
    <w:lvlOverride w:ilvl="1">
      <w:startOverride w:val="1"/>
      <w:lvl w:ilvl="1">
        <w:start w:val="1"/>
        <w:numFmt w:val="bullet"/>
        <w:lvlText w:val="·"/>
        <w:lvlJc w:val="left"/>
        <w:rPr>
          <w:rFonts w:ascii="Symbol" w:hAnsi="Symbol" w:cs="Symbol"/>
        </w:rPr>
      </w:lvl>
    </w:lvlOverride>
    <w:lvlOverride w:ilvl="2">
      <w:startOverride w:val="1"/>
      <w:lvl w:ilvl="2">
        <w:start w:val="1"/>
        <w:numFmt w:val="bullet"/>
        <w:lvlText w:val="·"/>
        <w:lvlJc w:val="left"/>
        <w:rPr>
          <w:rFonts w:ascii="Symbol" w:hAnsi="Symbol" w:cs="Symbol"/>
        </w:rPr>
      </w:lvl>
    </w:lvlOverride>
    <w:lvlOverride w:ilvl="3">
      <w:startOverride w:val="1"/>
      <w:lvl w:ilvl="3">
        <w:start w:val="1"/>
        <w:numFmt w:val="bullet"/>
        <w:lvlText w:val="·"/>
        <w:lvlJc w:val="left"/>
        <w:rPr>
          <w:rFonts w:ascii="Symbol" w:hAnsi="Symbol" w:cs="Symbol"/>
        </w:rPr>
      </w:lvl>
    </w:lvlOverride>
    <w:lvlOverride w:ilvl="4">
      <w:startOverride w:val="1"/>
      <w:lvl w:ilvl="4">
        <w:start w:val="1"/>
        <w:numFmt w:val="bullet"/>
        <w:lvlText w:val="·"/>
        <w:lvlJc w:val="left"/>
        <w:rPr>
          <w:rFonts w:ascii="Symbol" w:hAnsi="Symbol" w:cs="Symbol"/>
        </w:rPr>
      </w:lvl>
    </w:lvlOverride>
    <w:lvlOverride w:ilvl="5">
      <w:startOverride w:val="1"/>
      <w:lvl w:ilvl="5">
        <w:start w:val="1"/>
        <w:numFmt w:val="bullet"/>
        <w:lvlText w:val="·"/>
        <w:lvlJc w:val="left"/>
        <w:rPr>
          <w:rFonts w:ascii="Symbol" w:hAnsi="Symbol" w:cs="Symbol"/>
        </w:rPr>
      </w:lvl>
    </w:lvlOverride>
    <w:lvlOverride w:ilvl="6">
      <w:startOverride w:val="1"/>
      <w:lvl w:ilvl="6">
        <w:start w:val="1"/>
        <w:numFmt w:val="bullet"/>
        <w:lvlText w:val="·"/>
        <w:lvlJc w:val="left"/>
        <w:rPr>
          <w:rFonts w:ascii="Symbol" w:hAnsi="Symbol" w:cs="Symbol"/>
        </w:rPr>
      </w:lvl>
    </w:lvlOverride>
    <w:lvlOverride w:ilvl="7">
      <w:startOverride w:val="1"/>
      <w:lvl w:ilvl="7">
        <w:start w:val="1"/>
        <w:numFmt w:val="bullet"/>
        <w:lvlText w:val="·"/>
        <w:lvlJc w:val="left"/>
        <w:rPr>
          <w:rFonts w:ascii="Symbol" w:hAnsi="Symbol" w:cs="Symbol"/>
        </w:rPr>
      </w:lvl>
    </w:lvlOverride>
    <w:lvlOverride w:ilvl="8">
      <w:startOverride w:val="1"/>
      <w:lvl w:ilvl="8">
        <w:start w:val="1"/>
        <w:numFmt w:val="bullet"/>
        <w:lvlText w:val="·"/>
        <w:lvlJc w:val="left"/>
        <w:rPr>
          <w:rFonts w:ascii="Symbol" w:hAnsi="Symbol" w:cs="Symbol"/>
        </w:rPr>
      </w:lvl>
    </w:lvlOverride>
  </w:num>
  <w:numIdMacAtCleanup w:val="2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850"/>
  <w:hyphenationZone w:val="283"/>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pos w:val="sectEnd"/>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574"/>
    <w:rsid w:val="000362C1"/>
    <w:rsid w:val="00046DE6"/>
    <w:rsid w:val="0007334D"/>
    <w:rsid w:val="00095EE6"/>
    <w:rsid w:val="000B6E98"/>
    <w:rsid w:val="000D4555"/>
    <w:rsid w:val="000F19C6"/>
    <w:rsid w:val="00113A29"/>
    <w:rsid w:val="00152E40"/>
    <w:rsid w:val="00156404"/>
    <w:rsid w:val="00172E50"/>
    <w:rsid w:val="001E06B9"/>
    <w:rsid w:val="002007C5"/>
    <w:rsid w:val="002038C7"/>
    <w:rsid w:val="0020572C"/>
    <w:rsid w:val="00256776"/>
    <w:rsid w:val="002B670B"/>
    <w:rsid w:val="002F3A93"/>
    <w:rsid w:val="00331EBA"/>
    <w:rsid w:val="0045339B"/>
    <w:rsid w:val="00453B54"/>
    <w:rsid w:val="00496C3B"/>
    <w:rsid w:val="00525AA3"/>
    <w:rsid w:val="005268E6"/>
    <w:rsid w:val="00564C98"/>
    <w:rsid w:val="0058182C"/>
    <w:rsid w:val="005C37DE"/>
    <w:rsid w:val="005C5E01"/>
    <w:rsid w:val="005E0D6E"/>
    <w:rsid w:val="00612C95"/>
    <w:rsid w:val="006156A0"/>
    <w:rsid w:val="00696E15"/>
    <w:rsid w:val="006A1953"/>
    <w:rsid w:val="00737CF7"/>
    <w:rsid w:val="00752A06"/>
    <w:rsid w:val="0077490D"/>
    <w:rsid w:val="00817BE4"/>
    <w:rsid w:val="008A7A17"/>
    <w:rsid w:val="008C61D6"/>
    <w:rsid w:val="009779A8"/>
    <w:rsid w:val="009A4BF8"/>
    <w:rsid w:val="009A507E"/>
    <w:rsid w:val="009C2813"/>
    <w:rsid w:val="009D45AA"/>
    <w:rsid w:val="009E1175"/>
    <w:rsid w:val="00A03363"/>
    <w:rsid w:val="00A80620"/>
    <w:rsid w:val="00A9316A"/>
    <w:rsid w:val="00AA62A0"/>
    <w:rsid w:val="00AB093B"/>
    <w:rsid w:val="00AD2B35"/>
    <w:rsid w:val="00AF688E"/>
    <w:rsid w:val="00B0209B"/>
    <w:rsid w:val="00B6139E"/>
    <w:rsid w:val="00B90AB2"/>
    <w:rsid w:val="00B928BD"/>
    <w:rsid w:val="00BF0B22"/>
    <w:rsid w:val="00C1303D"/>
    <w:rsid w:val="00C20659"/>
    <w:rsid w:val="00C21116"/>
    <w:rsid w:val="00C37B85"/>
    <w:rsid w:val="00C61870"/>
    <w:rsid w:val="00C97A7B"/>
    <w:rsid w:val="00CC5A03"/>
    <w:rsid w:val="00CC7B07"/>
    <w:rsid w:val="00CD5564"/>
    <w:rsid w:val="00CE03B0"/>
    <w:rsid w:val="00CF1574"/>
    <w:rsid w:val="00D5693E"/>
    <w:rsid w:val="00D6497C"/>
    <w:rsid w:val="00D70728"/>
    <w:rsid w:val="00D96EDC"/>
    <w:rsid w:val="00DD6906"/>
    <w:rsid w:val="00E11D9A"/>
    <w:rsid w:val="00E1517F"/>
    <w:rsid w:val="00E54D35"/>
    <w:rsid w:val="00EE39C2"/>
    <w:rsid w:val="00EF20C0"/>
    <w:rsid w:val="00FA4621"/>
    <w:rsid w:val="00FC0F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79F614"/>
  <w14:defaultImageDpi w14:val="0"/>
  <w15:docId w15:val="{E5478E17-637E-4F31-A78A-0C6EF8139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qFormat="1"/>
    <w:lsdException w:name="Emphasis" w:qFormat="1"/>
    <w:lsdException w:name="Document Map" w:semiHidden="1"/>
    <w:lsdException w:name="Plain Text" w:semiHidden="1"/>
    <w:lsdException w:name="E-mail Signature" w:semiHidden="1" w:unhideWhenUsed="1"/>
    <w:lsdException w:name="HTML Top of Form" w:semiHidden="1" w:unhideWhenUsed="1"/>
    <w:lsdException w:name="HTML Bottom of Form" w:semiHidden="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liases w:val="Testo-normale"/>
    <w:uiPriority w:val="99"/>
    <w:qFormat/>
    <w:pPr>
      <w:widowControl w:val="0"/>
      <w:autoSpaceDE w:val="0"/>
      <w:autoSpaceDN w:val="0"/>
      <w:adjustRightInd w:val="0"/>
      <w:spacing w:after="120" w:line="240" w:lineRule="auto"/>
      <w:jc w:val="both"/>
    </w:pPr>
    <w:rPr>
      <w:rFonts w:ascii="Arial" w:hAnsi="Arial" w:cs="Arial"/>
    </w:rPr>
  </w:style>
  <w:style w:type="paragraph" w:styleId="Titolo1">
    <w:name w:val="heading 1"/>
    <w:aliases w:val="PARTE"/>
    <w:basedOn w:val="Normale"/>
    <w:next w:val="Normale"/>
    <w:link w:val="Titolo1Carattere"/>
    <w:uiPriority w:val="99"/>
    <w:qFormat/>
    <w:pPr>
      <w:spacing w:before="100" w:after="0"/>
      <w:jc w:val="center"/>
      <w:outlineLvl w:val="0"/>
    </w:pPr>
    <w:rPr>
      <w:rFonts w:ascii="Tahoma" w:hAnsi="Tahoma" w:cs="Tahoma"/>
      <w:b/>
      <w:bCs/>
      <w:color w:val="000000"/>
      <w:sz w:val="20"/>
      <w:szCs w:val="20"/>
      <w:shd w:val="clear" w:color="auto" w:fill="FFFFFF"/>
    </w:rPr>
  </w:style>
  <w:style w:type="paragraph" w:styleId="Titolo2">
    <w:name w:val="heading 2"/>
    <w:aliases w:val="Articolo"/>
    <w:basedOn w:val="Normale"/>
    <w:next w:val="Normale"/>
    <w:link w:val="Titolo2Carattere"/>
    <w:uiPriority w:val="99"/>
    <w:qFormat/>
    <w:pPr>
      <w:numPr>
        <w:numId w:val="38"/>
      </w:numPr>
      <w:spacing w:after="160" w:line="259" w:lineRule="auto"/>
      <w:ind w:left="851" w:hanging="491"/>
      <w:outlineLvl w:val="1"/>
    </w:pPr>
    <w:rPr>
      <w:b/>
      <w:bCs/>
    </w:rPr>
  </w:style>
  <w:style w:type="paragraph" w:styleId="Titolo3">
    <w:name w:val="heading 3"/>
    <w:aliases w:val="CAPO Carattere"/>
    <w:basedOn w:val="Normale"/>
    <w:next w:val="Normale"/>
    <w:link w:val="Titolo3Carattere"/>
    <w:uiPriority w:val="99"/>
    <w:qFormat/>
    <w:pPr>
      <w:spacing w:before="100" w:after="0"/>
      <w:jc w:val="center"/>
      <w:outlineLvl w:val="2"/>
    </w:pPr>
    <w:rPr>
      <w:rFonts w:ascii="Tahoma" w:hAnsi="Tahoma" w:cs="Tahoma"/>
      <w:b/>
      <w:bCs/>
      <w:color w:val="000000"/>
      <w:sz w:val="20"/>
      <w:szCs w:val="20"/>
      <w:shd w:val="clear" w:color="auto" w:fill="FFFFFF"/>
    </w:rPr>
  </w:style>
  <w:style w:type="paragraph" w:styleId="Titolo4">
    <w:name w:val="heading 4"/>
    <w:aliases w:val="CAMPO Carattere"/>
    <w:basedOn w:val="Normale"/>
    <w:next w:val="Normale"/>
    <w:link w:val="Titolo4Carattere"/>
    <w:uiPriority w:val="99"/>
    <w:qFormat/>
    <w:pPr>
      <w:spacing w:after="0"/>
      <w:outlineLvl w:val="3"/>
    </w:pPr>
    <w:rPr>
      <w:b/>
      <w:bCs/>
      <w:color w:val="000000"/>
      <w:sz w:val="24"/>
      <w:szCs w:val="24"/>
      <w:shd w:val="clear" w:color="auto" w:fill="FFFFFF"/>
    </w:rPr>
  </w:style>
  <w:style w:type="paragraph" w:styleId="Titolo5">
    <w:name w:val="heading 5"/>
    <w:aliases w:val="ARTICOLO"/>
    <w:basedOn w:val="Normale"/>
    <w:next w:val="Normale"/>
    <w:link w:val="Titolo5Carattere"/>
    <w:uiPriority w:val="99"/>
    <w:qFormat/>
    <w:pPr>
      <w:spacing w:before="60" w:after="0"/>
      <w:outlineLvl w:val="4"/>
    </w:pPr>
    <w:rPr>
      <w:b/>
      <w:bCs/>
      <w:color w:val="000000"/>
      <w:sz w:val="20"/>
      <w:szCs w:val="20"/>
      <w:shd w:val="clear" w:color="auto" w:fill="FFFFFF"/>
    </w:rPr>
  </w:style>
  <w:style w:type="paragraph" w:styleId="Titolo6">
    <w:name w:val="heading 6"/>
    <w:basedOn w:val="Normale"/>
    <w:next w:val="Normale"/>
    <w:link w:val="Titolo6Carattere"/>
    <w:uiPriority w:val="99"/>
    <w:qFormat/>
    <w:pPr>
      <w:keepNext/>
      <w:spacing w:after="0"/>
      <w:jc w:val="center"/>
      <w:outlineLvl w:val="5"/>
    </w:pPr>
    <w:rPr>
      <w:b/>
      <w:bCs/>
      <w:color w:val="000000"/>
      <w:sz w:val="24"/>
      <w:szCs w:val="24"/>
      <w:shd w:val="clear" w:color="auto" w:fill="FFFFFF"/>
    </w:rPr>
  </w:style>
  <w:style w:type="paragraph" w:styleId="Titolo7">
    <w:name w:val="heading 7"/>
    <w:basedOn w:val="Normale"/>
    <w:next w:val="Normale"/>
    <w:link w:val="Titolo7Carattere"/>
    <w:uiPriority w:val="99"/>
    <w:qFormat/>
    <w:pPr>
      <w:keepNext/>
      <w:spacing w:after="0"/>
      <w:jc w:val="center"/>
      <w:outlineLvl w:val="6"/>
    </w:pPr>
    <w:rPr>
      <w:b/>
      <w:bCs/>
      <w:color w:val="000000"/>
      <w:sz w:val="20"/>
      <w:szCs w:val="20"/>
      <w:shd w:val="clear" w:color="auto" w:fill="FFFFFF"/>
    </w:rPr>
  </w:style>
  <w:style w:type="paragraph" w:styleId="Titolo8">
    <w:name w:val="heading 8"/>
    <w:basedOn w:val="Normale"/>
    <w:next w:val="Normale"/>
    <w:link w:val="Titolo8Carattere"/>
    <w:uiPriority w:val="99"/>
    <w:qFormat/>
    <w:pPr>
      <w:tabs>
        <w:tab w:val="left" w:pos="50"/>
        <w:tab w:val="left" w:pos="755"/>
        <w:tab w:val="left" w:pos="1462"/>
        <w:tab w:val="left" w:pos="2182"/>
        <w:tab w:val="left" w:pos="2888"/>
        <w:tab w:val="left" w:pos="3593"/>
        <w:tab w:val="left" w:pos="4299"/>
        <w:tab w:val="left" w:pos="5019"/>
        <w:tab w:val="left" w:pos="5724"/>
        <w:tab w:val="left" w:pos="6430"/>
        <w:tab w:val="left" w:pos="7137"/>
        <w:tab w:val="left" w:pos="7856"/>
      </w:tabs>
      <w:spacing w:after="0"/>
      <w:jc w:val="left"/>
      <w:outlineLvl w:val="7"/>
    </w:pPr>
    <w:rPr>
      <w:color w:val="000000"/>
      <w:sz w:val="24"/>
      <w:szCs w:val="24"/>
      <w:shd w:val="clear" w:color="auto" w:fill="FFFFFF"/>
    </w:rPr>
  </w:style>
  <w:style w:type="paragraph" w:styleId="Titolo9">
    <w:name w:val="heading 9"/>
    <w:basedOn w:val="Normale"/>
    <w:next w:val="Normale"/>
    <w:link w:val="Titolo9Carattere"/>
    <w:uiPriority w:val="99"/>
    <w:qFormat/>
    <w:pPr>
      <w:tabs>
        <w:tab w:val="left" w:pos="50"/>
        <w:tab w:val="left" w:pos="755"/>
        <w:tab w:val="left" w:pos="1462"/>
        <w:tab w:val="left" w:pos="2182"/>
        <w:tab w:val="left" w:pos="2888"/>
        <w:tab w:val="left" w:pos="3593"/>
        <w:tab w:val="left" w:pos="4299"/>
        <w:tab w:val="left" w:pos="5019"/>
        <w:tab w:val="left" w:pos="5724"/>
        <w:tab w:val="left" w:pos="6430"/>
        <w:tab w:val="left" w:pos="7137"/>
        <w:tab w:val="left" w:pos="7856"/>
      </w:tabs>
      <w:spacing w:after="0"/>
      <w:jc w:val="left"/>
      <w:outlineLvl w:val="8"/>
    </w:pPr>
    <w:rPr>
      <w:color w:val="000000"/>
      <w:sz w:val="24"/>
      <w:szCs w:val="24"/>
      <w:shd w:val="clear" w:color="auto" w:fill="FFFFF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paragraph" w:customStyle="1" w:styleId="DefinitionTerm">
    <w:name w:val="Definition Term"/>
    <w:next w:val="DefinitionList"/>
    <w:uiPriority w:val="99"/>
    <w:pPr>
      <w:widowControl w:val="0"/>
      <w:autoSpaceDE w:val="0"/>
      <w:autoSpaceDN w:val="0"/>
      <w:adjustRightInd w:val="0"/>
      <w:spacing w:after="0" w:line="240" w:lineRule="auto"/>
    </w:pPr>
    <w:rPr>
      <w:rFonts w:ascii="Arial" w:hAnsi="Arial" w:cs="Arial"/>
      <w:sz w:val="24"/>
      <w:szCs w:val="24"/>
    </w:rPr>
  </w:style>
  <w:style w:type="paragraph" w:customStyle="1" w:styleId="DefinitionList">
    <w:name w:val="Definition List"/>
    <w:next w:val="DefinitionTerm"/>
    <w:uiPriority w:val="99"/>
    <w:pPr>
      <w:widowControl w:val="0"/>
      <w:autoSpaceDE w:val="0"/>
      <w:autoSpaceDN w:val="0"/>
      <w:adjustRightInd w:val="0"/>
      <w:spacing w:after="0" w:line="240" w:lineRule="auto"/>
      <w:ind w:left="360"/>
    </w:pPr>
    <w:rPr>
      <w:rFonts w:ascii="Arial" w:hAnsi="Arial" w:cs="Arial"/>
      <w:sz w:val="24"/>
      <w:szCs w:val="24"/>
    </w:rPr>
  </w:style>
  <w:style w:type="character" w:customStyle="1" w:styleId="Definition">
    <w:name w:val="Definition"/>
    <w:uiPriority w:val="99"/>
    <w:rPr>
      <w:i/>
      <w:iCs/>
    </w:rPr>
  </w:style>
  <w:style w:type="paragraph" w:customStyle="1" w:styleId="H1">
    <w:name w:val="H1"/>
    <w:next w:val="Normale"/>
    <w:uiPriority w:val="99"/>
    <w:pPr>
      <w:keepNext/>
      <w:widowControl w:val="0"/>
      <w:autoSpaceDE w:val="0"/>
      <w:autoSpaceDN w:val="0"/>
      <w:adjustRightInd w:val="0"/>
      <w:spacing w:before="100" w:after="100" w:line="240" w:lineRule="auto"/>
      <w:outlineLvl w:val="1"/>
    </w:pPr>
    <w:rPr>
      <w:rFonts w:ascii="Arial" w:hAnsi="Arial" w:cs="Arial"/>
      <w:b/>
      <w:bCs/>
      <w:sz w:val="48"/>
      <w:szCs w:val="48"/>
    </w:rPr>
  </w:style>
  <w:style w:type="paragraph" w:customStyle="1" w:styleId="H2">
    <w:name w:val="H2"/>
    <w:next w:val="Normale"/>
    <w:uiPriority w:val="99"/>
    <w:pPr>
      <w:keepNext/>
      <w:widowControl w:val="0"/>
      <w:autoSpaceDE w:val="0"/>
      <w:autoSpaceDN w:val="0"/>
      <w:adjustRightInd w:val="0"/>
      <w:spacing w:before="100" w:after="100" w:line="240" w:lineRule="auto"/>
      <w:outlineLvl w:val="2"/>
    </w:pPr>
    <w:rPr>
      <w:rFonts w:ascii="Arial" w:hAnsi="Arial" w:cs="Arial"/>
      <w:b/>
      <w:bCs/>
      <w:sz w:val="36"/>
      <w:szCs w:val="36"/>
    </w:rPr>
  </w:style>
  <w:style w:type="paragraph" w:customStyle="1" w:styleId="H3">
    <w:name w:val="H3"/>
    <w:next w:val="Normale"/>
    <w:uiPriority w:val="99"/>
    <w:pPr>
      <w:keepNext/>
      <w:widowControl w:val="0"/>
      <w:autoSpaceDE w:val="0"/>
      <w:autoSpaceDN w:val="0"/>
      <w:adjustRightInd w:val="0"/>
      <w:spacing w:before="100" w:after="100" w:line="240" w:lineRule="auto"/>
      <w:outlineLvl w:val="3"/>
    </w:pPr>
    <w:rPr>
      <w:rFonts w:ascii="Arial" w:hAnsi="Arial" w:cs="Arial"/>
      <w:b/>
      <w:bCs/>
      <w:sz w:val="28"/>
      <w:szCs w:val="28"/>
    </w:rPr>
  </w:style>
  <w:style w:type="paragraph" w:customStyle="1" w:styleId="H4">
    <w:name w:val="H4"/>
    <w:next w:val="Normale"/>
    <w:uiPriority w:val="99"/>
    <w:pPr>
      <w:keepNext/>
      <w:widowControl w:val="0"/>
      <w:autoSpaceDE w:val="0"/>
      <w:autoSpaceDN w:val="0"/>
      <w:adjustRightInd w:val="0"/>
      <w:spacing w:before="100" w:after="100" w:line="240" w:lineRule="auto"/>
      <w:outlineLvl w:val="4"/>
    </w:pPr>
    <w:rPr>
      <w:rFonts w:ascii="Arial" w:hAnsi="Arial" w:cs="Arial"/>
      <w:b/>
      <w:bCs/>
      <w:sz w:val="24"/>
      <w:szCs w:val="24"/>
    </w:rPr>
  </w:style>
  <w:style w:type="paragraph" w:customStyle="1" w:styleId="H5">
    <w:name w:val="H5"/>
    <w:next w:val="Normale"/>
    <w:uiPriority w:val="99"/>
    <w:pPr>
      <w:keepNext/>
      <w:widowControl w:val="0"/>
      <w:autoSpaceDE w:val="0"/>
      <w:autoSpaceDN w:val="0"/>
      <w:adjustRightInd w:val="0"/>
      <w:spacing w:before="100" w:after="100" w:line="240" w:lineRule="auto"/>
      <w:outlineLvl w:val="5"/>
    </w:pPr>
    <w:rPr>
      <w:rFonts w:ascii="Arial" w:hAnsi="Arial" w:cs="Arial"/>
      <w:b/>
      <w:bCs/>
      <w:sz w:val="20"/>
      <w:szCs w:val="20"/>
    </w:rPr>
  </w:style>
  <w:style w:type="paragraph" w:customStyle="1" w:styleId="H6">
    <w:name w:val="H6"/>
    <w:next w:val="Normale"/>
    <w:uiPriority w:val="99"/>
    <w:pPr>
      <w:keepNext/>
      <w:widowControl w:val="0"/>
      <w:autoSpaceDE w:val="0"/>
      <w:autoSpaceDN w:val="0"/>
      <w:adjustRightInd w:val="0"/>
      <w:spacing w:before="100" w:after="100" w:line="240" w:lineRule="auto"/>
      <w:outlineLvl w:val="6"/>
    </w:pPr>
    <w:rPr>
      <w:rFonts w:ascii="Arial" w:hAnsi="Arial" w:cs="Arial"/>
      <w:b/>
      <w:bCs/>
      <w:sz w:val="16"/>
      <w:szCs w:val="16"/>
    </w:rPr>
  </w:style>
  <w:style w:type="paragraph" w:customStyle="1" w:styleId="Address">
    <w:name w:val="Address"/>
    <w:next w:val="Normale"/>
    <w:uiPriority w:val="99"/>
    <w:pPr>
      <w:widowControl w:val="0"/>
      <w:autoSpaceDE w:val="0"/>
      <w:autoSpaceDN w:val="0"/>
      <w:adjustRightInd w:val="0"/>
      <w:spacing w:after="0" w:line="240" w:lineRule="auto"/>
    </w:pPr>
    <w:rPr>
      <w:rFonts w:ascii="Arial" w:hAnsi="Arial" w:cs="Arial"/>
      <w:i/>
      <w:iCs/>
      <w:sz w:val="24"/>
      <w:szCs w:val="24"/>
    </w:rPr>
  </w:style>
  <w:style w:type="paragraph" w:customStyle="1" w:styleId="Blockquote">
    <w:name w:val="Blockquote"/>
    <w:next w:val="Normale"/>
    <w:uiPriority w:val="99"/>
    <w:pPr>
      <w:widowControl w:val="0"/>
      <w:autoSpaceDE w:val="0"/>
      <w:autoSpaceDN w:val="0"/>
      <w:adjustRightInd w:val="0"/>
      <w:spacing w:before="100" w:after="100" w:line="240" w:lineRule="auto"/>
      <w:ind w:left="360" w:right="360"/>
    </w:pPr>
    <w:rPr>
      <w:rFonts w:ascii="Arial" w:hAnsi="Arial" w:cs="Arial"/>
      <w:sz w:val="24"/>
      <w:szCs w:val="24"/>
    </w:rPr>
  </w:style>
  <w:style w:type="character" w:customStyle="1" w:styleId="CITE">
    <w:name w:val="CITE"/>
    <w:uiPriority w:val="99"/>
    <w:rPr>
      <w:i/>
      <w:iCs/>
    </w:rPr>
  </w:style>
  <w:style w:type="character" w:customStyle="1" w:styleId="CODE">
    <w:name w:val="CODE"/>
    <w:uiPriority w:val="99"/>
    <w:rPr>
      <w:rFonts w:ascii="Courier New" w:hAnsi="Courier New" w:cs="Courier New"/>
      <w:sz w:val="20"/>
      <w:szCs w:val="20"/>
    </w:rPr>
  </w:style>
  <w:style w:type="character" w:styleId="Enfasicorsivo">
    <w:name w:val="Emphasis"/>
    <w:basedOn w:val="Carpredefinitoparagrafo"/>
    <w:uiPriority w:val="99"/>
    <w:qFormat/>
    <w:rPr>
      <w:i/>
      <w:iCs/>
      <w:color w:val="000000"/>
      <w:shd w:val="clear" w:color="auto" w:fill="FFFFFF"/>
    </w:rPr>
  </w:style>
  <w:style w:type="character" w:styleId="Collegamentoipertestuale">
    <w:name w:val="Hyperlink"/>
    <w:basedOn w:val="Carpredefinitoparagrafo"/>
    <w:uiPriority w:val="99"/>
    <w:rPr>
      <w:color w:val="0000FF"/>
      <w:u w:val="single"/>
      <w:shd w:val="clear" w:color="auto" w:fill="FFFFFF"/>
    </w:rPr>
  </w:style>
  <w:style w:type="character" w:styleId="Collegamentovisitato">
    <w:name w:val="FollowedHyperlink"/>
    <w:basedOn w:val="Carpredefinitoparagrafo"/>
    <w:uiPriority w:val="99"/>
    <w:rPr>
      <w:color w:val="800080"/>
      <w:u w:val="single"/>
      <w:shd w:val="clear" w:color="auto" w:fill="FFFFFF"/>
    </w:rPr>
  </w:style>
  <w:style w:type="character" w:customStyle="1" w:styleId="Keyboard">
    <w:name w:val="Keyboard"/>
    <w:uiPriority w:val="99"/>
    <w:rPr>
      <w:rFonts w:ascii="Courier New" w:hAnsi="Courier New" w:cs="Courier New"/>
      <w:b/>
      <w:bCs/>
      <w:sz w:val="20"/>
      <w:szCs w:val="20"/>
    </w:rPr>
  </w:style>
  <w:style w:type="paragraph" w:customStyle="1" w:styleId="Preformatted">
    <w:name w:val="Preformatted"/>
    <w:next w:val="Normale"/>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after="0" w:line="240" w:lineRule="auto"/>
    </w:pPr>
    <w:rPr>
      <w:rFonts w:ascii="Courier New" w:hAnsi="Courier New" w:cs="Courier New"/>
      <w:sz w:val="20"/>
      <w:szCs w:val="20"/>
    </w:rPr>
  </w:style>
  <w:style w:type="paragraph" w:customStyle="1" w:styleId="z-BottomofForm">
    <w:name w:val="z-Bottom of Form"/>
    <w:next w:val="Normale"/>
    <w:uiPriority w:val="99"/>
    <w:pPr>
      <w:widowControl w:val="0"/>
      <w:pBdr>
        <w:top w:val="double" w:sz="6" w:space="0" w:color="000000"/>
      </w:pBdr>
      <w:autoSpaceDE w:val="0"/>
      <w:autoSpaceDN w:val="0"/>
      <w:adjustRightInd w:val="0"/>
      <w:spacing w:after="0" w:line="240" w:lineRule="auto"/>
      <w:jc w:val="center"/>
    </w:pPr>
    <w:rPr>
      <w:rFonts w:ascii="Arial" w:hAnsi="Arial" w:cs="Arial"/>
      <w:vanish/>
      <w:sz w:val="16"/>
      <w:szCs w:val="16"/>
    </w:rPr>
  </w:style>
  <w:style w:type="paragraph" w:customStyle="1" w:styleId="z-TopofForm">
    <w:name w:val="z-Top of Form"/>
    <w:next w:val="Normale"/>
    <w:uiPriority w:val="99"/>
    <w:pPr>
      <w:widowControl w:val="0"/>
      <w:pBdr>
        <w:bottom w:val="double" w:sz="6" w:space="0" w:color="000000"/>
      </w:pBdr>
      <w:autoSpaceDE w:val="0"/>
      <w:autoSpaceDN w:val="0"/>
      <w:adjustRightInd w:val="0"/>
      <w:spacing w:after="0" w:line="240" w:lineRule="auto"/>
      <w:jc w:val="center"/>
    </w:pPr>
    <w:rPr>
      <w:rFonts w:ascii="Arial" w:hAnsi="Arial" w:cs="Arial"/>
      <w:vanish/>
      <w:sz w:val="16"/>
      <w:szCs w:val="16"/>
    </w:rPr>
  </w:style>
  <w:style w:type="character" w:customStyle="1" w:styleId="Sample">
    <w:name w:val="Sample"/>
    <w:uiPriority w:val="99"/>
    <w:rPr>
      <w:rFonts w:ascii="Courier New" w:hAnsi="Courier New" w:cs="Courier New"/>
    </w:rPr>
  </w:style>
  <w:style w:type="character" w:styleId="Enfasigrassetto">
    <w:name w:val="Strong"/>
    <w:basedOn w:val="Carpredefinitoparagrafo"/>
    <w:uiPriority w:val="99"/>
    <w:qFormat/>
    <w:rPr>
      <w:b/>
      <w:bCs/>
      <w:color w:val="000000"/>
      <w:shd w:val="clear" w:color="auto" w:fill="FFFFFF"/>
    </w:rPr>
  </w:style>
  <w:style w:type="character" w:customStyle="1" w:styleId="Typewriter">
    <w:name w:val="Typewriter"/>
    <w:uiPriority w:val="99"/>
    <w:rPr>
      <w:rFonts w:ascii="Courier New" w:hAnsi="Courier New" w:cs="Courier New"/>
      <w:sz w:val="20"/>
      <w:szCs w:val="20"/>
    </w:rPr>
  </w:style>
  <w:style w:type="character" w:customStyle="1" w:styleId="Variable">
    <w:name w:val="Variable"/>
    <w:uiPriority w:val="99"/>
    <w:rPr>
      <w:i/>
      <w:iCs/>
    </w:rPr>
  </w:style>
  <w:style w:type="character" w:customStyle="1" w:styleId="HTMLMarkup">
    <w:name w:val="HTML Markup"/>
    <w:uiPriority w:val="99"/>
    <w:rPr>
      <w:vanish/>
      <w:color w:val="FF0000"/>
    </w:rPr>
  </w:style>
  <w:style w:type="character" w:customStyle="1" w:styleId="Comment">
    <w:name w:val="Comment"/>
    <w:uiPriority w:val="99"/>
    <w:rPr>
      <w:vanish/>
    </w:rPr>
  </w:style>
  <w:style w:type="character" w:customStyle="1" w:styleId="Titolo4Carattere">
    <w:name w:val="Titolo 4 Carattere"/>
    <w:aliases w:val="CAMPO Carattere Carattere"/>
    <w:basedOn w:val="Carpredefinitoparagrafo"/>
    <w:link w:val="Titolo4"/>
    <w:uiPriority w:val="99"/>
    <w:rPr>
      <w:b/>
      <w:bCs/>
    </w:rPr>
  </w:style>
  <w:style w:type="paragraph" w:styleId="Corpotesto">
    <w:name w:val="Body Text"/>
    <w:basedOn w:val="Normale"/>
    <w:link w:val="CorpotestoCarattere"/>
    <w:uiPriority w:val="99"/>
    <w:pPr>
      <w:spacing w:after="0"/>
    </w:pPr>
    <w:rPr>
      <w:sz w:val="24"/>
      <w:szCs w:val="24"/>
    </w:rPr>
  </w:style>
  <w:style w:type="character" w:customStyle="1" w:styleId="CorpotestoCarattere">
    <w:name w:val="Corpo testo Carattere"/>
    <w:basedOn w:val="Carpredefinitoparagrafo"/>
    <w:link w:val="Corpotesto"/>
    <w:uiPriority w:val="99"/>
  </w:style>
  <w:style w:type="paragraph" w:styleId="Rientrocorpodeltesto">
    <w:name w:val="Body Text Indent"/>
    <w:basedOn w:val="Normale"/>
    <w:link w:val="RientrocorpodeltestoCarattere"/>
    <w:uiPriority w:val="99"/>
    <w:pPr>
      <w:spacing w:after="0"/>
      <w:ind w:left="360"/>
      <w:jc w:val="left"/>
    </w:pPr>
    <w:rPr>
      <w:sz w:val="24"/>
      <w:szCs w:val="24"/>
    </w:rPr>
  </w:style>
  <w:style w:type="character" w:customStyle="1" w:styleId="RientrocorpodeltestoCarattere">
    <w:name w:val="Rientro corpo del testo Carattere"/>
    <w:basedOn w:val="Carpredefinitoparagrafo"/>
    <w:link w:val="Rientrocorpodeltesto"/>
    <w:uiPriority w:val="99"/>
  </w:style>
  <w:style w:type="paragraph" w:styleId="Rientrocorpodeltesto2">
    <w:name w:val="Body Text Indent 2"/>
    <w:basedOn w:val="Normale"/>
    <w:link w:val="Rientrocorpodeltesto2Carattere"/>
    <w:uiPriority w:val="99"/>
    <w:pPr>
      <w:spacing w:after="0"/>
      <w:ind w:left="1440"/>
    </w:pPr>
    <w:rPr>
      <w:sz w:val="24"/>
      <w:szCs w:val="24"/>
    </w:rPr>
  </w:style>
  <w:style w:type="character" w:customStyle="1" w:styleId="Rientrocorpodeltesto2Carattere">
    <w:name w:val="Rientro corpo del testo 2 Carattere"/>
    <w:basedOn w:val="Carpredefinitoparagrafo"/>
    <w:link w:val="Rientrocorpodeltesto2"/>
    <w:uiPriority w:val="99"/>
    <w:semiHidden/>
    <w:rPr>
      <w:rFonts w:ascii="Arial" w:hAnsi="Arial" w:cs="Arial"/>
      <w:sz w:val="24"/>
      <w:szCs w:val="24"/>
    </w:rPr>
  </w:style>
  <w:style w:type="paragraph" w:customStyle="1" w:styleId="Stile">
    <w:name w:val="Stile"/>
    <w:next w:val="Normale"/>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Default">
    <w:name w:val="Default"/>
    <w:next w:val="Normale"/>
    <w:uiPriority w:val="99"/>
    <w:pPr>
      <w:widowControl w:val="0"/>
      <w:autoSpaceDE w:val="0"/>
      <w:autoSpaceDN w:val="0"/>
      <w:adjustRightInd w:val="0"/>
      <w:spacing w:after="0" w:line="240" w:lineRule="auto"/>
    </w:pPr>
    <w:rPr>
      <w:rFonts w:ascii="Arial" w:hAnsi="Arial" w:cs="Arial"/>
      <w:color w:val="000000"/>
      <w:sz w:val="24"/>
      <w:szCs w:val="24"/>
    </w:rPr>
  </w:style>
  <w:style w:type="paragraph" w:styleId="Intestazione">
    <w:name w:val="header"/>
    <w:basedOn w:val="Normale"/>
    <w:next w:val="Normale"/>
    <w:link w:val="IntestazioneCarattere"/>
    <w:uiPriority w:val="99"/>
    <w:pPr>
      <w:spacing w:after="0"/>
      <w:jc w:val="left"/>
    </w:pPr>
    <w:rPr>
      <w:color w:val="000000"/>
      <w:sz w:val="20"/>
      <w:szCs w:val="20"/>
      <w:shd w:val="clear" w:color="auto" w:fill="FFFFFF"/>
    </w:rPr>
  </w:style>
  <w:style w:type="character" w:customStyle="1" w:styleId="IntestazioneCarattere">
    <w:name w:val="Intestazione Carattere"/>
    <w:basedOn w:val="Carpredefinitoparagrafo"/>
    <w:link w:val="Intestazione"/>
    <w:uiPriority w:val="99"/>
    <w:rPr>
      <w:rFonts w:ascii="Verdana" w:hAnsi="Verdana" w:cs="Verdana"/>
      <w:sz w:val="20"/>
      <w:szCs w:val="20"/>
    </w:rPr>
  </w:style>
  <w:style w:type="paragraph" w:customStyle="1" w:styleId="Liv4">
    <w:name w:val="Liv4"/>
    <w:next w:val="Normale"/>
    <w:uiPriority w:val="99"/>
    <w:pPr>
      <w:widowControl w:val="0"/>
      <w:autoSpaceDE w:val="0"/>
      <w:autoSpaceDN w:val="0"/>
      <w:adjustRightInd w:val="0"/>
      <w:spacing w:before="120" w:after="0" w:line="240" w:lineRule="auto"/>
      <w:ind w:firstLine="113"/>
    </w:pPr>
    <w:rPr>
      <w:rFonts w:ascii="Arial" w:hAnsi="Arial" w:cs="Arial"/>
      <w:b/>
      <w:bCs/>
      <w:i/>
      <w:iCs/>
      <w:color w:val="000000"/>
      <w:sz w:val="16"/>
      <w:szCs w:val="16"/>
      <w:shd w:val="clear" w:color="auto" w:fill="FFFFFF"/>
    </w:rPr>
  </w:style>
  <w:style w:type="character" w:customStyle="1" w:styleId="Titolo2Carattere">
    <w:name w:val="Titolo 2 Carattere"/>
    <w:aliases w:val="Articolo Carattere"/>
    <w:basedOn w:val="Carpredefinitoparagrafo"/>
    <w:link w:val="Titolo2"/>
    <w:uiPriority w:val="99"/>
    <w:rPr>
      <w:rFonts w:ascii="Arial" w:hAnsi="Arial" w:cs="Arial"/>
      <w:b/>
      <w:bCs/>
    </w:rPr>
  </w:style>
  <w:style w:type="paragraph" w:customStyle="1" w:styleId="Terminedefinizione">
    <w:name w:val="Termine definizione"/>
    <w:next w:val="Elencodefinizione"/>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Elencodefinizione">
    <w:name w:val="Elenco definizione"/>
    <w:next w:val="Terminedefinizione"/>
    <w:uiPriority w:val="99"/>
    <w:pPr>
      <w:widowControl w:val="0"/>
      <w:autoSpaceDE w:val="0"/>
      <w:autoSpaceDN w:val="0"/>
      <w:adjustRightInd w:val="0"/>
      <w:spacing w:after="0" w:line="240" w:lineRule="auto"/>
      <w:ind w:left="360"/>
    </w:pPr>
    <w:rPr>
      <w:rFonts w:ascii="Arial" w:hAnsi="Arial" w:cs="Arial"/>
      <w:color w:val="000000"/>
      <w:sz w:val="24"/>
      <w:szCs w:val="24"/>
      <w:shd w:val="clear" w:color="auto" w:fill="FFFFFF"/>
    </w:rPr>
  </w:style>
  <w:style w:type="character" w:customStyle="1" w:styleId="Definizione">
    <w:name w:val="Definizione"/>
    <w:uiPriority w:val="99"/>
    <w:rPr>
      <w:i/>
      <w:iCs/>
      <w:color w:val="000000"/>
      <w:shd w:val="clear" w:color="auto" w:fill="FFFFFF"/>
    </w:rPr>
  </w:style>
  <w:style w:type="paragraph" w:customStyle="1" w:styleId="Indirizzo">
    <w:name w:val="Indirizzo"/>
    <w:next w:val="Normale"/>
    <w:uiPriority w:val="99"/>
    <w:pPr>
      <w:widowControl w:val="0"/>
      <w:autoSpaceDE w:val="0"/>
      <w:autoSpaceDN w:val="0"/>
      <w:adjustRightInd w:val="0"/>
      <w:spacing w:after="0" w:line="240" w:lineRule="auto"/>
    </w:pPr>
    <w:rPr>
      <w:rFonts w:ascii="Arial" w:hAnsi="Arial" w:cs="Arial"/>
      <w:i/>
      <w:iCs/>
      <w:color w:val="000000"/>
      <w:sz w:val="24"/>
      <w:szCs w:val="24"/>
      <w:shd w:val="clear" w:color="auto" w:fill="FFFFFF"/>
    </w:rPr>
  </w:style>
  <w:style w:type="character" w:customStyle="1" w:styleId="Tastiera">
    <w:name w:val="Tastiera"/>
    <w:uiPriority w:val="99"/>
    <w:rPr>
      <w:rFonts w:ascii="Courier New" w:hAnsi="Courier New" w:cs="Courier New"/>
      <w:b/>
      <w:bCs/>
      <w:color w:val="000000"/>
      <w:sz w:val="20"/>
      <w:szCs w:val="20"/>
      <w:shd w:val="clear" w:color="auto" w:fill="FFFFFF"/>
    </w:rPr>
  </w:style>
  <w:style w:type="paragraph" w:customStyle="1" w:styleId="Preformattato">
    <w:name w:val="Preformattato"/>
    <w:next w:val="Normale"/>
    <w:uiPriority w:val="99"/>
    <w:pPr>
      <w:widowControl w:val="0"/>
      <w:autoSpaceDE w:val="0"/>
      <w:autoSpaceDN w:val="0"/>
      <w:adjustRightInd w:val="0"/>
      <w:spacing w:after="0" w:line="240" w:lineRule="auto"/>
    </w:pPr>
    <w:rPr>
      <w:rFonts w:ascii="Courier New" w:hAnsi="Courier New" w:cs="Courier New"/>
      <w:color w:val="000000"/>
      <w:sz w:val="20"/>
      <w:szCs w:val="20"/>
      <w:shd w:val="clear" w:color="auto" w:fill="FFFFFF"/>
    </w:rPr>
  </w:style>
  <w:style w:type="character" w:customStyle="1" w:styleId="Esempio">
    <w:name w:val="Esempio"/>
    <w:uiPriority w:val="99"/>
    <w:rPr>
      <w:rFonts w:ascii="Courier New" w:hAnsi="Courier New" w:cs="Courier New"/>
      <w:color w:val="000000"/>
      <w:shd w:val="clear" w:color="auto" w:fill="FFFFFF"/>
    </w:rPr>
  </w:style>
  <w:style w:type="character" w:customStyle="1" w:styleId="Macchinadascrivere">
    <w:name w:val="Macchina da scrivere"/>
    <w:uiPriority w:val="99"/>
    <w:rPr>
      <w:rFonts w:ascii="Courier New" w:hAnsi="Courier New" w:cs="Courier New"/>
      <w:color w:val="000000"/>
      <w:sz w:val="20"/>
      <w:szCs w:val="20"/>
      <w:shd w:val="clear" w:color="auto" w:fill="FFFFFF"/>
    </w:rPr>
  </w:style>
  <w:style w:type="character" w:customStyle="1" w:styleId="Variabile">
    <w:name w:val="Variabile"/>
    <w:uiPriority w:val="99"/>
    <w:rPr>
      <w:i/>
      <w:iCs/>
      <w:color w:val="000000"/>
      <w:shd w:val="clear" w:color="auto" w:fill="FFFFFF"/>
    </w:rPr>
  </w:style>
  <w:style w:type="character" w:customStyle="1" w:styleId="Commento">
    <w:name w:val="Commento"/>
    <w:uiPriority w:val="99"/>
    <w:rPr>
      <w:vanish/>
      <w:color w:val="000000"/>
      <w:shd w:val="clear" w:color="auto" w:fill="FFFFFF"/>
    </w:rPr>
  </w:style>
  <w:style w:type="paragraph" w:customStyle="1" w:styleId="primo-livello">
    <w:name w:val="primo-livello"/>
    <w:uiPriority w:val="99"/>
    <w:pPr>
      <w:widowControl w:val="0"/>
      <w:autoSpaceDE w:val="0"/>
      <w:autoSpaceDN w:val="0"/>
      <w:adjustRightInd w:val="0"/>
      <w:spacing w:before="100" w:after="100" w:line="240" w:lineRule="auto"/>
    </w:pPr>
    <w:rPr>
      <w:rFonts w:ascii="Arial" w:hAnsi="Arial" w:cs="Arial"/>
      <w:color w:val="000000"/>
      <w:sz w:val="24"/>
      <w:szCs w:val="24"/>
      <w:shd w:val="clear" w:color="auto" w:fill="FFFFFF"/>
    </w:rPr>
  </w:style>
  <w:style w:type="paragraph" w:customStyle="1" w:styleId="livello-alfabetico">
    <w:name w:val="livello-alfabetico"/>
    <w:uiPriority w:val="99"/>
    <w:pPr>
      <w:widowControl w:val="0"/>
      <w:autoSpaceDE w:val="0"/>
      <w:autoSpaceDN w:val="0"/>
      <w:adjustRightInd w:val="0"/>
      <w:spacing w:before="100" w:after="100" w:line="240" w:lineRule="auto"/>
    </w:pPr>
    <w:rPr>
      <w:rFonts w:ascii="Arial" w:hAnsi="Arial" w:cs="Arial"/>
      <w:color w:val="000000"/>
      <w:sz w:val="24"/>
      <w:szCs w:val="24"/>
      <w:shd w:val="clear" w:color="auto" w:fill="FFFFFF"/>
    </w:rPr>
  </w:style>
  <w:style w:type="paragraph" w:styleId="Testofumetto">
    <w:name w:val="Balloon Text"/>
    <w:basedOn w:val="Normale"/>
    <w:link w:val="TestofumettoCarattere"/>
    <w:uiPriority w:val="99"/>
    <w:pPr>
      <w:spacing w:after="0"/>
      <w:jc w:val="left"/>
    </w:pPr>
    <w:rPr>
      <w:rFonts w:ascii="Tahoma" w:hAnsi="Tahoma" w:cs="Tahoma"/>
      <w:color w:val="000000"/>
      <w:sz w:val="16"/>
      <w:szCs w:val="16"/>
      <w:shd w:val="clear" w:color="auto" w:fill="FFFFFF"/>
    </w:rPr>
  </w:style>
  <w:style w:type="character" w:customStyle="1" w:styleId="TestofumettoCarattere">
    <w:name w:val="Testo fumetto Carattere"/>
    <w:basedOn w:val="Carpredefinitoparagrafo"/>
    <w:link w:val="Testofumetto"/>
    <w:uiPriority w:val="99"/>
    <w:rPr>
      <w:rFonts w:ascii="Tahoma" w:hAnsi="Tahoma" w:cs="Tahoma"/>
      <w:sz w:val="16"/>
      <w:szCs w:val="16"/>
    </w:rPr>
  </w:style>
  <w:style w:type="paragraph" w:styleId="Rientrocorpodeltesto3">
    <w:name w:val="Body Text Indent 3"/>
    <w:basedOn w:val="Normale"/>
    <w:link w:val="Rientrocorpodeltesto3Carattere"/>
    <w:uiPriority w:val="99"/>
    <w:pPr>
      <w:spacing w:after="0"/>
      <w:ind w:firstLine="708"/>
    </w:pPr>
    <w:rPr>
      <w:color w:val="000000"/>
      <w:sz w:val="24"/>
      <w:szCs w:val="24"/>
      <w:shd w:val="clear" w:color="auto" w:fill="FFFFFF"/>
    </w:rPr>
  </w:style>
  <w:style w:type="character" w:customStyle="1" w:styleId="Rientrocorpodeltesto3Carattere">
    <w:name w:val="Rientro corpo del testo 3 Carattere"/>
    <w:basedOn w:val="Carpredefinitoparagrafo"/>
    <w:link w:val="Rientrocorpodeltesto3"/>
    <w:uiPriority w:val="99"/>
    <w:semiHidden/>
    <w:rPr>
      <w:rFonts w:ascii="Arial" w:hAnsi="Arial" w:cs="Arial"/>
      <w:sz w:val="16"/>
      <w:szCs w:val="16"/>
    </w:rPr>
  </w:style>
  <w:style w:type="paragraph" w:styleId="NormaleWeb">
    <w:name w:val="Normal (Web)"/>
    <w:basedOn w:val="Normale"/>
    <w:uiPriority w:val="99"/>
    <w:pPr>
      <w:spacing w:before="100" w:after="100"/>
      <w:jc w:val="left"/>
    </w:pPr>
    <w:rPr>
      <w:color w:val="000000"/>
      <w:sz w:val="24"/>
      <w:szCs w:val="24"/>
      <w:shd w:val="clear" w:color="auto" w:fill="FFFFFF"/>
    </w:rPr>
  </w:style>
  <w:style w:type="paragraph" w:styleId="Mappadocumento">
    <w:name w:val="Document Map"/>
    <w:basedOn w:val="Normale"/>
    <w:link w:val="MappadocumentoCarattere"/>
    <w:uiPriority w:val="99"/>
    <w:pPr>
      <w:spacing w:after="0"/>
      <w:jc w:val="left"/>
    </w:pPr>
    <w:rPr>
      <w:rFonts w:ascii="Tahoma" w:hAnsi="Tahoma" w:cs="Tahoma"/>
      <w:color w:val="000000"/>
      <w:sz w:val="24"/>
      <w:szCs w:val="24"/>
      <w:shd w:val="clear" w:color="auto" w:fill="FFFFFF"/>
    </w:rPr>
  </w:style>
  <w:style w:type="character" w:customStyle="1" w:styleId="MappadocumentoCarattere">
    <w:name w:val="Mappa documento Carattere"/>
    <w:basedOn w:val="Carpredefinitoparagrafo"/>
    <w:link w:val="Mappadocumento"/>
    <w:uiPriority w:val="99"/>
    <w:semiHidden/>
    <w:rPr>
      <w:rFonts w:ascii="Segoe UI" w:hAnsi="Segoe UI" w:cs="Segoe UI"/>
      <w:sz w:val="16"/>
      <w:szCs w:val="16"/>
    </w:rPr>
  </w:style>
  <w:style w:type="paragraph" w:styleId="Corpodeltesto2">
    <w:name w:val="Body Text 2"/>
    <w:basedOn w:val="Normale"/>
    <w:link w:val="Corpodeltesto2Carattere"/>
    <w:uiPriority w:val="99"/>
    <w:pPr>
      <w:spacing w:after="0"/>
      <w:ind w:left="1416" w:hanging="1416"/>
    </w:pPr>
    <w:rPr>
      <w:color w:val="000000"/>
      <w:sz w:val="20"/>
      <w:szCs w:val="20"/>
      <w:shd w:val="clear" w:color="auto" w:fill="FFFFFF"/>
    </w:rPr>
  </w:style>
  <w:style w:type="character" w:customStyle="1" w:styleId="Corpodeltesto2Carattere">
    <w:name w:val="Corpo del testo 2 Carattere"/>
    <w:basedOn w:val="Carpredefinitoparagrafo"/>
    <w:link w:val="Corpodeltesto2"/>
    <w:uiPriority w:val="99"/>
    <w:semiHidden/>
    <w:rPr>
      <w:rFonts w:ascii="Arial" w:hAnsi="Arial" w:cs="Arial"/>
      <w:sz w:val="24"/>
      <w:szCs w:val="24"/>
    </w:rPr>
  </w:style>
  <w:style w:type="paragraph" w:styleId="Pidipagina">
    <w:name w:val="footer"/>
    <w:basedOn w:val="Normale"/>
    <w:link w:val="PidipaginaCarattere"/>
    <w:uiPriority w:val="99"/>
    <w:pPr>
      <w:spacing w:after="0"/>
      <w:jc w:val="left"/>
    </w:pPr>
    <w:rPr>
      <w:color w:val="000000"/>
      <w:sz w:val="24"/>
      <w:szCs w:val="24"/>
      <w:shd w:val="clear" w:color="auto" w:fill="FFFFFF"/>
    </w:rPr>
  </w:style>
  <w:style w:type="character" w:customStyle="1" w:styleId="PidipaginaCarattere">
    <w:name w:val="Piè di pagina Carattere"/>
    <w:basedOn w:val="Carpredefinitoparagrafo"/>
    <w:link w:val="Pidipagina"/>
    <w:uiPriority w:val="99"/>
    <w:rPr>
      <w:rFonts w:ascii="Times New Roman" w:hAnsi="Times New Roman" w:cs="Times New Roman"/>
    </w:rPr>
  </w:style>
  <w:style w:type="character" w:styleId="Numeropagina">
    <w:name w:val="page number"/>
    <w:basedOn w:val="Carpredefinitoparagrafo"/>
    <w:uiPriority w:val="99"/>
    <w:rPr>
      <w:color w:val="000000"/>
      <w:shd w:val="clear" w:color="auto" w:fill="FFFFFF"/>
    </w:rPr>
  </w:style>
  <w:style w:type="paragraph" w:styleId="Finemodulo-z">
    <w:name w:val="HTML Bottom of Form"/>
    <w:basedOn w:val="Normale"/>
    <w:next w:val="Normale"/>
    <w:link w:val="Finemodulo-zCarattere"/>
    <w:uiPriority w:val="99"/>
    <w:pPr>
      <w:pBdr>
        <w:top w:val="single" w:sz="6" w:space="0" w:color="auto"/>
      </w:pBdr>
      <w:spacing w:after="0"/>
      <w:jc w:val="center"/>
    </w:pPr>
    <w:rPr>
      <w:vanish/>
      <w:color w:val="0033CC"/>
      <w:sz w:val="16"/>
      <w:szCs w:val="16"/>
      <w:shd w:val="clear" w:color="auto" w:fill="FFFFFF"/>
    </w:rPr>
  </w:style>
  <w:style w:type="character" w:customStyle="1" w:styleId="Finemodulo-zCarattere">
    <w:name w:val="Fine modulo -z Carattere"/>
    <w:basedOn w:val="Carpredefinitoparagrafo"/>
    <w:link w:val="Finemodulo-z"/>
    <w:uiPriority w:val="99"/>
    <w:semiHidden/>
    <w:rPr>
      <w:rFonts w:ascii="Arial" w:hAnsi="Arial" w:cs="Arial"/>
      <w:vanish/>
      <w:sz w:val="16"/>
      <w:szCs w:val="16"/>
    </w:rPr>
  </w:style>
  <w:style w:type="character" w:customStyle="1" w:styleId="Titolo1Carattere">
    <w:name w:val="Titolo 1 Carattere"/>
    <w:aliases w:val="PARTE Carattere"/>
    <w:basedOn w:val="Carpredefinitoparagrafo"/>
    <w:link w:val="Titolo1"/>
    <w:uiPriority w:val="99"/>
    <w:rPr>
      <w:b/>
      <w:bCs/>
      <w:sz w:val="32"/>
      <w:szCs w:val="32"/>
    </w:rPr>
  </w:style>
  <w:style w:type="character" w:customStyle="1" w:styleId="hcp5">
    <w:name w:val="hcp5"/>
    <w:uiPriority w:val="99"/>
    <w:rPr>
      <w:color w:val="000000"/>
      <w:shd w:val="clear" w:color="auto" w:fill="FFFFFF"/>
    </w:rPr>
  </w:style>
  <w:style w:type="paragraph" w:customStyle="1" w:styleId="Stile6">
    <w:name w:val="Stile6"/>
    <w:next w:val="Normale"/>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mnormale">
    <w:name w:val="mnormale"/>
    <w:uiPriority w:val="99"/>
    <w:pPr>
      <w:widowControl w:val="0"/>
      <w:autoSpaceDE w:val="0"/>
      <w:autoSpaceDN w:val="0"/>
      <w:adjustRightInd w:val="0"/>
      <w:spacing w:before="100" w:after="100" w:line="240" w:lineRule="auto"/>
    </w:pPr>
    <w:rPr>
      <w:rFonts w:ascii="Arial" w:hAnsi="Arial" w:cs="Arial"/>
      <w:color w:val="000000"/>
      <w:sz w:val="24"/>
      <w:szCs w:val="24"/>
      <w:shd w:val="clear" w:color="auto" w:fill="FFFFFF"/>
    </w:rPr>
  </w:style>
  <w:style w:type="paragraph" w:customStyle="1" w:styleId="ItaOggi">
    <w:name w:val="ItaOggi"/>
    <w:uiPriority w:val="99"/>
    <w:pPr>
      <w:widowControl w:val="0"/>
      <w:autoSpaceDE w:val="0"/>
      <w:autoSpaceDN w:val="0"/>
      <w:adjustRightInd w:val="0"/>
      <w:spacing w:after="0" w:line="200" w:lineRule="exact"/>
      <w:ind w:firstLine="170"/>
      <w:jc w:val="both"/>
    </w:pPr>
    <w:rPr>
      <w:rFonts w:ascii="Arial" w:hAnsi="Arial" w:cs="Arial"/>
      <w:color w:val="000000"/>
      <w:sz w:val="18"/>
      <w:szCs w:val="18"/>
      <w:shd w:val="clear" w:color="auto" w:fill="FFFFFF"/>
    </w:rPr>
  </w:style>
  <w:style w:type="paragraph" w:customStyle="1" w:styleId="tabella">
    <w:name w:val="tabella"/>
    <w:uiPriority w:val="99"/>
    <w:pPr>
      <w:widowControl w:val="0"/>
      <w:autoSpaceDE w:val="0"/>
      <w:autoSpaceDN w:val="0"/>
      <w:adjustRightInd w:val="0"/>
      <w:spacing w:after="0" w:line="200" w:lineRule="exact"/>
      <w:jc w:val="both"/>
    </w:pPr>
    <w:rPr>
      <w:rFonts w:ascii="Arial" w:hAnsi="Arial" w:cs="Arial"/>
      <w:color w:val="000000"/>
      <w:sz w:val="18"/>
      <w:szCs w:val="18"/>
      <w:shd w:val="clear" w:color="auto" w:fill="FFFFFF"/>
    </w:rPr>
  </w:style>
  <w:style w:type="character" w:customStyle="1" w:styleId="CarattereCarattere">
    <w:name w:val="Carattere Carattere"/>
    <w:uiPriority w:val="99"/>
    <w:rPr>
      <w:color w:val="000000"/>
      <w:sz w:val="28"/>
      <w:szCs w:val="28"/>
      <w:shd w:val="clear" w:color="auto" w:fill="FFFFFF"/>
    </w:rPr>
  </w:style>
  <w:style w:type="paragraph" w:customStyle="1" w:styleId="Stile2">
    <w:name w:val="Stile2"/>
    <w:next w:val="Normale"/>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Stile1">
    <w:name w:val="Stile1"/>
    <w:next w:val="Normale"/>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Stile3">
    <w:name w:val="Stile3"/>
    <w:next w:val="Normale"/>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styleId="Didascalia">
    <w:name w:val="caption"/>
    <w:basedOn w:val="Normale"/>
    <w:next w:val="Normale"/>
    <w:uiPriority w:val="99"/>
    <w:qFormat/>
    <w:pPr>
      <w:spacing w:after="0"/>
      <w:jc w:val="left"/>
    </w:pPr>
    <w:rPr>
      <w:b/>
      <w:bCs/>
      <w:color w:val="000000"/>
      <w:sz w:val="20"/>
      <w:szCs w:val="20"/>
      <w:shd w:val="clear" w:color="auto" w:fill="FFFFFF"/>
    </w:rPr>
  </w:style>
  <w:style w:type="paragraph" w:customStyle="1" w:styleId="VariabiliTabelle">
    <w:name w:val="Variabili Tabelle"/>
    <w:next w:val="Normale"/>
    <w:uiPriority w:val="99"/>
    <w:pPr>
      <w:widowControl w:val="0"/>
      <w:autoSpaceDE w:val="0"/>
      <w:autoSpaceDN w:val="0"/>
      <w:adjustRightInd w:val="0"/>
      <w:spacing w:after="0" w:line="240" w:lineRule="auto"/>
      <w:jc w:val="center"/>
    </w:pPr>
    <w:rPr>
      <w:rFonts w:ascii="Tahoma" w:hAnsi="Tahoma" w:cs="Tahoma"/>
      <w:color w:val="000000"/>
      <w:sz w:val="18"/>
      <w:szCs w:val="18"/>
      <w:shd w:val="clear" w:color="auto" w:fill="FFFFFF"/>
    </w:rPr>
  </w:style>
  <w:style w:type="paragraph" w:customStyle="1" w:styleId="Tabelle">
    <w:name w:val="Tabelle"/>
    <w:next w:val="Normale"/>
    <w:uiPriority w:val="99"/>
    <w:pPr>
      <w:widowControl w:val="0"/>
      <w:autoSpaceDE w:val="0"/>
      <w:autoSpaceDN w:val="0"/>
      <w:adjustRightInd w:val="0"/>
      <w:spacing w:after="0" w:line="240" w:lineRule="auto"/>
      <w:jc w:val="center"/>
    </w:pPr>
    <w:rPr>
      <w:rFonts w:ascii="Tahoma" w:hAnsi="Tahoma" w:cs="Tahoma"/>
      <w:color w:val="000000"/>
      <w:sz w:val="18"/>
      <w:szCs w:val="18"/>
      <w:shd w:val="clear" w:color="auto" w:fill="FFFFFF"/>
    </w:rPr>
  </w:style>
  <w:style w:type="character" w:customStyle="1" w:styleId="Titolo5Carattere">
    <w:name w:val="Titolo 5 Carattere"/>
    <w:aliases w:val="ARTICOLO Carattere"/>
    <w:basedOn w:val="Carpredefinitoparagrafo"/>
    <w:link w:val="Titolo5"/>
    <w:uiPriority w:val="9"/>
    <w:semiHidden/>
    <w:rPr>
      <w:b/>
      <w:bCs/>
      <w:i/>
      <w:iCs/>
      <w:sz w:val="26"/>
      <w:szCs w:val="26"/>
    </w:rPr>
  </w:style>
  <w:style w:type="paragraph" w:styleId="Corpodeltesto3">
    <w:name w:val="Body Text 3"/>
    <w:basedOn w:val="Normale"/>
    <w:link w:val="Corpodeltesto3Carattere"/>
    <w:uiPriority w:val="99"/>
    <w:pPr>
      <w:spacing w:after="0"/>
    </w:pPr>
    <w:rPr>
      <w:color w:val="000000"/>
      <w:sz w:val="18"/>
      <w:szCs w:val="18"/>
      <w:shd w:val="clear" w:color="auto" w:fill="FFFFFF"/>
    </w:rPr>
  </w:style>
  <w:style w:type="character" w:customStyle="1" w:styleId="Corpodeltesto3Carattere">
    <w:name w:val="Corpo del testo 3 Carattere"/>
    <w:basedOn w:val="Carpredefinitoparagrafo"/>
    <w:link w:val="Corpodeltesto3"/>
    <w:uiPriority w:val="99"/>
    <w:semiHidden/>
    <w:rPr>
      <w:rFonts w:ascii="Arial" w:hAnsi="Arial" w:cs="Arial"/>
      <w:sz w:val="16"/>
      <w:szCs w:val="16"/>
    </w:rPr>
  </w:style>
  <w:style w:type="paragraph" w:customStyle="1" w:styleId="StileTahoma10ptAutomaticoInferioreSingolaAutomatico">
    <w:name w:val="Stile Tahoma 10 pt Automatico Inferiore: (Singola Automatico  ."/>
    <w:uiPriority w:val="99"/>
    <w:pPr>
      <w:widowControl w:val="0"/>
      <w:pBdr>
        <w:bottom w:val="single" w:sz="6" w:space="0" w:color="auto"/>
      </w:pBdr>
      <w:autoSpaceDE w:val="0"/>
      <w:autoSpaceDN w:val="0"/>
      <w:adjustRightInd w:val="0"/>
      <w:spacing w:after="0" w:line="240" w:lineRule="auto"/>
      <w:jc w:val="both"/>
    </w:pPr>
    <w:rPr>
      <w:rFonts w:ascii="Tahoma" w:hAnsi="Tahoma" w:cs="Tahoma"/>
      <w:color w:val="000000"/>
      <w:sz w:val="20"/>
      <w:szCs w:val="20"/>
      <w:shd w:val="clear" w:color="auto" w:fill="FFFFFF"/>
    </w:rPr>
  </w:style>
  <w:style w:type="paragraph" w:customStyle="1" w:styleId="RigaSopraTitolo1">
    <w:name w:val="Riga Sopra Titolo 1"/>
    <w:next w:val="Titolo1"/>
    <w:uiPriority w:val="99"/>
    <w:pPr>
      <w:keepNext/>
      <w:widowControl w:val="0"/>
      <w:autoSpaceDE w:val="0"/>
      <w:autoSpaceDN w:val="0"/>
      <w:adjustRightInd w:val="0"/>
      <w:spacing w:after="0" w:line="240" w:lineRule="auto"/>
      <w:jc w:val="center"/>
    </w:pPr>
    <w:rPr>
      <w:rFonts w:ascii="Tahoma" w:hAnsi="Tahoma" w:cs="Tahoma"/>
      <w:color w:val="000000"/>
      <w:sz w:val="28"/>
      <w:szCs w:val="28"/>
      <w:shd w:val="clear" w:color="auto" w:fill="FFFFFF"/>
    </w:rPr>
  </w:style>
  <w:style w:type="paragraph" w:customStyle="1" w:styleId="Legenda">
    <w:name w:val="Legenda"/>
    <w:next w:val="Normale"/>
    <w:uiPriority w:val="99"/>
    <w:pPr>
      <w:widowControl w:val="0"/>
      <w:autoSpaceDE w:val="0"/>
      <w:autoSpaceDN w:val="0"/>
      <w:adjustRightInd w:val="0"/>
      <w:spacing w:after="0" w:line="240" w:lineRule="auto"/>
      <w:ind w:left="850" w:hanging="850"/>
      <w:jc w:val="both"/>
    </w:pPr>
    <w:rPr>
      <w:rFonts w:ascii="Arial" w:hAnsi="Arial" w:cs="Arial"/>
      <w:color w:val="000000"/>
      <w:sz w:val="18"/>
      <w:szCs w:val="18"/>
      <w:shd w:val="clear" w:color="auto" w:fill="FFFFFF"/>
    </w:rPr>
  </w:style>
  <w:style w:type="paragraph" w:customStyle="1" w:styleId="Formule">
    <w:name w:val="Formule"/>
    <w:next w:val="Normale"/>
    <w:uiPriority w:val="99"/>
    <w:pPr>
      <w:widowControl w:val="0"/>
      <w:autoSpaceDE w:val="0"/>
      <w:autoSpaceDN w:val="0"/>
      <w:adjustRightInd w:val="0"/>
      <w:spacing w:after="0" w:line="240" w:lineRule="auto"/>
      <w:jc w:val="center"/>
    </w:pPr>
    <w:rPr>
      <w:rFonts w:ascii="Arial" w:hAnsi="Arial" w:cs="Arial"/>
      <w:color w:val="000000"/>
      <w:sz w:val="18"/>
      <w:szCs w:val="18"/>
      <w:shd w:val="clear" w:color="auto" w:fill="FFFFFF"/>
    </w:rPr>
  </w:style>
  <w:style w:type="paragraph" w:customStyle="1" w:styleId="VariabiliIdentificativiPersone">
    <w:name w:val="Variabili Identificativi Persone"/>
    <w:next w:val="Normale"/>
    <w:uiPriority w:val="99"/>
    <w:pPr>
      <w:widowControl w:val="0"/>
      <w:autoSpaceDE w:val="0"/>
      <w:autoSpaceDN w:val="0"/>
      <w:adjustRightInd w:val="0"/>
      <w:spacing w:after="0" w:line="240" w:lineRule="auto"/>
      <w:jc w:val="center"/>
    </w:pPr>
    <w:rPr>
      <w:rFonts w:ascii="Tahoma" w:hAnsi="Tahoma" w:cs="Tahoma"/>
      <w:color w:val="000000"/>
      <w:sz w:val="18"/>
      <w:szCs w:val="18"/>
      <w:shd w:val="clear" w:color="auto" w:fill="FFFFFF"/>
    </w:rPr>
  </w:style>
  <w:style w:type="paragraph" w:customStyle="1" w:styleId="IntestazioneResponsabili">
    <w:name w:val="Intestazione Responsabili"/>
    <w:uiPriority w:val="99"/>
    <w:pPr>
      <w:widowControl w:val="0"/>
      <w:autoSpaceDE w:val="0"/>
      <w:autoSpaceDN w:val="0"/>
      <w:adjustRightInd w:val="0"/>
      <w:spacing w:after="0" w:line="240" w:lineRule="auto"/>
      <w:jc w:val="center"/>
    </w:pPr>
    <w:rPr>
      <w:rFonts w:ascii="Tahoma" w:hAnsi="Tahoma" w:cs="Tahoma"/>
      <w:color w:val="000000"/>
      <w:sz w:val="20"/>
      <w:szCs w:val="20"/>
      <w:shd w:val="clear" w:color="auto" w:fill="FFFFFF"/>
    </w:rPr>
  </w:style>
  <w:style w:type="paragraph" w:customStyle="1" w:styleId="ProvinciaeData">
    <w:name w:val="Provincia e Data"/>
    <w:uiPriority w:val="99"/>
    <w:pPr>
      <w:widowControl w:val="0"/>
      <w:autoSpaceDE w:val="0"/>
      <w:autoSpaceDN w:val="0"/>
      <w:adjustRightInd w:val="0"/>
      <w:spacing w:after="0" w:line="240" w:lineRule="auto"/>
      <w:ind w:left="15"/>
      <w:jc w:val="both"/>
    </w:pPr>
    <w:rPr>
      <w:rFonts w:ascii="Tahoma" w:hAnsi="Tahoma" w:cs="Tahoma"/>
      <w:color w:val="000000"/>
      <w:sz w:val="20"/>
      <w:szCs w:val="20"/>
      <w:shd w:val="clear" w:color="auto" w:fill="FFFFFF"/>
    </w:rPr>
  </w:style>
  <w:style w:type="paragraph" w:customStyle="1" w:styleId="Stile4">
    <w:name w:val="Stile4"/>
    <w:next w:val="Normale"/>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Normativa">
    <w:name w:val="Normativa"/>
    <w:next w:val="Normale"/>
    <w:uiPriority w:val="99"/>
    <w:pPr>
      <w:widowControl w:val="0"/>
      <w:autoSpaceDE w:val="0"/>
      <w:autoSpaceDN w:val="0"/>
      <w:adjustRightInd w:val="0"/>
      <w:spacing w:after="120" w:line="240" w:lineRule="auto"/>
      <w:ind w:firstLine="851"/>
    </w:pPr>
    <w:rPr>
      <w:rFonts w:ascii="Arial" w:hAnsi="Arial" w:cs="Arial"/>
      <w:i/>
      <w:iCs/>
      <w:color w:val="0000FF"/>
      <w:sz w:val="20"/>
      <w:szCs w:val="20"/>
      <w:shd w:val="clear" w:color="auto" w:fill="FFFFFF"/>
    </w:rPr>
  </w:style>
  <w:style w:type="paragraph" w:customStyle="1" w:styleId="TestoNormale">
    <w:name w:val="TestoNormale"/>
    <w:uiPriority w:val="99"/>
    <w:pPr>
      <w:widowControl w:val="0"/>
      <w:autoSpaceDE w:val="0"/>
      <w:autoSpaceDN w:val="0"/>
      <w:adjustRightInd w:val="0"/>
      <w:spacing w:before="120" w:after="120" w:line="240" w:lineRule="auto"/>
      <w:ind w:firstLine="851"/>
      <w:jc w:val="both"/>
    </w:pPr>
    <w:rPr>
      <w:rFonts w:ascii="Arial" w:hAnsi="Arial" w:cs="Arial"/>
      <w:color w:val="000000"/>
      <w:sz w:val="24"/>
      <w:szCs w:val="24"/>
      <w:shd w:val="clear" w:color="auto" w:fill="FFFFFF"/>
    </w:rPr>
  </w:style>
  <w:style w:type="character" w:customStyle="1" w:styleId="TestoNormaleCarattere">
    <w:name w:val="TestoNormale Carattere"/>
    <w:uiPriority w:val="99"/>
    <w:rPr>
      <w:color w:val="000000"/>
      <w:sz w:val="16"/>
      <w:szCs w:val="16"/>
      <w:shd w:val="clear" w:color="auto" w:fill="FFFFFF"/>
    </w:rPr>
  </w:style>
  <w:style w:type="character" w:customStyle="1" w:styleId="CarattereCarattere2">
    <w:name w:val="Carattere Carattere2"/>
    <w:uiPriority w:val="99"/>
    <w:rPr>
      <w:b/>
      <w:bCs/>
      <w:color w:val="008080"/>
      <w:shd w:val="clear" w:color="auto" w:fill="FFFFFF"/>
    </w:rPr>
  </w:style>
  <w:style w:type="paragraph" w:styleId="Elencocontinua">
    <w:name w:val="List Continue"/>
    <w:basedOn w:val="Normale"/>
    <w:uiPriority w:val="99"/>
    <w:pPr>
      <w:numPr>
        <w:numId w:val="37"/>
      </w:numPr>
      <w:spacing w:line="360" w:lineRule="auto"/>
      <w:ind w:left="360" w:hanging="360"/>
    </w:pPr>
    <w:rPr>
      <w:color w:val="000000"/>
      <w:sz w:val="24"/>
      <w:szCs w:val="24"/>
      <w:shd w:val="clear" w:color="auto" w:fill="FFFFFF"/>
    </w:rPr>
  </w:style>
  <w:style w:type="paragraph" w:customStyle="1" w:styleId="Pidipagina0">
    <w:name w:val="Pi_ di pagina"/>
    <w:uiPriority w:val="99"/>
    <w:pPr>
      <w:widowControl w:val="0"/>
      <w:autoSpaceDE w:val="0"/>
      <w:autoSpaceDN w:val="0"/>
      <w:adjustRightInd w:val="0"/>
      <w:spacing w:after="0" w:line="360" w:lineRule="auto"/>
      <w:ind w:firstLine="567"/>
      <w:jc w:val="both"/>
    </w:pPr>
    <w:rPr>
      <w:rFonts w:ascii="Arial" w:hAnsi="Arial" w:cs="Arial"/>
      <w:color w:val="000000"/>
      <w:sz w:val="24"/>
      <w:szCs w:val="24"/>
      <w:shd w:val="clear" w:color="auto" w:fill="FFFFFF"/>
    </w:rPr>
  </w:style>
  <w:style w:type="paragraph" w:styleId="Elenco">
    <w:name w:val="List"/>
    <w:basedOn w:val="Normale"/>
    <w:uiPriority w:val="99"/>
    <w:pPr>
      <w:spacing w:after="0" w:line="360" w:lineRule="auto"/>
      <w:ind w:left="567" w:hanging="567"/>
    </w:pPr>
    <w:rPr>
      <w:color w:val="000000"/>
      <w:sz w:val="24"/>
      <w:szCs w:val="24"/>
      <w:shd w:val="clear" w:color="auto" w:fill="FFFFFF"/>
    </w:rPr>
  </w:style>
  <w:style w:type="paragraph" w:styleId="Testodelblocco">
    <w:name w:val="Block Text"/>
    <w:basedOn w:val="Normale"/>
    <w:uiPriority w:val="99"/>
    <w:pPr>
      <w:spacing w:after="0" w:line="360" w:lineRule="auto"/>
      <w:ind w:left="567" w:right="51"/>
    </w:pPr>
    <w:rPr>
      <w:color w:val="000000"/>
      <w:sz w:val="24"/>
      <w:szCs w:val="24"/>
      <w:shd w:val="clear" w:color="auto" w:fill="FFFFFF"/>
    </w:rPr>
  </w:style>
  <w:style w:type="character" w:customStyle="1" w:styleId="Titolo6Carattere">
    <w:name w:val="Titolo 6 Carattere"/>
    <w:basedOn w:val="Carpredefinitoparagrafo"/>
    <w:link w:val="Titolo6"/>
    <w:uiPriority w:val="9"/>
    <w:semiHidden/>
    <w:rPr>
      <w:b/>
      <w:bCs/>
    </w:rPr>
  </w:style>
  <w:style w:type="character" w:customStyle="1" w:styleId="Titolo7Carattere">
    <w:name w:val="Titolo 7 Carattere"/>
    <w:basedOn w:val="Carpredefinitoparagrafo"/>
    <w:link w:val="Titolo7"/>
    <w:uiPriority w:val="9"/>
    <w:semiHidden/>
    <w:rPr>
      <w:sz w:val="24"/>
      <w:szCs w:val="24"/>
    </w:rPr>
  </w:style>
  <w:style w:type="paragraph" w:customStyle="1" w:styleId="p5">
    <w:name w:val="p5"/>
    <w:uiPriority w:val="99"/>
    <w:pPr>
      <w:widowControl w:val="0"/>
      <w:autoSpaceDE w:val="0"/>
      <w:autoSpaceDN w:val="0"/>
      <w:adjustRightInd w:val="0"/>
      <w:spacing w:after="0" w:line="220" w:lineRule="atLeast"/>
    </w:pPr>
    <w:rPr>
      <w:rFonts w:ascii="Arial" w:hAnsi="Arial" w:cs="Arial"/>
      <w:color w:val="000000"/>
      <w:sz w:val="24"/>
      <w:szCs w:val="24"/>
      <w:shd w:val="clear" w:color="auto" w:fill="FFFFFF"/>
    </w:rPr>
  </w:style>
  <w:style w:type="paragraph" w:customStyle="1" w:styleId="p13">
    <w:name w:val="p13"/>
    <w:uiPriority w:val="99"/>
    <w:pPr>
      <w:widowControl w:val="0"/>
      <w:autoSpaceDE w:val="0"/>
      <w:autoSpaceDN w:val="0"/>
      <w:adjustRightInd w:val="0"/>
      <w:spacing w:after="0" w:line="220" w:lineRule="atLeast"/>
      <w:jc w:val="both"/>
    </w:pPr>
    <w:rPr>
      <w:rFonts w:ascii="Arial" w:hAnsi="Arial" w:cs="Arial"/>
      <w:color w:val="000000"/>
      <w:sz w:val="24"/>
      <w:szCs w:val="24"/>
      <w:shd w:val="clear" w:color="auto" w:fill="FFFFFF"/>
    </w:rPr>
  </w:style>
  <w:style w:type="paragraph" w:customStyle="1" w:styleId="p17">
    <w:name w:val="p17"/>
    <w:uiPriority w:val="99"/>
    <w:pPr>
      <w:widowControl w:val="0"/>
      <w:autoSpaceDE w:val="0"/>
      <w:autoSpaceDN w:val="0"/>
      <w:adjustRightInd w:val="0"/>
      <w:spacing w:after="0" w:line="240" w:lineRule="atLeast"/>
      <w:jc w:val="both"/>
    </w:pPr>
    <w:rPr>
      <w:rFonts w:ascii="Arial" w:hAnsi="Arial" w:cs="Arial"/>
      <w:color w:val="000000"/>
      <w:sz w:val="24"/>
      <w:szCs w:val="24"/>
      <w:shd w:val="clear" w:color="auto" w:fill="FFFFFF"/>
    </w:rPr>
  </w:style>
  <w:style w:type="paragraph" w:customStyle="1" w:styleId="p19">
    <w:name w:val="p19"/>
    <w:uiPriority w:val="99"/>
    <w:pPr>
      <w:widowControl w:val="0"/>
      <w:autoSpaceDE w:val="0"/>
      <w:autoSpaceDN w:val="0"/>
      <w:adjustRightInd w:val="0"/>
      <w:spacing w:after="0" w:line="240" w:lineRule="atLeast"/>
    </w:pPr>
    <w:rPr>
      <w:rFonts w:ascii="Arial" w:hAnsi="Arial" w:cs="Arial"/>
      <w:color w:val="000000"/>
      <w:sz w:val="24"/>
      <w:szCs w:val="24"/>
      <w:shd w:val="clear" w:color="auto" w:fill="FFFFFF"/>
    </w:rPr>
  </w:style>
  <w:style w:type="paragraph" w:customStyle="1" w:styleId="p20">
    <w:name w:val="p20"/>
    <w:uiPriority w:val="99"/>
    <w:pPr>
      <w:widowControl w:val="0"/>
      <w:autoSpaceDE w:val="0"/>
      <w:autoSpaceDN w:val="0"/>
      <w:adjustRightInd w:val="0"/>
      <w:spacing w:after="0" w:line="240" w:lineRule="atLeast"/>
    </w:pPr>
    <w:rPr>
      <w:rFonts w:ascii="Arial" w:hAnsi="Arial" w:cs="Arial"/>
      <w:color w:val="000000"/>
      <w:sz w:val="24"/>
      <w:szCs w:val="24"/>
      <w:shd w:val="clear" w:color="auto" w:fill="FFFFFF"/>
    </w:rPr>
  </w:style>
  <w:style w:type="paragraph" w:customStyle="1" w:styleId="p23">
    <w:name w:val="p23"/>
    <w:uiPriority w:val="99"/>
    <w:pPr>
      <w:widowControl w:val="0"/>
      <w:autoSpaceDE w:val="0"/>
      <w:autoSpaceDN w:val="0"/>
      <w:adjustRightInd w:val="0"/>
      <w:spacing w:after="0" w:line="240" w:lineRule="atLeast"/>
      <w:jc w:val="both"/>
    </w:pPr>
    <w:rPr>
      <w:rFonts w:ascii="Arial" w:hAnsi="Arial" w:cs="Arial"/>
      <w:color w:val="000000"/>
      <w:sz w:val="24"/>
      <w:szCs w:val="24"/>
      <w:shd w:val="clear" w:color="auto" w:fill="FFFFFF"/>
    </w:rPr>
  </w:style>
  <w:style w:type="paragraph" w:customStyle="1" w:styleId="Stile5">
    <w:name w:val="Stile5"/>
    <w:next w:val="Normale"/>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p66">
    <w:name w:val="p66"/>
    <w:uiPriority w:val="99"/>
    <w:pPr>
      <w:widowControl w:val="0"/>
      <w:autoSpaceDE w:val="0"/>
      <w:autoSpaceDN w:val="0"/>
      <w:adjustRightInd w:val="0"/>
      <w:spacing w:after="0" w:line="220" w:lineRule="atLeast"/>
      <w:jc w:val="both"/>
    </w:pPr>
    <w:rPr>
      <w:rFonts w:ascii="Arial" w:hAnsi="Arial" w:cs="Arial"/>
      <w:color w:val="000000"/>
      <w:sz w:val="24"/>
      <w:szCs w:val="24"/>
      <w:shd w:val="clear" w:color="auto" w:fill="FFFFFF"/>
    </w:rPr>
  </w:style>
  <w:style w:type="paragraph" w:customStyle="1" w:styleId="c3">
    <w:name w:val="c3"/>
    <w:uiPriority w:val="99"/>
    <w:pPr>
      <w:widowControl w:val="0"/>
      <w:autoSpaceDE w:val="0"/>
      <w:autoSpaceDN w:val="0"/>
      <w:adjustRightInd w:val="0"/>
      <w:spacing w:after="0" w:line="240" w:lineRule="atLeast"/>
      <w:jc w:val="center"/>
    </w:pPr>
    <w:rPr>
      <w:rFonts w:ascii="Arial" w:hAnsi="Arial" w:cs="Arial"/>
      <w:color w:val="000000"/>
      <w:sz w:val="24"/>
      <w:szCs w:val="24"/>
      <w:shd w:val="clear" w:color="auto" w:fill="FFFFFF"/>
    </w:rPr>
  </w:style>
  <w:style w:type="paragraph" w:customStyle="1" w:styleId="t1">
    <w:name w:val="t1"/>
    <w:uiPriority w:val="99"/>
    <w:pPr>
      <w:widowControl w:val="0"/>
      <w:autoSpaceDE w:val="0"/>
      <w:autoSpaceDN w:val="0"/>
      <w:adjustRightInd w:val="0"/>
      <w:spacing w:after="0" w:line="240" w:lineRule="atLeast"/>
    </w:pPr>
    <w:rPr>
      <w:rFonts w:ascii="Arial" w:hAnsi="Arial" w:cs="Arial"/>
      <w:color w:val="000000"/>
      <w:sz w:val="24"/>
      <w:szCs w:val="24"/>
      <w:shd w:val="clear" w:color="auto" w:fill="FFFFFF"/>
    </w:rPr>
  </w:style>
  <w:style w:type="paragraph" w:customStyle="1" w:styleId="t2">
    <w:name w:val="t2"/>
    <w:uiPriority w:val="99"/>
    <w:pPr>
      <w:widowControl w:val="0"/>
      <w:autoSpaceDE w:val="0"/>
      <w:autoSpaceDN w:val="0"/>
      <w:adjustRightInd w:val="0"/>
      <w:spacing w:after="0" w:line="520" w:lineRule="atLeast"/>
    </w:pPr>
    <w:rPr>
      <w:rFonts w:ascii="Arial" w:hAnsi="Arial" w:cs="Arial"/>
      <w:color w:val="000000"/>
      <w:sz w:val="24"/>
      <w:szCs w:val="24"/>
      <w:shd w:val="clear" w:color="auto" w:fill="FFFFFF"/>
    </w:rPr>
  </w:style>
  <w:style w:type="paragraph" w:customStyle="1" w:styleId="p6">
    <w:name w:val="p6"/>
    <w:uiPriority w:val="99"/>
    <w:pPr>
      <w:widowControl w:val="0"/>
      <w:autoSpaceDE w:val="0"/>
      <w:autoSpaceDN w:val="0"/>
      <w:adjustRightInd w:val="0"/>
      <w:spacing w:after="0" w:line="240" w:lineRule="atLeast"/>
      <w:ind w:left="6624" w:hanging="7776"/>
    </w:pPr>
    <w:rPr>
      <w:rFonts w:ascii="Arial" w:hAnsi="Arial" w:cs="Arial"/>
      <w:color w:val="000000"/>
      <w:sz w:val="24"/>
      <w:szCs w:val="24"/>
      <w:shd w:val="clear" w:color="auto" w:fill="FFFFFF"/>
    </w:rPr>
  </w:style>
  <w:style w:type="paragraph" w:customStyle="1" w:styleId="p7">
    <w:name w:val="p7"/>
    <w:uiPriority w:val="99"/>
    <w:pPr>
      <w:widowControl w:val="0"/>
      <w:autoSpaceDE w:val="0"/>
      <w:autoSpaceDN w:val="0"/>
      <w:adjustRightInd w:val="0"/>
      <w:spacing w:after="0" w:line="240" w:lineRule="atLeast"/>
      <w:ind w:left="720" w:hanging="432"/>
    </w:pPr>
    <w:rPr>
      <w:rFonts w:ascii="Arial" w:hAnsi="Arial" w:cs="Arial"/>
      <w:color w:val="000000"/>
      <w:sz w:val="24"/>
      <w:szCs w:val="24"/>
      <w:shd w:val="clear" w:color="auto" w:fill="FFFFFF"/>
    </w:rPr>
  </w:style>
  <w:style w:type="paragraph" w:customStyle="1" w:styleId="p9">
    <w:name w:val="p9"/>
    <w:uiPriority w:val="99"/>
    <w:pPr>
      <w:widowControl w:val="0"/>
      <w:autoSpaceDE w:val="0"/>
      <w:autoSpaceDN w:val="0"/>
      <w:adjustRightInd w:val="0"/>
      <w:spacing w:after="0" w:line="240" w:lineRule="atLeast"/>
      <w:ind w:left="2304" w:hanging="288"/>
    </w:pPr>
    <w:rPr>
      <w:rFonts w:ascii="Arial" w:hAnsi="Arial" w:cs="Arial"/>
      <w:color w:val="000000"/>
      <w:sz w:val="24"/>
      <w:szCs w:val="24"/>
      <w:shd w:val="clear" w:color="auto" w:fill="FFFFFF"/>
    </w:rPr>
  </w:style>
  <w:style w:type="paragraph" w:customStyle="1" w:styleId="p11">
    <w:name w:val="p11"/>
    <w:uiPriority w:val="99"/>
    <w:pPr>
      <w:widowControl w:val="0"/>
      <w:autoSpaceDE w:val="0"/>
      <w:autoSpaceDN w:val="0"/>
      <w:adjustRightInd w:val="0"/>
      <w:spacing w:after="0" w:line="260" w:lineRule="atLeast"/>
    </w:pPr>
    <w:rPr>
      <w:rFonts w:ascii="Arial" w:hAnsi="Arial" w:cs="Arial"/>
      <w:color w:val="000000"/>
      <w:sz w:val="24"/>
      <w:szCs w:val="24"/>
      <w:shd w:val="clear" w:color="auto" w:fill="FFFFFF"/>
    </w:rPr>
  </w:style>
  <w:style w:type="paragraph" w:customStyle="1" w:styleId="Elenco21">
    <w:name w:val="Elenco 21"/>
    <w:uiPriority w:val="99"/>
    <w:pPr>
      <w:widowControl w:val="0"/>
      <w:autoSpaceDE w:val="0"/>
      <w:autoSpaceDN w:val="0"/>
      <w:adjustRightInd w:val="0"/>
      <w:spacing w:after="0" w:line="240" w:lineRule="auto"/>
      <w:ind w:left="566" w:hanging="283"/>
    </w:pPr>
    <w:rPr>
      <w:rFonts w:ascii="Courier New" w:hAnsi="Courier New" w:cs="Courier New"/>
      <w:color w:val="000000"/>
      <w:sz w:val="24"/>
      <w:szCs w:val="24"/>
      <w:shd w:val="clear" w:color="auto" w:fill="FFFFFF"/>
    </w:rPr>
  </w:style>
  <w:style w:type="paragraph" w:customStyle="1" w:styleId="p18">
    <w:name w:val="p18"/>
    <w:uiPriority w:val="99"/>
    <w:pPr>
      <w:widowControl w:val="0"/>
      <w:autoSpaceDE w:val="0"/>
      <w:autoSpaceDN w:val="0"/>
      <w:adjustRightInd w:val="0"/>
      <w:spacing w:after="0" w:line="460" w:lineRule="atLeast"/>
      <w:ind w:left="720" w:hanging="144"/>
    </w:pPr>
    <w:rPr>
      <w:rFonts w:ascii="Arial" w:hAnsi="Arial" w:cs="Arial"/>
      <w:color w:val="000000"/>
      <w:sz w:val="24"/>
      <w:szCs w:val="24"/>
      <w:shd w:val="clear" w:color="auto" w:fill="FFFFFF"/>
    </w:rPr>
  </w:style>
  <w:style w:type="paragraph" w:customStyle="1" w:styleId="Predefinito">
    <w:name w:val="Predefinito"/>
    <w:next w:val="Normale"/>
    <w:uiPriority w:val="99"/>
    <w:pPr>
      <w:widowControl w:val="0"/>
      <w:autoSpaceDE w:val="0"/>
      <w:autoSpaceDN w:val="0"/>
      <w:adjustRightInd w:val="0"/>
      <w:spacing w:after="0" w:line="240" w:lineRule="auto"/>
    </w:pPr>
    <w:rPr>
      <w:rFonts w:ascii="Arial" w:hAnsi="Arial" w:cs="Arial"/>
      <w:sz w:val="24"/>
      <w:szCs w:val="24"/>
    </w:rPr>
  </w:style>
  <w:style w:type="character" w:customStyle="1" w:styleId="CollegamentoInternet">
    <w:name w:val="Collegamento Internet"/>
    <w:uiPriority w:val="99"/>
    <w:rPr>
      <w:color w:val="0000FF"/>
      <w:u w:val="single"/>
    </w:rPr>
  </w:style>
  <w:style w:type="character" w:customStyle="1" w:styleId="CollegamentoInternetvisitato">
    <w:name w:val="Collegamento Internet visitato"/>
    <w:uiPriority w:val="99"/>
    <w:rPr>
      <w:color w:val="800080"/>
      <w:u w:val="single"/>
    </w:rPr>
  </w:style>
  <w:style w:type="paragraph" w:customStyle="1" w:styleId="TESTO">
    <w:name w:val="TESTO"/>
    <w:next w:val="Normale"/>
    <w:uiPriority w:val="99"/>
    <w:pPr>
      <w:widowControl w:val="0"/>
      <w:autoSpaceDE w:val="0"/>
      <w:autoSpaceDN w:val="0"/>
      <w:adjustRightInd w:val="0"/>
      <w:spacing w:after="0" w:line="256" w:lineRule="atLeast"/>
      <w:ind w:firstLine="283"/>
      <w:jc w:val="both"/>
    </w:pPr>
    <w:rPr>
      <w:rFonts w:ascii="Arial" w:hAnsi="Arial" w:cs="Arial"/>
      <w:color w:val="000000"/>
      <w:shd w:val="clear" w:color="auto" w:fill="FFFFFF"/>
    </w:rPr>
  </w:style>
  <w:style w:type="paragraph" w:customStyle="1" w:styleId="TITCENTNORIENTRO">
    <w:name w:val="TITCENTNORIENTRO"/>
    <w:next w:val="Normale"/>
    <w:uiPriority w:val="99"/>
    <w:pPr>
      <w:widowControl w:val="0"/>
      <w:autoSpaceDE w:val="0"/>
      <w:autoSpaceDN w:val="0"/>
      <w:adjustRightInd w:val="0"/>
      <w:spacing w:before="113" w:after="0" w:line="236" w:lineRule="atLeast"/>
      <w:jc w:val="center"/>
    </w:pPr>
    <w:rPr>
      <w:rFonts w:ascii="Arial" w:hAnsi="Arial" w:cs="Arial"/>
      <w:color w:val="000000"/>
      <w:sz w:val="20"/>
      <w:szCs w:val="20"/>
      <w:shd w:val="clear" w:color="auto" w:fill="FFFFFF"/>
    </w:rPr>
  </w:style>
  <w:style w:type="paragraph" w:customStyle="1" w:styleId="TESTOVOL1576">
    <w:name w:val="TESTOVOL1576"/>
    <w:next w:val="Normale"/>
    <w:uiPriority w:val="99"/>
    <w:pPr>
      <w:widowControl w:val="0"/>
      <w:autoSpaceDE w:val="0"/>
      <w:autoSpaceDN w:val="0"/>
      <w:adjustRightInd w:val="0"/>
      <w:spacing w:after="0" w:line="240" w:lineRule="exact"/>
      <w:ind w:firstLine="567"/>
      <w:jc w:val="both"/>
    </w:pPr>
    <w:rPr>
      <w:rFonts w:ascii="Arial" w:hAnsi="Arial" w:cs="Arial"/>
      <w:color w:val="000000"/>
      <w:sz w:val="20"/>
      <w:szCs w:val="20"/>
      <w:shd w:val="clear" w:color="auto" w:fill="FFFFFF"/>
    </w:rPr>
  </w:style>
  <w:style w:type="character" w:customStyle="1" w:styleId="Titolo3Carattere">
    <w:name w:val="Titolo 3 Carattere"/>
    <w:aliases w:val="CAPO Carattere Carattere"/>
    <w:basedOn w:val="Carpredefinitoparagrafo"/>
    <w:link w:val="Titolo3"/>
    <w:uiPriority w:val="9"/>
    <w:semiHidden/>
    <w:rPr>
      <w:rFonts w:asciiTheme="majorHAnsi" w:eastAsiaTheme="majorEastAsia" w:hAnsiTheme="majorHAnsi" w:cstheme="majorBidi"/>
      <w:b/>
      <w:bCs/>
      <w:color w:val="000000"/>
      <w:sz w:val="26"/>
      <w:szCs w:val="26"/>
    </w:rPr>
  </w:style>
  <w:style w:type="character" w:customStyle="1" w:styleId="CorpodeltestoCarattere">
    <w:name w:val="Corpo del testo Carattere"/>
    <w:uiPriority w:val="99"/>
    <w:rPr>
      <w:rFonts w:ascii="Times New Roman" w:hAnsi="Times New Roman" w:cs="Times New Roman"/>
    </w:rPr>
  </w:style>
  <w:style w:type="character" w:customStyle="1" w:styleId="Compilazioedocumentiurbanistica">
    <w:name w:val="Compilazioe documenti urbanistica"/>
    <w:uiPriority w:val="99"/>
    <w:rPr>
      <w:rFonts w:ascii="Arial Narrow" w:hAnsi="Arial Narrow" w:cs="Arial Narrow"/>
      <w:b/>
      <w:bCs/>
      <w:i/>
      <w:iCs/>
      <w:sz w:val="20"/>
      <w:szCs w:val="20"/>
    </w:rPr>
  </w:style>
  <w:style w:type="paragraph" w:styleId="Testonotadichiusura">
    <w:name w:val="endnote text"/>
    <w:basedOn w:val="Normale"/>
    <w:link w:val="TestonotadichiusuraCarattere"/>
    <w:uiPriority w:val="99"/>
    <w:pPr>
      <w:spacing w:after="0"/>
      <w:jc w:val="left"/>
    </w:pPr>
    <w:rPr>
      <w:sz w:val="20"/>
      <w:szCs w:val="20"/>
    </w:rPr>
  </w:style>
  <w:style w:type="character" w:customStyle="1" w:styleId="TestonotadichiusuraCarattere">
    <w:name w:val="Testo nota di chiusura Carattere"/>
    <w:basedOn w:val="Carpredefinitoparagrafo"/>
    <w:link w:val="Testonotadichiusura"/>
    <w:uiPriority w:val="99"/>
    <w:rPr>
      <w:rFonts w:ascii="Times New Roman" w:hAnsi="Times New Roman" w:cs="Times New Roman"/>
      <w:sz w:val="20"/>
      <w:szCs w:val="20"/>
    </w:rPr>
  </w:style>
  <w:style w:type="character" w:styleId="Rimandonotadichiusura">
    <w:name w:val="endnote reference"/>
    <w:basedOn w:val="Carpredefinitoparagrafo"/>
    <w:uiPriority w:val="99"/>
  </w:style>
  <w:style w:type="character" w:styleId="Testosegnaposto">
    <w:name w:val="Placeholder Text"/>
    <w:basedOn w:val="Carpredefinitoparagrafo"/>
    <w:uiPriority w:val="99"/>
    <w:rPr>
      <w:color w:val="808080"/>
    </w:rPr>
  </w:style>
  <w:style w:type="paragraph" w:styleId="Testonotaapidipagina">
    <w:name w:val="footnote text"/>
    <w:basedOn w:val="Normale"/>
    <w:link w:val="TestonotaapidipaginaCarattere"/>
    <w:uiPriority w:val="99"/>
    <w:pPr>
      <w:spacing w:after="60"/>
      <w:ind w:left="284" w:hanging="284"/>
    </w:pPr>
    <w:rPr>
      <w:sz w:val="20"/>
      <w:szCs w:val="20"/>
    </w:rPr>
  </w:style>
  <w:style w:type="character" w:customStyle="1" w:styleId="TestonotaapidipaginaCarattere">
    <w:name w:val="Testo nota a piè di pagina Carattere"/>
    <w:basedOn w:val="Carpredefinitoparagrafo"/>
    <w:link w:val="Testonotaapidipagina"/>
    <w:uiPriority w:val="99"/>
    <w:rPr>
      <w:sz w:val="20"/>
      <w:szCs w:val="20"/>
    </w:rPr>
  </w:style>
  <w:style w:type="character" w:styleId="Rimandonotaapidipagina">
    <w:name w:val="footnote reference"/>
    <w:basedOn w:val="Carpredefinitoparagrafo"/>
    <w:uiPriority w:val="99"/>
  </w:style>
  <w:style w:type="paragraph" w:styleId="Sommario1">
    <w:name w:val="toc 1"/>
    <w:basedOn w:val="Normale"/>
    <w:next w:val="Normale"/>
    <w:uiPriority w:val="99"/>
    <w:pPr>
      <w:tabs>
        <w:tab w:val="right" w:pos="8787"/>
      </w:tabs>
      <w:spacing w:before="60" w:after="0"/>
    </w:pPr>
    <w:rPr>
      <w:rFonts w:ascii="Tahoma" w:hAnsi="Tahoma" w:cs="Tahoma"/>
      <w:b/>
      <w:bCs/>
      <w:color w:val="000000"/>
      <w:sz w:val="20"/>
      <w:szCs w:val="20"/>
      <w:shd w:val="clear" w:color="auto" w:fill="FFFFFF"/>
    </w:rPr>
  </w:style>
  <w:style w:type="paragraph" w:styleId="Sommario2">
    <w:name w:val="toc 2"/>
    <w:basedOn w:val="Normale"/>
    <w:next w:val="Normale"/>
    <w:uiPriority w:val="99"/>
    <w:pPr>
      <w:tabs>
        <w:tab w:val="right" w:pos="8787"/>
      </w:tabs>
      <w:spacing w:before="60" w:after="0"/>
      <w:ind w:left="284" w:hanging="284"/>
    </w:pPr>
    <w:rPr>
      <w:rFonts w:ascii="Tahoma" w:hAnsi="Tahoma" w:cs="Tahoma"/>
      <w:color w:val="000000"/>
      <w:sz w:val="20"/>
      <w:szCs w:val="20"/>
      <w:shd w:val="clear" w:color="auto" w:fill="FFFFFF"/>
    </w:rPr>
  </w:style>
  <w:style w:type="paragraph" w:styleId="Sommario3">
    <w:name w:val="toc 3"/>
    <w:basedOn w:val="Normale"/>
    <w:next w:val="Normale"/>
    <w:uiPriority w:val="99"/>
    <w:pPr>
      <w:tabs>
        <w:tab w:val="right" w:pos="8787"/>
      </w:tabs>
      <w:spacing w:before="60" w:after="0"/>
      <w:ind w:left="566"/>
    </w:pPr>
    <w:rPr>
      <w:rFonts w:ascii="Tahoma" w:hAnsi="Tahoma" w:cs="Tahoma"/>
      <w:color w:val="000000"/>
      <w:sz w:val="20"/>
      <w:szCs w:val="20"/>
      <w:shd w:val="clear" w:color="auto" w:fill="FFFFFF"/>
    </w:rPr>
  </w:style>
  <w:style w:type="character" w:customStyle="1" w:styleId="Titolo8Carattere">
    <w:name w:val="Titolo 8 Carattere"/>
    <w:basedOn w:val="Carpredefinitoparagrafo"/>
    <w:link w:val="Titolo8"/>
    <w:uiPriority w:val="9"/>
    <w:semiHidden/>
    <w:rPr>
      <w:i/>
      <w:iCs/>
      <w:color w:val="000000"/>
      <w:sz w:val="24"/>
      <w:szCs w:val="24"/>
    </w:rPr>
  </w:style>
  <w:style w:type="character" w:customStyle="1" w:styleId="Titolo9Carattere">
    <w:name w:val="Titolo 9 Carattere"/>
    <w:basedOn w:val="Carpredefinitoparagrafo"/>
    <w:link w:val="Titolo9"/>
    <w:uiPriority w:val="9"/>
    <w:semiHidden/>
    <w:rPr>
      <w:rFonts w:asciiTheme="majorHAnsi" w:eastAsiaTheme="majorEastAsia" w:hAnsiTheme="majorHAnsi" w:cstheme="majorBidi"/>
      <w:color w:val="000000"/>
    </w:rPr>
  </w:style>
  <w:style w:type="paragraph" w:customStyle="1" w:styleId="sche3">
    <w:name w:val="sche_3"/>
    <w:uiPriority w:val="99"/>
    <w:pPr>
      <w:widowControl w:val="0"/>
      <w:autoSpaceDE w:val="0"/>
      <w:autoSpaceDN w:val="0"/>
      <w:adjustRightInd w:val="0"/>
      <w:spacing w:after="0" w:line="240" w:lineRule="auto"/>
      <w:jc w:val="both"/>
    </w:pPr>
    <w:rPr>
      <w:rFonts w:ascii="Arial" w:hAnsi="Arial" w:cs="Arial"/>
      <w:color w:val="000000"/>
      <w:sz w:val="20"/>
      <w:szCs w:val="20"/>
      <w:shd w:val="clear" w:color="auto" w:fill="FFFFFF"/>
    </w:rPr>
  </w:style>
  <w:style w:type="paragraph" w:customStyle="1" w:styleId="sche22">
    <w:name w:val="sche2_2"/>
    <w:uiPriority w:val="99"/>
    <w:pPr>
      <w:widowControl w:val="0"/>
      <w:autoSpaceDE w:val="0"/>
      <w:autoSpaceDN w:val="0"/>
      <w:adjustRightInd w:val="0"/>
      <w:spacing w:after="0" w:line="240" w:lineRule="auto"/>
      <w:jc w:val="right"/>
    </w:pPr>
    <w:rPr>
      <w:rFonts w:ascii="Arial" w:hAnsi="Arial" w:cs="Arial"/>
      <w:color w:val="000000"/>
      <w:sz w:val="20"/>
      <w:szCs w:val="20"/>
      <w:shd w:val="clear" w:color="auto" w:fill="FFFFFF"/>
    </w:rPr>
  </w:style>
  <w:style w:type="paragraph" w:customStyle="1" w:styleId="sche23">
    <w:name w:val="sche2_3"/>
    <w:uiPriority w:val="99"/>
    <w:pPr>
      <w:widowControl w:val="0"/>
      <w:autoSpaceDE w:val="0"/>
      <w:autoSpaceDN w:val="0"/>
      <w:adjustRightInd w:val="0"/>
      <w:spacing w:after="0" w:line="240" w:lineRule="auto"/>
      <w:jc w:val="right"/>
    </w:pPr>
    <w:rPr>
      <w:rFonts w:ascii="Arial" w:hAnsi="Arial" w:cs="Arial"/>
      <w:color w:val="000000"/>
      <w:sz w:val="20"/>
      <w:szCs w:val="20"/>
      <w:shd w:val="clear" w:color="auto" w:fill="FFFFFF"/>
    </w:rPr>
  </w:style>
  <w:style w:type="paragraph" w:customStyle="1" w:styleId="sche4">
    <w:name w:val="sche_4"/>
    <w:uiPriority w:val="99"/>
    <w:pPr>
      <w:widowControl w:val="0"/>
      <w:autoSpaceDE w:val="0"/>
      <w:autoSpaceDN w:val="0"/>
      <w:adjustRightInd w:val="0"/>
      <w:spacing w:after="0" w:line="240" w:lineRule="auto"/>
      <w:jc w:val="both"/>
    </w:pPr>
    <w:rPr>
      <w:rFonts w:ascii="Arial" w:hAnsi="Arial" w:cs="Arial"/>
      <w:color w:val="000000"/>
      <w:sz w:val="20"/>
      <w:szCs w:val="20"/>
      <w:shd w:val="clear" w:color="auto" w:fill="FFFFFF"/>
    </w:rPr>
  </w:style>
  <w:style w:type="paragraph" w:styleId="Testonormale0">
    <w:name w:val="Plain Text"/>
    <w:basedOn w:val="Normale"/>
    <w:link w:val="TestonormaleCarattere0"/>
    <w:uiPriority w:val="99"/>
    <w:pPr>
      <w:spacing w:after="0"/>
      <w:jc w:val="left"/>
    </w:pPr>
    <w:rPr>
      <w:rFonts w:ascii="Courier New" w:hAnsi="Courier New" w:cs="Courier New"/>
      <w:color w:val="000000"/>
      <w:sz w:val="20"/>
      <w:szCs w:val="20"/>
      <w:shd w:val="clear" w:color="auto" w:fill="FFFFFF"/>
    </w:rPr>
  </w:style>
  <w:style w:type="character" w:customStyle="1" w:styleId="TestonormaleCarattere0">
    <w:name w:val="Testo normale Carattere"/>
    <w:basedOn w:val="Carpredefinitoparagrafo"/>
    <w:link w:val="Testonormale0"/>
    <w:uiPriority w:val="99"/>
    <w:semiHidden/>
    <w:rPr>
      <w:rFonts w:ascii="Courier New" w:hAnsi="Courier New" w:cs="Courier New"/>
      <w:color w:val="000000"/>
      <w:sz w:val="20"/>
      <w:szCs w:val="20"/>
    </w:rPr>
  </w:style>
  <w:style w:type="paragraph" w:customStyle="1" w:styleId="num1">
    <w:name w:val="num_1"/>
    <w:uiPriority w:val="99"/>
    <w:pPr>
      <w:widowControl w:val="0"/>
      <w:autoSpaceDE w:val="0"/>
      <w:autoSpaceDN w:val="0"/>
      <w:adjustRightInd w:val="0"/>
      <w:spacing w:before="385" w:after="0" w:line="240" w:lineRule="auto"/>
      <w:jc w:val="both"/>
    </w:pPr>
    <w:rPr>
      <w:rFonts w:ascii="Arial" w:hAnsi="Arial" w:cs="Arial"/>
      <w:color w:val="000000"/>
      <w:shd w:val="clear" w:color="auto" w:fill="FFFFFF"/>
    </w:rPr>
  </w:style>
  <w:style w:type="paragraph" w:customStyle="1" w:styleId="num3">
    <w:name w:val="num_3"/>
    <w:uiPriority w:val="99"/>
    <w:pPr>
      <w:widowControl w:val="0"/>
      <w:autoSpaceDE w:val="0"/>
      <w:autoSpaceDN w:val="0"/>
      <w:adjustRightInd w:val="0"/>
      <w:spacing w:before="171" w:after="0" w:line="240" w:lineRule="auto"/>
      <w:ind w:firstLine="385"/>
      <w:jc w:val="both"/>
    </w:pPr>
    <w:rPr>
      <w:rFonts w:ascii="Arial" w:hAnsi="Arial" w:cs="Arial"/>
      <w:color w:val="000000"/>
      <w:shd w:val="clear" w:color="auto" w:fill="FFFFFF"/>
    </w:rPr>
  </w:style>
  <w:style w:type="paragraph" w:customStyle="1" w:styleId="sche11">
    <w:name w:val="sche1_1"/>
    <w:uiPriority w:val="99"/>
    <w:pPr>
      <w:widowControl w:val="0"/>
      <w:autoSpaceDE w:val="0"/>
      <w:autoSpaceDN w:val="0"/>
      <w:adjustRightInd w:val="0"/>
      <w:spacing w:before="385" w:after="0" w:line="240" w:lineRule="auto"/>
      <w:jc w:val="center"/>
    </w:pPr>
    <w:rPr>
      <w:rFonts w:ascii="Arial" w:hAnsi="Arial" w:cs="Arial"/>
      <w:color w:val="000000"/>
      <w:sz w:val="20"/>
      <w:szCs w:val="20"/>
      <w:shd w:val="clear" w:color="auto" w:fill="FFFFFF"/>
    </w:rPr>
  </w:style>
  <w:style w:type="paragraph" w:customStyle="1" w:styleId="sche12">
    <w:name w:val="sche1_2"/>
    <w:uiPriority w:val="99"/>
    <w:pPr>
      <w:widowControl w:val="0"/>
      <w:autoSpaceDE w:val="0"/>
      <w:autoSpaceDN w:val="0"/>
      <w:adjustRightInd w:val="0"/>
      <w:spacing w:after="0" w:line="240" w:lineRule="auto"/>
      <w:jc w:val="center"/>
    </w:pPr>
    <w:rPr>
      <w:rFonts w:ascii="Arial" w:hAnsi="Arial" w:cs="Arial"/>
      <w:color w:val="000000"/>
      <w:sz w:val="20"/>
      <w:szCs w:val="20"/>
      <w:shd w:val="clear" w:color="auto" w:fill="FFFFFF"/>
    </w:rPr>
  </w:style>
  <w:style w:type="paragraph" w:customStyle="1" w:styleId="sche13">
    <w:name w:val="sche1_3"/>
    <w:uiPriority w:val="99"/>
    <w:pPr>
      <w:widowControl w:val="0"/>
      <w:autoSpaceDE w:val="0"/>
      <w:autoSpaceDN w:val="0"/>
      <w:adjustRightInd w:val="0"/>
      <w:spacing w:after="0" w:line="240" w:lineRule="auto"/>
      <w:jc w:val="center"/>
    </w:pPr>
    <w:rPr>
      <w:rFonts w:ascii="Arial" w:hAnsi="Arial" w:cs="Arial"/>
      <w:color w:val="000000"/>
      <w:sz w:val="20"/>
      <w:szCs w:val="20"/>
      <w:shd w:val="clear" w:color="auto" w:fill="FFFFFF"/>
    </w:rPr>
  </w:style>
  <w:style w:type="paragraph" w:customStyle="1" w:styleId="sche2">
    <w:name w:val="sche_2"/>
    <w:uiPriority w:val="99"/>
    <w:pPr>
      <w:widowControl w:val="0"/>
      <w:autoSpaceDE w:val="0"/>
      <w:autoSpaceDN w:val="0"/>
      <w:adjustRightInd w:val="0"/>
      <w:spacing w:before="256" w:after="0" w:line="240" w:lineRule="auto"/>
      <w:jc w:val="both"/>
    </w:pPr>
    <w:rPr>
      <w:rFonts w:ascii="Arial" w:hAnsi="Arial" w:cs="Arial"/>
      <w:color w:val="000000"/>
      <w:sz w:val="20"/>
      <w:szCs w:val="20"/>
      <w:shd w:val="clear" w:color="auto" w:fill="FFFFFF"/>
    </w:rPr>
  </w:style>
  <w:style w:type="paragraph" w:customStyle="1" w:styleId="sche1">
    <w:name w:val="sche_1"/>
    <w:uiPriority w:val="99"/>
    <w:pPr>
      <w:widowControl w:val="0"/>
      <w:autoSpaceDE w:val="0"/>
      <w:autoSpaceDN w:val="0"/>
      <w:adjustRightInd w:val="0"/>
      <w:spacing w:before="256" w:after="0" w:line="240" w:lineRule="auto"/>
      <w:jc w:val="center"/>
    </w:pPr>
    <w:rPr>
      <w:rFonts w:ascii="Arial" w:hAnsi="Arial" w:cs="Arial"/>
      <w:color w:val="000000"/>
      <w:sz w:val="20"/>
      <w:szCs w:val="20"/>
      <w:shd w:val="clear" w:color="auto" w:fill="FFFFFF"/>
    </w:rPr>
  </w:style>
  <w:style w:type="paragraph" w:customStyle="1" w:styleId="sche21">
    <w:name w:val="sche2_1"/>
    <w:uiPriority w:val="99"/>
    <w:pPr>
      <w:widowControl w:val="0"/>
      <w:autoSpaceDE w:val="0"/>
      <w:autoSpaceDN w:val="0"/>
      <w:adjustRightInd w:val="0"/>
      <w:spacing w:before="256" w:after="0" w:line="240" w:lineRule="auto"/>
      <w:jc w:val="right"/>
    </w:pPr>
    <w:rPr>
      <w:rFonts w:ascii="Arial" w:hAnsi="Arial" w:cs="Arial"/>
      <w:color w:val="000000"/>
      <w:sz w:val="20"/>
      <w:szCs w:val="20"/>
      <w:shd w:val="clear" w:color="auto" w:fill="FFFFFF"/>
    </w:rPr>
  </w:style>
  <w:style w:type="paragraph" w:customStyle="1" w:styleId="sche24">
    <w:name w:val="sche2_4"/>
    <w:uiPriority w:val="99"/>
    <w:pPr>
      <w:widowControl w:val="0"/>
      <w:autoSpaceDE w:val="0"/>
      <w:autoSpaceDN w:val="0"/>
      <w:adjustRightInd w:val="0"/>
      <w:spacing w:before="128" w:after="0" w:line="240" w:lineRule="auto"/>
      <w:jc w:val="right"/>
    </w:pPr>
    <w:rPr>
      <w:rFonts w:ascii="Arial" w:hAnsi="Arial" w:cs="Arial"/>
      <w:color w:val="000000"/>
      <w:sz w:val="20"/>
      <w:szCs w:val="20"/>
      <w:shd w:val="clear" w:color="auto" w:fill="FFFFFF"/>
    </w:rPr>
  </w:style>
  <w:style w:type="paragraph" w:customStyle="1" w:styleId="foot1">
    <w:name w:val="foot_1"/>
    <w:uiPriority w:val="99"/>
    <w:pPr>
      <w:widowControl w:val="0"/>
      <w:autoSpaceDE w:val="0"/>
      <w:autoSpaceDN w:val="0"/>
      <w:adjustRightInd w:val="0"/>
      <w:spacing w:after="0" w:line="240" w:lineRule="auto"/>
      <w:ind w:firstLine="385"/>
      <w:jc w:val="both"/>
    </w:pPr>
    <w:rPr>
      <w:rFonts w:ascii="Arial" w:hAnsi="Arial" w:cs="Arial"/>
      <w:color w:val="000000"/>
      <w:sz w:val="18"/>
      <w:szCs w:val="18"/>
      <w:shd w:val="clear" w:color="auto" w:fill="FFFFFF"/>
    </w:rPr>
  </w:style>
  <w:style w:type="paragraph" w:customStyle="1" w:styleId="sche14">
    <w:name w:val="sche1_4"/>
    <w:uiPriority w:val="99"/>
    <w:pPr>
      <w:widowControl w:val="0"/>
      <w:autoSpaceDE w:val="0"/>
      <w:autoSpaceDN w:val="0"/>
      <w:adjustRightInd w:val="0"/>
      <w:spacing w:before="256" w:after="0" w:line="240" w:lineRule="auto"/>
      <w:jc w:val="center"/>
    </w:pPr>
    <w:rPr>
      <w:rFonts w:ascii="Arial" w:hAnsi="Arial" w:cs="Arial"/>
      <w:color w:val="000000"/>
      <w:sz w:val="20"/>
      <w:szCs w:val="20"/>
      <w:shd w:val="clear" w:color="auto" w:fill="FFFFFF"/>
    </w:rPr>
  </w:style>
  <w:style w:type="paragraph" w:customStyle="1" w:styleId="sche15">
    <w:name w:val="sche1_5"/>
    <w:uiPriority w:val="99"/>
    <w:pPr>
      <w:widowControl w:val="0"/>
      <w:autoSpaceDE w:val="0"/>
      <w:autoSpaceDN w:val="0"/>
      <w:adjustRightInd w:val="0"/>
      <w:spacing w:before="256" w:after="0" w:line="240" w:lineRule="auto"/>
      <w:jc w:val="both"/>
    </w:pPr>
    <w:rPr>
      <w:rFonts w:ascii="Arial" w:hAnsi="Arial" w:cs="Arial"/>
      <w:color w:val="000000"/>
      <w:sz w:val="20"/>
      <w:szCs w:val="20"/>
      <w:shd w:val="clear" w:color="auto" w:fill="FFFFFF"/>
    </w:rPr>
  </w:style>
  <w:style w:type="paragraph" w:customStyle="1" w:styleId="sche16">
    <w:name w:val="sche1_6"/>
    <w:uiPriority w:val="99"/>
    <w:pPr>
      <w:widowControl w:val="0"/>
      <w:autoSpaceDE w:val="0"/>
      <w:autoSpaceDN w:val="0"/>
      <w:adjustRightInd w:val="0"/>
      <w:spacing w:after="0" w:line="240" w:lineRule="auto"/>
      <w:jc w:val="both"/>
    </w:pPr>
    <w:rPr>
      <w:rFonts w:ascii="Helvetica" w:hAnsi="Helvetica" w:cs="Helvetica"/>
      <w:color w:val="000000"/>
      <w:sz w:val="20"/>
      <w:szCs w:val="20"/>
      <w:shd w:val="clear" w:color="auto" w:fill="FFFFFF"/>
    </w:rPr>
  </w:style>
  <w:style w:type="paragraph" w:customStyle="1" w:styleId="mamma">
    <w:name w:val="mamma"/>
    <w:uiPriority w:val="99"/>
    <w:pPr>
      <w:widowControl w:val="0"/>
      <w:autoSpaceDE w:val="0"/>
      <w:autoSpaceDN w:val="0"/>
      <w:adjustRightInd w:val="0"/>
      <w:spacing w:after="0" w:line="480" w:lineRule="auto"/>
    </w:pPr>
    <w:rPr>
      <w:rFonts w:ascii="Arial" w:hAnsi="Arial" w:cs="Arial"/>
      <w:color w:val="000000"/>
      <w:spacing w:val="30"/>
      <w:sz w:val="28"/>
      <w:szCs w:val="28"/>
      <w:shd w:val="clear" w:color="auto" w:fill="FFFFFF"/>
    </w:rPr>
  </w:style>
  <w:style w:type="paragraph" w:customStyle="1" w:styleId="BodyText21">
    <w:name w:val="Body Text 21"/>
    <w:uiPriority w:val="99"/>
    <w:pPr>
      <w:widowControl w:val="0"/>
      <w:autoSpaceDE w:val="0"/>
      <w:autoSpaceDN w:val="0"/>
      <w:adjustRightInd w:val="0"/>
      <w:spacing w:after="0" w:line="240" w:lineRule="auto"/>
      <w:jc w:val="both"/>
    </w:pPr>
    <w:rPr>
      <w:rFonts w:ascii="Arial" w:hAnsi="Arial" w:cs="Arial"/>
      <w:color w:val="000000"/>
      <w:sz w:val="24"/>
      <w:szCs w:val="24"/>
      <w:shd w:val="clear" w:color="auto" w:fill="FFFFFF"/>
    </w:rPr>
  </w:style>
  <w:style w:type="paragraph" w:styleId="Indice1">
    <w:name w:val="index 1"/>
    <w:basedOn w:val="Normale"/>
    <w:next w:val="Normale"/>
    <w:uiPriority w:val="99"/>
    <w:pPr>
      <w:spacing w:after="0" w:line="260" w:lineRule="atLeast"/>
      <w:jc w:val="left"/>
    </w:pPr>
    <w:rPr>
      <w:color w:val="000000"/>
      <w:sz w:val="24"/>
      <w:szCs w:val="24"/>
      <w:shd w:val="clear" w:color="auto" w:fill="FFFFFF"/>
    </w:rPr>
  </w:style>
  <w:style w:type="paragraph" w:styleId="Indice2">
    <w:name w:val="index 2"/>
    <w:basedOn w:val="Normale"/>
    <w:next w:val="Normale"/>
    <w:uiPriority w:val="99"/>
    <w:pPr>
      <w:tabs>
        <w:tab w:val="left" w:leader="dot" w:pos="4706"/>
        <w:tab w:val="left" w:pos="4990"/>
        <w:tab w:val="right" w:pos="5557"/>
      </w:tabs>
      <w:spacing w:after="0" w:line="260" w:lineRule="atLeast"/>
      <w:jc w:val="left"/>
    </w:pPr>
    <w:rPr>
      <w:color w:val="000000"/>
      <w:sz w:val="24"/>
      <w:szCs w:val="24"/>
      <w:shd w:val="clear" w:color="auto" w:fill="FFFFFF"/>
    </w:rPr>
  </w:style>
  <w:style w:type="paragraph" w:styleId="Indice3">
    <w:name w:val="index 3"/>
    <w:basedOn w:val="Normale"/>
    <w:next w:val="Normale"/>
    <w:uiPriority w:val="99"/>
    <w:pPr>
      <w:tabs>
        <w:tab w:val="left" w:pos="964"/>
        <w:tab w:val="left" w:leader="dot" w:pos="4706"/>
        <w:tab w:val="left" w:pos="4990"/>
        <w:tab w:val="right" w:pos="5557"/>
      </w:tabs>
      <w:spacing w:after="0"/>
      <w:ind w:left="964" w:hanging="396"/>
    </w:pPr>
    <w:rPr>
      <w:color w:val="000000"/>
      <w:sz w:val="24"/>
      <w:szCs w:val="24"/>
      <w:shd w:val="clear" w:color="auto" w:fill="FFFFFF"/>
    </w:rPr>
  </w:style>
  <w:style w:type="paragraph" w:styleId="Indice4">
    <w:name w:val="index 4"/>
    <w:basedOn w:val="Normale"/>
    <w:next w:val="Normale"/>
    <w:uiPriority w:val="99"/>
    <w:pPr>
      <w:tabs>
        <w:tab w:val="left" w:pos="453"/>
        <w:tab w:val="left" w:leader="dot" w:pos="4706"/>
        <w:tab w:val="left" w:pos="4990"/>
        <w:tab w:val="right" w:pos="5557"/>
      </w:tabs>
      <w:spacing w:after="0" w:line="260" w:lineRule="atLeast"/>
      <w:ind w:left="453" w:hanging="511"/>
    </w:pPr>
    <w:rPr>
      <w:color w:val="000000"/>
      <w:sz w:val="24"/>
      <w:szCs w:val="24"/>
      <w:shd w:val="clear" w:color="auto" w:fill="FFFFFF"/>
    </w:rPr>
  </w:style>
  <w:style w:type="paragraph" w:styleId="Indice5">
    <w:name w:val="index 5"/>
    <w:basedOn w:val="Normale"/>
    <w:next w:val="Normale"/>
    <w:uiPriority w:val="99"/>
    <w:pPr>
      <w:tabs>
        <w:tab w:val="left" w:pos="266"/>
        <w:tab w:val="right" w:leader="dot" w:pos="2096"/>
        <w:tab w:val="left" w:pos="2816"/>
        <w:tab w:val="left" w:pos="3521"/>
        <w:tab w:val="left" w:pos="4227"/>
        <w:tab w:val="left" w:pos="4933"/>
        <w:tab w:val="left" w:pos="5639"/>
        <w:tab w:val="left" w:pos="6358"/>
        <w:tab w:val="left" w:pos="7064"/>
        <w:tab w:val="left" w:pos="7770"/>
      </w:tabs>
      <w:spacing w:after="0"/>
      <w:ind w:left="266" w:hanging="217"/>
      <w:jc w:val="left"/>
    </w:pPr>
    <w:rPr>
      <w:color w:val="000000"/>
      <w:sz w:val="24"/>
      <w:szCs w:val="24"/>
      <w:shd w:val="clear" w:color="auto" w:fill="FFFFFF"/>
    </w:rPr>
  </w:style>
  <w:style w:type="paragraph" w:styleId="Indice6">
    <w:name w:val="index 6"/>
    <w:basedOn w:val="Normale"/>
    <w:next w:val="Normale"/>
    <w:uiPriority w:val="99"/>
    <w:pPr>
      <w:tabs>
        <w:tab w:val="left" w:pos="50"/>
        <w:tab w:val="right" w:leader="dot" w:pos="2096"/>
        <w:tab w:val="left" w:pos="2816"/>
        <w:tab w:val="left" w:pos="3521"/>
        <w:tab w:val="left" w:pos="4227"/>
        <w:tab w:val="left" w:pos="4933"/>
        <w:tab w:val="left" w:pos="5639"/>
        <w:tab w:val="left" w:pos="6358"/>
        <w:tab w:val="left" w:pos="7064"/>
        <w:tab w:val="left" w:pos="7770"/>
      </w:tabs>
      <w:spacing w:after="0"/>
      <w:ind w:left="50" w:hanging="216"/>
      <w:jc w:val="left"/>
    </w:pPr>
    <w:rPr>
      <w:color w:val="000000"/>
      <w:sz w:val="24"/>
      <w:szCs w:val="24"/>
      <w:shd w:val="clear" w:color="auto" w:fill="FFFFFF"/>
    </w:rPr>
  </w:style>
  <w:style w:type="paragraph" w:styleId="Indice7">
    <w:name w:val="index 7"/>
    <w:basedOn w:val="Normale"/>
    <w:next w:val="Normale"/>
    <w:uiPriority w:val="99"/>
    <w:pPr>
      <w:tabs>
        <w:tab w:val="left" w:pos="166"/>
        <w:tab w:val="right" w:leader="dot" w:pos="2096"/>
        <w:tab w:val="left" w:pos="2816"/>
        <w:tab w:val="left" w:pos="3521"/>
        <w:tab w:val="left" w:pos="4227"/>
        <w:tab w:val="left" w:pos="4933"/>
        <w:tab w:val="left" w:pos="5639"/>
        <w:tab w:val="left" w:pos="6358"/>
        <w:tab w:val="left" w:pos="7064"/>
        <w:tab w:val="left" w:pos="7770"/>
      </w:tabs>
      <w:spacing w:after="0"/>
      <w:ind w:left="166" w:hanging="216"/>
      <w:jc w:val="left"/>
    </w:pPr>
    <w:rPr>
      <w:color w:val="000000"/>
      <w:sz w:val="24"/>
      <w:szCs w:val="24"/>
      <w:shd w:val="clear" w:color="auto" w:fill="FFFFFF"/>
    </w:rPr>
  </w:style>
  <w:style w:type="paragraph" w:styleId="Indice8">
    <w:name w:val="index 8"/>
    <w:basedOn w:val="Normale"/>
    <w:next w:val="Normale"/>
    <w:uiPriority w:val="99"/>
    <w:pPr>
      <w:tabs>
        <w:tab w:val="left" w:pos="396"/>
        <w:tab w:val="right" w:leader="dot" w:pos="2096"/>
        <w:tab w:val="left" w:pos="2816"/>
        <w:tab w:val="left" w:pos="3521"/>
        <w:tab w:val="left" w:pos="4227"/>
        <w:tab w:val="left" w:pos="4933"/>
        <w:tab w:val="left" w:pos="5639"/>
        <w:tab w:val="left" w:pos="6358"/>
        <w:tab w:val="left" w:pos="7064"/>
        <w:tab w:val="left" w:pos="7770"/>
      </w:tabs>
      <w:spacing w:after="0"/>
      <w:ind w:left="396" w:hanging="230"/>
      <w:jc w:val="left"/>
    </w:pPr>
    <w:rPr>
      <w:color w:val="000000"/>
      <w:sz w:val="24"/>
      <w:szCs w:val="24"/>
      <w:shd w:val="clear" w:color="auto" w:fill="FFFFFF"/>
    </w:rPr>
  </w:style>
  <w:style w:type="paragraph" w:styleId="Indice9">
    <w:name w:val="index 9"/>
    <w:basedOn w:val="Normale"/>
    <w:next w:val="Normale"/>
    <w:uiPriority w:val="99"/>
    <w:pPr>
      <w:tabs>
        <w:tab w:val="left" w:pos="612"/>
        <w:tab w:val="right" w:leader="dot" w:pos="2096"/>
        <w:tab w:val="left" w:pos="2816"/>
        <w:tab w:val="left" w:pos="3521"/>
        <w:tab w:val="left" w:pos="4227"/>
        <w:tab w:val="left" w:pos="4933"/>
        <w:tab w:val="left" w:pos="5639"/>
        <w:tab w:val="left" w:pos="6358"/>
        <w:tab w:val="left" w:pos="7064"/>
        <w:tab w:val="left" w:pos="7770"/>
      </w:tabs>
      <w:spacing w:after="0"/>
      <w:ind w:left="612" w:hanging="216"/>
      <w:jc w:val="left"/>
    </w:pPr>
    <w:rPr>
      <w:color w:val="000000"/>
      <w:sz w:val="24"/>
      <w:szCs w:val="24"/>
      <w:shd w:val="clear" w:color="auto" w:fill="FFFFFF"/>
    </w:rPr>
  </w:style>
  <w:style w:type="paragraph" w:styleId="Indicedellefigure">
    <w:name w:val="table of figures"/>
    <w:basedOn w:val="Normale"/>
    <w:next w:val="Normale"/>
    <w:uiPriority w:val="99"/>
    <w:pPr>
      <w:tabs>
        <w:tab w:val="left" w:pos="929"/>
        <w:tab w:val="left" w:pos="1360"/>
        <w:tab w:val="right" w:leader="dot" w:pos="6286"/>
        <w:tab w:val="left" w:pos="6992"/>
        <w:tab w:val="left" w:pos="7713"/>
      </w:tabs>
      <w:spacing w:after="0"/>
      <w:ind w:left="929" w:hanging="431"/>
      <w:jc w:val="left"/>
    </w:pPr>
    <w:rPr>
      <w:color w:val="000000"/>
      <w:sz w:val="24"/>
      <w:szCs w:val="24"/>
      <w:shd w:val="clear" w:color="auto" w:fill="FFFFFF"/>
    </w:rPr>
  </w:style>
  <w:style w:type="paragraph" w:styleId="Indicefonti">
    <w:name w:val="table of authorities"/>
    <w:basedOn w:val="Normale"/>
    <w:next w:val="Normale"/>
    <w:uiPriority w:val="99"/>
    <w:pPr>
      <w:tabs>
        <w:tab w:val="right" w:leader="dot" w:pos="6286"/>
        <w:tab w:val="left" w:pos="6992"/>
        <w:tab w:val="left" w:pos="7713"/>
      </w:tabs>
      <w:spacing w:after="0"/>
      <w:ind w:left="1144" w:hanging="216"/>
      <w:jc w:val="left"/>
    </w:pPr>
    <w:rPr>
      <w:color w:val="000000"/>
      <w:sz w:val="24"/>
      <w:szCs w:val="24"/>
      <w:shd w:val="clear" w:color="auto" w:fill="FFFFFF"/>
    </w:rPr>
  </w:style>
  <w:style w:type="paragraph" w:customStyle="1" w:styleId="Intestazionedispari">
    <w:name w:val="Intestazione dispari"/>
    <w:uiPriority w:val="99"/>
    <w:pPr>
      <w:widowControl w:val="0"/>
      <w:autoSpaceDE w:val="0"/>
      <w:autoSpaceDN w:val="0"/>
      <w:adjustRightInd w:val="0"/>
      <w:spacing w:after="0" w:line="260" w:lineRule="atLeast"/>
    </w:pPr>
    <w:rPr>
      <w:rFonts w:ascii="Arial" w:hAnsi="Arial" w:cs="Arial"/>
      <w:color w:val="000000"/>
      <w:sz w:val="24"/>
      <w:szCs w:val="24"/>
      <w:shd w:val="clear" w:color="auto" w:fill="FFFFFF"/>
    </w:rPr>
  </w:style>
  <w:style w:type="paragraph" w:customStyle="1" w:styleId="Intestazionepari">
    <w:name w:val="Intestazione pari"/>
    <w:uiPriority w:val="99"/>
    <w:pPr>
      <w:widowControl w:val="0"/>
      <w:autoSpaceDE w:val="0"/>
      <w:autoSpaceDN w:val="0"/>
      <w:adjustRightInd w:val="0"/>
      <w:spacing w:after="0" w:line="240" w:lineRule="auto"/>
      <w:jc w:val="right"/>
    </w:pPr>
    <w:rPr>
      <w:rFonts w:ascii="Arial" w:hAnsi="Arial" w:cs="Arial"/>
      <w:color w:val="000000"/>
      <w:sz w:val="24"/>
      <w:szCs w:val="24"/>
      <w:shd w:val="clear" w:color="auto" w:fill="FFFFFF"/>
    </w:rPr>
  </w:style>
  <w:style w:type="paragraph" w:customStyle="1" w:styleId="numero">
    <w:name w:val="numero"/>
    <w:uiPriority w:val="99"/>
    <w:pPr>
      <w:widowControl w:val="0"/>
      <w:autoSpaceDE w:val="0"/>
      <w:autoSpaceDN w:val="0"/>
      <w:adjustRightInd w:val="0"/>
      <w:spacing w:after="0" w:line="240" w:lineRule="auto"/>
    </w:pPr>
    <w:rPr>
      <w:rFonts w:ascii="Arial" w:hAnsi="Arial" w:cs="Arial"/>
      <w:color w:val="000000"/>
      <w:sz w:val="24"/>
      <w:szCs w:val="24"/>
      <w:shd w:val="clear" w:color="auto" w:fill="FFFFFF"/>
    </w:rPr>
  </w:style>
  <w:style w:type="paragraph" w:styleId="Numeroelenco">
    <w:name w:val="List Number"/>
    <w:basedOn w:val="Normale"/>
    <w:uiPriority w:val="99"/>
    <w:pPr>
      <w:tabs>
        <w:tab w:val="left" w:pos="50"/>
        <w:tab w:val="left" w:pos="655"/>
        <w:tab w:val="left" w:pos="755"/>
        <w:tab w:val="left" w:pos="1088"/>
        <w:tab w:val="left" w:pos="1360"/>
        <w:tab w:val="left" w:pos="1462"/>
        <w:tab w:val="left" w:pos="2182"/>
        <w:tab w:val="left" w:pos="2888"/>
        <w:tab w:val="left" w:pos="3593"/>
        <w:tab w:val="left" w:pos="4299"/>
        <w:tab w:val="left" w:pos="5019"/>
        <w:tab w:val="left" w:pos="5724"/>
        <w:tab w:val="left" w:pos="6430"/>
        <w:tab w:val="left" w:pos="7137"/>
        <w:tab w:val="left" w:pos="7856"/>
      </w:tabs>
      <w:spacing w:after="0"/>
      <w:ind w:left="1088" w:hanging="272"/>
      <w:jc w:val="left"/>
    </w:pPr>
    <w:rPr>
      <w:color w:val="000000"/>
      <w:sz w:val="24"/>
      <w:szCs w:val="24"/>
      <w:shd w:val="clear" w:color="auto" w:fill="FFFFFF"/>
    </w:rPr>
  </w:style>
  <w:style w:type="paragraph" w:styleId="Numeroelenco2">
    <w:name w:val="List Number 2"/>
    <w:basedOn w:val="Normale"/>
    <w:uiPriority w:val="99"/>
    <w:pPr>
      <w:tabs>
        <w:tab w:val="left" w:pos="50"/>
        <w:tab w:val="left" w:pos="655"/>
        <w:tab w:val="left" w:pos="755"/>
        <w:tab w:val="left" w:pos="799"/>
        <w:tab w:val="left" w:pos="1462"/>
        <w:tab w:val="left" w:pos="2182"/>
        <w:tab w:val="left" w:pos="2888"/>
        <w:tab w:val="left" w:pos="3593"/>
        <w:tab w:val="left" w:pos="4299"/>
        <w:tab w:val="left" w:pos="5019"/>
        <w:tab w:val="left" w:pos="5724"/>
        <w:tab w:val="left" w:pos="6430"/>
        <w:tab w:val="left" w:pos="7137"/>
        <w:tab w:val="left" w:pos="7856"/>
      </w:tabs>
      <w:spacing w:after="0"/>
      <w:ind w:left="799" w:hanging="289"/>
      <w:jc w:val="left"/>
    </w:pPr>
    <w:rPr>
      <w:color w:val="000000"/>
      <w:sz w:val="24"/>
      <w:szCs w:val="24"/>
      <w:shd w:val="clear" w:color="auto" w:fill="FFFFFF"/>
    </w:rPr>
  </w:style>
  <w:style w:type="paragraph" w:styleId="Numeroelenco3">
    <w:name w:val="List Number 3"/>
    <w:basedOn w:val="Normale"/>
    <w:uiPriority w:val="99"/>
    <w:pPr>
      <w:tabs>
        <w:tab w:val="left" w:pos="50"/>
        <w:tab w:val="left" w:pos="526"/>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spacing w:after="0"/>
      <w:ind w:left="526" w:hanging="273"/>
      <w:jc w:val="left"/>
    </w:pPr>
    <w:rPr>
      <w:color w:val="000000"/>
      <w:sz w:val="24"/>
      <w:szCs w:val="24"/>
      <w:shd w:val="clear" w:color="auto" w:fill="FFFFFF"/>
    </w:rPr>
  </w:style>
  <w:style w:type="paragraph" w:styleId="Numeroelenco4">
    <w:name w:val="List Number 4"/>
    <w:basedOn w:val="Normale"/>
    <w:uiPriority w:val="99"/>
    <w:pPr>
      <w:tabs>
        <w:tab w:val="left" w:pos="50"/>
        <w:tab w:val="left" w:pos="237"/>
        <w:tab w:val="left" w:pos="755"/>
        <w:tab w:val="left" w:pos="1462"/>
        <w:tab w:val="left" w:pos="2182"/>
        <w:tab w:val="left" w:pos="2888"/>
        <w:tab w:val="left" w:pos="3593"/>
        <w:tab w:val="left" w:pos="4299"/>
        <w:tab w:val="left" w:pos="5019"/>
        <w:tab w:val="left" w:pos="5724"/>
        <w:tab w:val="left" w:pos="6430"/>
        <w:tab w:val="left" w:pos="7137"/>
        <w:tab w:val="left" w:pos="7856"/>
      </w:tabs>
      <w:spacing w:after="0"/>
      <w:ind w:left="237" w:hanging="289"/>
      <w:jc w:val="left"/>
    </w:pPr>
    <w:rPr>
      <w:color w:val="000000"/>
      <w:sz w:val="24"/>
      <w:szCs w:val="24"/>
      <w:shd w:val="clear" w:color="auto" w:fill="FFFFFF"/>
    </w:rPr>
  </w:style>
  <w:style w:type="paragraph" w:styleId="Numeroelenco5">
    <w:name w:val="List Number 5"/>
    <w:basedOn w:val="Normale"/>
    <w:uiPriority w:val="99"/>
    <w:pPr>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spacing w:after="0"/>
      <w:ind w:left="50" w:hanging="287"/>
      <w:jc w:val="left"/>
    </w:pPr>
    <w:rPr>
      <w:color w:val="000000"/>
      <w:sz w:val="24"/>
      <w:szCs w:val="24"/>
      <w:shd w:val="clear" w:color="auto" w:fill="FFFFFF"/>
    </w:rPr>
  </w:style>
  <w:style w:type="paragraph" w:styleId="Puntoelenco">
    <w:name w:val="List Bullet"/>
    <w:basedOn w:val="Normale"/>
    <w:uiPriority w:val="99"/>
    <w:pPr>
      <w:tabs>
        <w:tab w:val="left" w:pos="655"/>
        <w:tab w:val="left" w:pos="755"/>
        <w:tab w:val="left" w:pos="1088"/>
        <w:tab w:val="left" w:pos="1360"/>
        <w:tab w:val="left" w:pos="1462"/>
        <w:tab w:val="left" w:pos="2182"/>
        <w:tab w:val="left" w:pos="2888"/>
        <w:tab w:val="left" w:pos="3593"/>
        <w:tab w:val="left" w:pos="4299"/>
        <w:tab w:val="left" w:pos="5019"/>
        <w:tab w:val="left" w:pos="5724"/>
        <w:tab w:val="left" w:pos="6430"/>
        <w:tab w:val="left" w:pos="7137"/>
        <w:tab w:val="left" w:pos="7856"/>
      </w:tabs>
      <w:spacing w:after="0"/>
      <w:ind w:left="1088" w:hanging="272"/>
      <w:jc w:val="left"/>
    </w:pPr>
    <w:rPr>
      <w:color w:val="000000"/>
      <w:sz w:val="24"/>
      <w:szCs w:val="24"/>
      <w:shd w:val="clear" w:color="auto" w:fill="FFFFFF"/>
    </w:rPr>
  </w:style>
  <w:style w:type="paragraph" w:styleId="Puntoelenco2">
    <w:name w:val="List Bullet 2"/>
    <w:basedOn w:val="Normale"/>
    <w:uiPriority w:val="99"/>
    <w:pPr>
      <w:tabs>
        <w:tab w:val="left" w:pos="50"/>
        <w:tab w:val="left" w:pos="655"/>
        <w:tab w:val="left" w:pos="755"/>
        <w:tab w:val="left" w:pos="799"/>
        <w:tab w:val="left" w:pos="1462"/>
        <w:tab w:val="left" w:pos="2182"/>
        <w:tab w:val="left" w:pos="2888"/>
        <w:tab w:val="left" w:pos="3593"/>
        <w:tab w:val="left" w:pos="4299"/>
        <w:tab w:val="left" w:pos="5019"/>
        <w:tab w:val="left" w:pos="5724"/>
        <w:tab w:val="left" w:pos="6430"/>
        <w:tab w:val="left" w:pos="7137"/>
        <w:tab w:val="left" w:pos="7856"/>
      </w:tabs>
      <w:spacing w:after="0"/>
      <w:ind w:left="799" w:hanging="289"/>
      <w:jc w:val="left"/>
    </w:pPr>
    <w:rPr>
      <w:color w:val="000000"/>
      <w:sz w:val="24"/>
      <w:szCs w:val="24"/>
      <w:shd w:val="clear" w:color="auto" w:fill="FFFFFF"/>
    </w:rPr>
  </w:style>
  <w:style w:type="paragraph" w:styleId="Puntoelenco3">
    <w:name w:val="List Bullet 3"/>
    <w:basedOn w:val="Normale"/>
    <w:uiPriority w:val="99"/>
    <w:pPr>
      <w:tabs>
        <w:tab w:val="left" w:pos="50"/>
        <w:tab w:val="left" w:pos="526"/>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spacing w:after="0"/>
      <w:ind w:left="526" w:hanging="273"/>
      <w:jc w:val="left"/>
    </w:pPr>
    <w:rPr>
      <w:color w:val="000000"/>
      <w:sz w:val="24"/>
      <w:szCs w:val="24"/>
      <w:shd w:val="clear" w:color="auto" w:fill="FFFFFF"/>
    </w:rPr>
  </w:style>
  <w:style w:type="paragraph" w:styleId="Puntoelenco4">
    <w:name w:val="List Bullet 4"/>
    <w:basedOn w:val="Normale"/>
    <w:uiPriority w:val="99"/>
    <w:pPr>
      <w:tabs>
        <w:tab w:val="left" w:pos="50"/>
        <w:tab w:val="left" w:pos="237"/>
        <w:tab w:val="left" w:pos="755"/>
        <w:tab w:val="left" w:pos="1462"/>
        <w:tab w:val="left" w:pos="2182"/>
        <w:tab w:val="left" w:pos="2888"/>
        <w:tab w:val="left" w:pos="3593"/>
        <w:tab w:val="left" w:pos="4299"/>
        <w:tab w:val="left" w:pos="5019"/>
        <w:tab w:val="left" w:pos="5724"/>
        <w:tab w:val="left" w:pos="6430"/>
        <w:tab w:val="left" w:pos="7137"/>
        <w:tab w:val="left" w:pos="7856"/>
      </w:tabs>
      <w:spacing w:after="0"/>
      <w:ind w:left="237" w:hanging="289"/>
      <w:jc w:val="left"/>
    </w:pPr>
    <w:rPr>
      <w:color w:val="000000"/>
      <w:sz w:val="24"/>
      <w:szCs w:val="24"/>
      <w:shd w:val="clear" w:color="auto" w:fill="FFFFFF"/>
    </w:rPr>
  </w:style>
  <w:style w:type="paragraph" w:styleId="Puntoelenco5">
    <w:name w:val="List Bullet 5"/>
    <w:basedOn w:val="Normale"/>
    <w:uiPriority w:val="99"/>
    <w:pPr>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spacing w:after="0"/>
      <w:ind w:left="50" w:hanging="287"/>
      <w:jc w:val="left"/>
    </w:pPr>
    <w:rPr>
      <w:color w:val="000000"/>
      <w:sz w:val="24"/>
      <w:szCs w:val="24"/>
      <w:shd w:val="clear" w:color="auto" w:fill="FFFFFF"/>
    </w:rPr>
  </w:style>
  <w:style w:type="paragraph" w:styleId="Rientronormale">
    <w:name w:val="Normal Indent"/>
    <w:basedOn w:val="Normale"/>
    <w:uiPriority w:val="99"/>
    <w:pPr>
      <w:tabs>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spacing w:after="0"/>
      <w:ind w:left="655"/>
      <w:jc w:val="left"/>
    </w:pPr>
    <w:rPr>
      <w:color w:val="000000"/>
      <w:sz w:val="24"/>
      <w:szCs w:val="24"/>
      <w:shd w:val="clear" w:color="auto" w:fill="FFFFFF"/>
    </w:rPr>
  </w:style>
  <w:style w:type="paragraph" w:customStyle="1" w:styleId="separatore">
    <w:name w:val="separatore"/>
    <w:uiPriority w:val="99"/>
    <w:pPr>
      <w:widowControl w:val="0"/>
      <w:autoSpaceDE w:val="0"/>
      <w:autoSpaceDN w:val="0"/>
      <w:adjustRightInd w:val="0"/>
      <w:spacing w:after="0" w:line="260" w:lineRule="atLeast"/>
      <w:jc w:val="both"/>
    </w:pPr>
    <w:rPr>
      <w:rFonts w:ascii="Arial" w:hAnsi="Arial" w:cs="Arial"/>
      <w:color w:val="000000"/>
      <w:sz w:val="24"/>
      <w:szCs w:val="24"/>
      <w:shd w:val="clear" w:color="auto" w:fill="FFFFFF"/>
    </w:rPr>
  </w:style>
  <w:style w:type="paragraph" w:customStyle="1" w:styleId="separatore2">
    <w:name w:val="separatore2"/>
    <w:uiPriority w:val="99"/>
    <w:pPr>
      <w:widowControl w:val="0"/>
      <w:autoSpaceDE w:val="0"/>
      <w:autoSpaceDN w:val="0"/>
      <w:adjustRightInd w:val="0"/>
      <w:spacing w:after="0" w:line="260" w:lineRule="atLeast"/>
      <w:jc w:val="center"/>
    </w:pPr>
    <w:rPr>
      <w:rFonts w:ascii="Arial" w:hAnsi="Arial" w:cs="Arial"/>
      <w:color w:val="000000"/>
      <w:sz w:val="24"/>
      <w:szCs w:val="24"/>
      <w:shd w:val="clear" w:color="auto" w:fill="FFFFFF"/>
    </w:rPr>
  </w:style>
  <w:style w:type="paragraph" w:styleId="Sommario4">
    <w:name w:val="toc 4"/>
    <w:basedOn w:val="Normale"/>
    <w:next w:val="Normale"/>
    <w:uiPriority w:val="99"/>
    <w:pPr>
      <w:tabs>
        <w:tab w:val="left" w:pos="929"/>
        <w:tab w:val="right" w:leader="dot" w:pos="6286"/>
        <w:tab w:val="left" w:pos="6992"/>
        <w:tab w:val="left" w:pos="7713"/>
      </w:tabs>
      <w:spacing w:after="0"/>
      <w:ind w:left="929"/>
      <w:jc w:val="left"/>
    </w:pPr>
    <w:rPr>
      <w:color w:val="000000"/>
      <w:sz w:val="24"/>
      <w:szCs w:val="24"/>
      <w:shd w:val="clear" w:color="auto" w:fill="FFFFFF"/>
    </w:rPr>
  </w:style>
  <w:style w:type="paragraph" w:styleId="Sommario5">
    <w:name w:val="toc 5"/>
    <w:basedOn w:val="Normale"/>
    <w:next w:val="Normale"/>
    <w:uiPriority w:val="99"/>
    <w:pPr>
      <w:tabs>
        <w:tab w:val="left" w:pos="713"/>
        <w:tab w:val="right" w:leader="dot" w:pos="6286"/>
        <w:tab w:val="left" w:pos="6992"/>
        <w:tab w:val="left" w:pos="7713"/>
      </w:tabs>
      <w:spacing w:after="0"/>
      <w:ind w:left="713"/>
      <w:jc w:val="left"/>
    </w:pPr>
    <w:rPr>
      <w:color w:val="000000"/>
      <w:sz w:val="24"/>
      <w:szCs w:val="24"/>
      <w:shd w:val="clear" w:color="auto" w:fill="FFFFFF"/>
    </w:rPr>
  </w:style>
  <w:style w:type="paragraph" w:styleId="Sommario6">
    <w:name w:val="toc 6"/>
    <w:basedOn w:val="Normale"/>
    <w:next w:val="Normale"/>
    <w:uiPriority w:val="99"/>
    <w:pPr>
      <w:tabs>
        <w:tab w:val="left" w:pos="483"/>
        <w:tab w:val="right" w:leader="dot" w:pos="6286"/>
        <w:tab w:val="left" w:pos="6992"/>
        <w:tab w:val="left" w:pos="7713"/>
      </w:tabs>
      <w:spacing w:after="0"/>
      <w:ind w:left="483"/>
      <w:jc w:val="left"/>
    </w:pPr>
    <w:rPr>
      <w:color w:val="000000"/>
      <w:sz w:val="24"/>
      <w:szCs w:val="24"/>
      <w:shd w:val="clear" w:color="auto" w:fill="FFFFFF"/>
    </w:rPr>
  </w:style>
  <w:style w:type="paragraph" w:styleId="Sommario7">
    <w:name w:val="toc 7"/>
    <w:basedOn w:val="Normale"/>
    <w:next w:val="Normale"/>
    <w:uiPriority w:val="99"/>
    <w:pPr>
      <w:tabs>
        <w:tab w:val="left" w:pos="266"/>
        <w:tab w:val="right" w:leader="dot" w:pos="6286"/>
        <w:tab w:val="left" w:pos="6992"/>
        <w:tab w:val="left" w:pos="7713"/>
      </w:tabs>
      <w:spacing w:after="0"/>
      <w:ind w:left="266"/>
      <w:jc w:val="left"/>
    </w:pPr>
    <w:rPr>
      <w:color w:val="000000"/>
      <w:sz w:val="24"/>
      <w:szCs w:val="24"/>
      <w:shd w:val="clear" w:color="auto" w:fill="FFFFFF"/>
    </w:rPr>
  </w:style>
  <w:style w:type="paragraph" w:styleId="Sommario8">
    <w:name w:val="toc 8"/>
    <w:basedOn w:val="Normale"/>
    <w:next w:val="Normale"/>
    <w:uiPriority w:val="99"/>
    <w:pPr>
      <w:tabs>
        <w:tab w:val="left" w:pos="50"/>
        <w:tab w:val="right" w:leader="dot" w:pos="6286"/>
        <w:tab w:val="left" w:pos="6992"/>
        <w:tab w:val="left" w:pos="7713"/>
      </w:tabs>
      <w:spacing w:after="0"/>
      <w:ind w:left="50"/>
      <w:jc w:val="left"/>
    </w:pPr>
    <w:rPr>
      <w:color w:val="000000"/>
      <w:sz w:val="24"/>
      <w:szCs w:val="24"/>
      <w:shd w:val="clear" w:color="auto" w:fill="FFFFFF"/>
    </w:rPr>
  </w:style>
  <w:style w:type="paragraph" w:styleId="Sommario9">
    <w:name w:val="toc 9"/>
    <w:basedOn w:val="Normale"/>
    <w:next w:val="Normale"/>
    <w:uiPriority w:val="99"/>
    <w:pPr>
      <w:tabs>
        <w:tab w:val="left" w:pos="166"/>
        <w:tab w:val="right" w:leader="dot" w:pos="6286"/>
        <w:tab w:val="left" w:pos="6992"/>
        <w:tab w:val="left" w:pos="7713"/>
      </w:tabs>
      <w:spacing w:after="0"/>
      <w:ind w:left="166"/>
      <w:jc w:val="left"/>
    </w:pPr>
    <w:rPr>
      <w:color w:val="000000"/>
      <w:sz w:val="24"/>
      <w:szCs w:val="24"/>
      <w:shd w:val="clear" w:color="auto" w:fill="FFFFFF"/>
    </w:rPr>
  </w:style>
  <w:style w:type="paragraph" w:styleId="Sottotitolo">
    <w:name w:val="Subtitle"/>
    <w:basedOn w:val="Normale"/>
    <w:link w:val="SottotitoloCarattere"/>
    <w:uiPriority w:val="99"/>
    <w:qFormat/>
    <w:pPr>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spacing w:after="0"/>
      <w:jc w:val="center"/>
    </w:pPr>
    <w:rPr>
      <w:color w:val="000000"/>
      <w:sz w:val="24"/>
      <w:szCs w:val="24"/>
      <w:shd w:val="clear" w:color="auto" w:fill="FFFFFF"/>
    </w:rPr>
  </w:style>
  <w:style w:type="character" w:customStyle="1" w:styleId="SottotitoloCarattere">
    <w:name w:val="Sottotitolo Carattere"/>
    <w:basedOn w:val="Carpredefinitoparagrafo"/>
    <w:link w:val="Sottotitolo"/>
    <w:uiPriority w:val="99"/>
    <w:rPr>
      <w:color w:val="5A5A5A"/>
      <w:spacing w:val="15"/>
    </w:rPr>
  </w:style>
  <w:style w:type="paragraph" w:styleId="Testocommento">
    <w:name w:val="annotation text"/>
    <w:basedOn w:val="Normale"/>
    <w:link w:val="TestocommentoCarattere"/>
    <w:uiPriority w:val="99"/>
    <w:pPr>
      <w:spacing w:after="0"/>
      <w:jc w:val="left"/>
    </w:pPr>
    <w:rPr>
      <w:color w:val="000000"/>
      <w:sz w:val="24"/>
      <w:szCs w:val="24"/>
      <w:shd w:val="clear" w:color="auto" w:fill="FFFFFF"/>
    </w:rPr>
  </w:style>
  <w:style w:type="character" w:customStyle="1" w:styleId="TestocommentoCarattere">
    <w:name w:val="Testo commento Carattere"/>
    <w:basedOn w:val="Carpredefinitoparagrafo"/>
    <w:link w:val="Testocommento"/>
    <w:uiPriority w:val="99"/>
    <w:semiHidden/>
    <w:rPr>
      <w:rFonts w:ascii="Arial" w:hAnsi="Arial" w:cs="Arial"/>
      <w:color w:val="000000"/>
      <w:sz w:val="20"/>
      <w:szCs w:val="20"/>
    </w:rPr>
  </w:style>
  <w:style w:type="paragraph" w:styleId="Testomacro">
    <w:name w:val="macro"/>
    <w:link w:val="TestomacroCarattere"/>
    <w:uiPriority w:val="99"/>
    <w:pPr>
      <w:widowControl w:val="0"/>
      <w:tabs>
        <w:tab w:val="left" w:pos="50"/>
        <w:tab w:val="left" w:pos="237"/>
        <w:tab w:val="left" w:pos="339"/>
        <w:tab w:val="left" w:pos="512"/>
        <w:tab w:val="left" w:pos="612"/>
        <w:tab w:val="left" w:pos="799"/>
        <w:tab w:val="left" w:pos="900"/>
        <w:tab w:val="left" w:pos="1088"/>
        <w:tab w:val="left" w:pos="1188"/>
        <w:tab w:val="left" w:pos="1360"/>
        <w:tab w:val="left" w:pos="1462"/>
        <w:tab w:val="left" w:pos="1750"/>
        <w:tab w:val="left" w:pos="2038"/>
        <w:tab w:val="left" w:pos="2744"/>
        <w:tab w:val="left" w:pos="3449"/>
        <w:tab w:val="left" w:pos="4154"/>
        <w:tab w:val="left" w:pos="4875"/>
        <w:tab w:val="left" w:pos="5580"/>
        <w:tab w:val="left" w:pos="6286"/>
        <w:tab w:val="left" w:pos="6992"/>
      </w:tabs>
      <w:autoSpaceDE w:val="0"/>
      <w:autoSpaceDN w:val="0"/>
      <w:adjustRightInd w:val="0"/>
      <w:spacing w:after="0" w:line="240" w:lineRule="auto"/>
      <w:ind w:left="1360" w:firstLine="272"/>
    </w:pPr>
    <w:rPr>
      <w:rFonts w:ascii="Arial" w:hAnsi="Arial" w:cs="Arial"/>
      <w:color w:val="000000"/>
      <w:sz w:val="24"/>
      <w:szCs w:val="24"/>
      <w:shd w:val="clear" w:color="auto" w:fill="FFFFFF"/>
    </w:rPr>
  </w:style>
  <w:style w:type="character" w:customStyle="1" w:styleId="TestomacroCarattere">
    <w:name w:val="Testo macro Carattere"/>
    <w:basedOn w:val="Carpredefinitoparagrafo"/>
    <w:link w:val="Testomacro"/>
    <w:uiPriority w:val="99"/>
    <w:semiHidden/>
    <w:rPr>
      <w:rFonts w:ascii="Courier New" w:hAnsi="Courier New" w:cs="Courier New"/>
      <w:color w:val="000000"/>
      <w:sz w:val="20"/>
      <w:szCs w:val="20"/>
    </w:rPr>
  </w:style>
  <w:style w:type="paragraph" w:styleId="Titolo">
    <w:name w:val="Title"/>
    <w:basedOn w:val="Normale"/>
    <w:link w:val="TitoloCarattere"/>
    <w:uiPriority w:val="99"/>
    <w:qFormat/>
    <w:pPr>
      <w:spacing w:after="0" w:line="260" w:lineRule="atLeast"/>
      <w:jc w:val="left"/>
    </w:pPr>
    <w:rPr>
      <w:color w:val="000000"/>
      <w:sz w:val="24"/>
      <w:szCs w:val="24"/>
      <w:shd w:val="clear" w:color="auto" w:fill="FFFFFF"/>
    </w:rPr>
  </w:style>
  <w:style w:type="character" w:customStyle="1" w:styleId="TitoloCarattere">
    <w:name w:val="Titolo Carattere"/>
    <w:basedOn w:val="Carpredefinitoparagrafo"/>
    <w:link w:val="Titolo"/>
    <w:uiPriority w:val="10"/>
    <w:rPr>
      <w:rFonts w:asciiTheme="majorHAnsi" w:eastAsiaTheme="majorEastAsia" w:hAnsiTheme="majorHAnsi" w:cstheme="majorBidi"/>
      <w:b/>
      <w:bCs/>
      <w:color w:val="000000"/>
      <w:kern w:val="28"/>
      <w:sz w:val="32"/>
      <w:szCs w:val="32"/>
    </w:rPr>
  </w:style>
  <w:style w:type="paragraph" w:styleId="Titoloindice">
    <w:name w:val="index heading"/>
    <w:basedOn w:val="Normale"/>
    <w:next w:val="Indice1"/>
    <w:uiPriority w:val="99"/>
    <w:pPr>
      <w:tabs>
        <w:tab w:val="left" w:pos="50"/>
        <w:tab w:val="left" w:pos="755"/>
        <w:tab w:val="left" w:pos="1462"/>
        <w:tab w:val="left" w:pos="2182"/>
        <w:tab w:val="left" w:pos="2888"/>
        <w:tab w:val="left" w:pos="3593"/>
        <w:tab w:val="left" w:pos="4299"/>
        <w:tab w:val="left" w:pos="5019"/>
        <w:tab w:val="left" w:pos="5724"/>
        <w:tab w:val="left" w:pos="6430"/>
        <w:tab w:val="left" w:pos="7137"/>
        <w:tab w:val="left" w:pos="7856"/>
      </w:tabs>
      <w:spacing w:after="0"/>
      <w:jc w:val="left"/>
    </w:pPr>
    <w:rPr>
      <w:color w:val="000000"/>
      <w:sz w:val="24"/>
      <w:szCs w:val="24"/>
      <w:shd w:val="clear" w:color="auto" w:fill="FFFFFF"/>
    </w:rPr>
  </w:style>
  <w:style w:type="paragraph" w:styleId="Titoloindicefonti">
    <w:name w:val="toa heading"/>
    <w:basedOn w:val="Normale"/>
    <w:next w:val="Normale"/>
    <w:uiPriority w:val="99"/>
    <w:pPr>
      <w:tabs>
        <w:tab w:val="left" w:pos="50"/>
        <w:tab w:val="left" w:pos="755"/>
        <w:tab w:val="left" w:pos="1462"/>
        <w:tab w:val="left" w:pos="2182"/>
        <w:tab w:val="left" w:pos="2888"/>
        <w:tab w:val="left" w:pos="3593"/>
        <w:tab w:val="left" w:pos="4299"/>
        <w:tab w:val="left" w:pos="5019"/>
        <w:tab w:val="left" w:pos="5724"/>
        <w:tab w:val="left" w:pos="6430"/>
        <w:tab w:val="left" w:pos="7137"/>
        <w:tab w:val="left" w:pos="7856"/>
      </w:tabs>
      <w:spacing w:after="0"/>
      <w:jc w:val="left"/>
    </w:pPr>
    <w:rPr>
      <w:color w:val="000000"/>
      <w:sz w:val="24"/>
      <w:szCs w:val="24"/>
      <w:shd w:val="clear" w:color="auto" w:fill="FFFFFF"/>
    </w:rPr>
  </w:style>
  <w:style w:type="paragraph" w:styleId="Intestazionemessaggio">
    <w:name w:val="Message Header"/>
    <w:basedOn w:val="Normale"/>
    <w:link w:val="IntestazionemessaggioCarattere"/>
    <w:uiPriority w:val="99"/>
    <w:pPr>
      <w:tabs>
        <w:tab w:val="left" w:pos="50"/>
        <w:tab w:val="left" w:pos="755"/>
        <w:tab w:val="left" w:pos="1462"/>
        <w:tab w:val="left" w:pos="2182"/>
        <w:tab w:val="left" w:pos="2888"/>
        <w:tab w:val="left" w:pos="3593"/>
        <w:tab w:val="left" w:pos="4299"/>
        <w:tab w:val="left" w:pos="5019"/>
        <w:tab w:val="left" w:pos="5724"/>
        <w:tab w:val="left" w:pos="6430"/>
        <w:tab w:val="left" w:pos="7137"/>
        <w:tab w:val="left" w:pos="7856"/>
      </w:tabs>
      <w:spacing w:after="0"/>
      <w:ind w:left="237" w:hanging="1123"/>
      <w:jc w:val="left"/>
    </w:pPr>
    <w:rPr>
      <w:color w:val="000000"/>
      <w:sz w:val="24"/>
      <w:szCs w:val="24"/>
      <w:shd w:val="clear" w:color="auto" w:fill="FFFFFF"/>
    </w:rPr>
  </w:style>
  <w:style w:type="character" w:customStyle="1" w:styleId="IntestazionemessaggioCarattere">
    <w:name w:val="Intestazione messaggio Carattere"/>
    <w:basedOn w:val="Carpredefinitoparagrafo"/>
    <w:link w:val="Intestazionemessaggio"/>
    <w:uiPriority w:val="99"/>
    <w:semiHidden/>
    <w:rPr>
      <w:rFonts w:asciiTheme="majorHAnsi" w:eastAsiaTheme="majorEastAsia" w:hAnsiTheme="majorHAnsi" w:cstheme="majorBidi"/>
      <w:color w:val="000000"/>
      <w:sz w:val="24"/>
      <w:szCs w:val="24"/>
      <w:shd w:val="pct20" w:color="auto" w:fill="auto"/>
    </w:rPr>
  </w:style>
  <w:style w:type="paragraph" w:customStyle="1" w:styleId="wBandaPunt">
    <w:name w:val="wBanda Punt"/>
    <w:uiPriority w:val="99"/>
    <w:pPr>
      <w:widowControl w:val="0"/>
      <w:tabs>
        <w:tab w:val="left" w:pos="50"/>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ind w:left="568" w:hanging="404"/>
      <w:jc w:val="both"/>
    </w:pPr>
    <w:rPr>
      <w:rFonts w:ascii="Arial" w:hAnsi="Arial" w:cs="Arial"/>
      <w:color w:val="000000"/>
      <w:sz w:val="24"/>
      <w:szCs w:val="24"/>
      <w:shd w:val="clear" w:color="auto" w:fill="FFFFFF"/>
    </w:rPr>
  </w:style>
  <w:style w:type="paragraph" w:customStyle="1" w:styleId="wBandaSpL1">
    <w:name w:val="wBanda SpL1"/>
    <w:uiPriority w:val="99"/>
    <w:pPr>
      <w:widowControl w:val="0"/>
      <w:tabs>
        <w:tab w:val="left" w:pos="266"/>
        <w:tab w:val="left" w:pos="455"/>
        <w:tab w:val="left" w:pos="1159"/>
        <w:tab w:val="left" w:pos="1865"/>
        <w:tab w:val="left" w:pos="2571"/>
        <w:tab w:val="left" w:pos="3276"/>
        <w:tab w:val="left" w:pos="3996"/>
        <w:tab w:val="left" w:pos="4703"/>
        <w:tab w:val="left" w:pos="5408"/>
        <w:tab w:val="left" w:pos="6113"/>
        <w:tab w:val="left" w:pos="6833"/>
        <w:tab w:val="left" w:pos="7540"/>
        <w:tab w:val="left" w:pos="8245"/>
      </w:tabs>
      <w:autoSpaceDE w:val="0"/>
      <w:autoSpaceDN w:val="0"/>
      <w:adjustRightInd w:val="0"/>
      <w:spacing w:after="0" w:line="240" w:lineRule="auto"/>
      <w:ind w:left="568" w:hanging="404"/>
      <w:jc w:val="both"/>
    </w:pPr>
    <w:rPr>
      <w:rFonts w:ascii="Arial" w:hAnsi="Arial" w:cs="Arial"/>
      <w:color w:val="000000"/>
      <w:sz w:val="24"/>
      <w:szCs w:val="24"/>
      <w:shd w:val="clear" w:color="auto" w:fill="FFFFFF"/>
    </w:rPr>
  </w:style>
  <w:style w:type="paragraph" w:customStyle="1" w:styleId="wBandaTitCntr">
    <w:name w:val="wBandaTit Cntr"/>
    <w:uiPriority w:val="99"/>
    <w:pPr>
      <w:widowControl w:val="0"/>
      <w:tabs>
        <w:tab w:val="left" w:pos="50"/>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ind w:left="972"/>
      <w:jc w:val="center"/>
    </w:pPr>
    <w:rPr>
      <w:rFonts w:ascii="Arial" w:hAnsi="Arial" w:cs="Arial"/>
      <w:color w:val="000000"/>
      <w:sz w:val="24"/>
      <w:szCs w:val="24"/>
      <w:shd w:val="clear" w:color="auto" w:fill="FFFFFF"/>
    </w:rPr>
  </w:style>
  <w:style w:type="paragraph" w:customStyle="1" w:styleId="wBandaTitCors">
    <w:name w:val="wBandaTit Cors"/>
    <w:uiPriority w:val="99"/>
    <w:pPr>
      <w:widowControl w:val="0"/>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ind w:left="972"/>
    </w:pPr>
    <w:rPr>
      <w:rFonts w:ascii="Arial" w:hAnsi="Arial" w:cs="Arial"/>
      <w:color w:val="000000"/>
      <w:sz w:val="24"/>
      <w:szCs w:val="24"/>
      <w:shd w:val="clear" w:color="auto" w:fill="FFFFFF"/>
    </w:rPr>
  </w:style>
  <w:style w:type="paragraph" w:customStyle="1" w:styleId="wBandaTitNero">
    <w:name w:val="wBandaTit Nero"/>
    <w:uiPriority w:val="99"/>
    <w:pPr>
      <w:widowControl w:val="0"/>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ind w:left="972"/>
    </w:pPr>
    <w:rPr>
      <w:rFonts w:ascii="Arial" w:hAnsi="Arial" w:cs="Arial"/>
      <w:color w:val="000000"/>
      <w:sz w:val="24"/>
      <w:szCs w:val="24"/>
      <w:shd w:val="clear" w:color="auto" w:fill="FFFFFF"/>
    </w:rPr>
  </w:style>
  <w:style w:type="paragraph" w:customStyle="1" w:styleId="wBandaTxt">
    <w:name w:val="wBandaTxt"/>
    <w:uiPriority w:val="99"/>
    <w:pPr>
      <w:widowControl w:val="0"/>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ind w:left="972"/>
      <w:jc w:val="both"/>
    </w:pPr>
    <w:rPr>
      <w:rFonts w:ascii="Arial" w:hAnsi="Arial" w:cs="Arial"/>
      <w:color w:val="000000"/>
      <w:sz w:val="24"/>
      <w:szCs w:val="24"/>
      <w:shd w:val="clear" w:color="auto" w:fill="FFFFFF"/>
    </w:rPr>
  </w:style>
  <w:style w:type="paragraph" w:customStyle="1" w:styleId="wBibliografia">
    <w:name w:val="wBibliografia"/>
    <w:uiPriority w:val="99"/>
    <w:pPr>
      <w:widowControl w:val="0"/>
      <w:tabs>
        <w:tab w:val="left" w:pos="50"/>
        <w:tab w:val="left" w:pos="655"/>
        <w:tab w:val="left" w:pos="755"/>
        <w:tab w:val="left" w:pos="1360"/>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ind w:left="972" w:hanging="388"/>
    </w:pPr>
    <w:rPr>
      <w:rFonts w:ascii="Arial" w:hAnsi="Arial" w:cs="Arial"/>
      <w:color w:val="000000"/>
      <w:sz w:val="24"/>
      <w:szCs w:val="24"/>
      <w:shd w:val="clear" w:color="auto" w:fill="FFFFFF"/>
    </w:rPr>
  </w:style>
  <w:style w:type="paragraph" w:customStyle="1" w:styleId="wCasiRisolti">
    <w:name w:val="wCasi Risolti"/>
    <w:uiPriority w:val="99"/>
    <w:pPr>
      <w:widowControl w:val="0"/>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jc w:val="center"/>
    </w:pPr>
    <w:rPr>
      <w:rFonts w:ascii="Arial" w:hAnsi="Arial" w:cs="Arial"/>
      <w:color w:val="000000"/>
      <w:sz w:val="24"/>
      <w:szCs w:val="24"/>
      <w:shd w:val="clear" w:color="auto" w:fill="FFFFFF"/>
    </w:rPr>
  </w:style>
  <w:style w:type="paragraph" w:customStyle="1" w:styleId="wCitaNorma">
    <w:name w:val="wCitaNorma"/>
    <w:uiPriority w:val="99"/>
    <w:pPr>
      <w:widowControl w:val="0"/>
      <w:tabs>
        <w:tab w:val="left" w:pos="964"/>
      </w:tabs>
      <w:autoSpaceDE w:val="0"/>
      <w:autoSpaceDN w:val="0"/>
      <w:adjustRightInd w:val="0"/>
      <w:spacing w:after="0" w:line="240" w:lineRule="auto"/>
      <w:ind w:left="1360" w:firstLine="396"/>
      <w:jc w:val="both"/>
    </w:pPr>
    <w:rPr>
      <w:rFonts w:ascii="Arial" w:hAnsi="Arial" w:cs="Arial"/>
      <w:color w:val="000000"/>
      <w:sz w:val="24"/>
      <w:szCs w:val="24"/>
      <w:shd w:val="clear" w:color="auto" w:fill="FFFFFF"/>
    </w:rPr>
  </w:style>
  <w:style w:type="paragraph" w:customStyle="1" w:styleId="wColophon">
    <w:name w:val="wColophon"/>
    <w:uiPriority w:val="99"/>
    <w:pPr>
      <w:widowControl w:val="0"/>
      <w:autoSpaceDE w:val="0"/>
      <w:autoSpaceDN w:val="0"/>
      <w:adjustRightInd w:val="0"/>
      <w:spacing w:after="0" w:line="240" w:lineRule="auto"/>
      <w:jc w:val="both"/>
    </w:pPr>
    <w:rPr>
      <w:rFonts w:ascii="Arial" w:hAnsi="Arial" w:cs="Arial"/>
      <w:color w:val="000000"/>
      <w:sz w:val="24"/>
      <w:szCs w:val="24"/>
      <w:shd w:val="clear" w:color="auto" w:fill="FFFFFF"/>
    </w:rPr>
  </w:style>
  <w:style w:type="paragraph" w:customStyle="1" w:styleId="wColophonFine">
    <w:name w:val="wColophon Fine"/>
    <w:uiPriority w:val="99"/>
    <w:pPr>
      <w:widowControl w:val="0"/>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jc w:val="center"/>
    </w:pPr>
    <w:rPr>
      <w:rFonts w:ascii="Arial" w:hAnsi="Arial" w:cs="Arial"/>
      <w:color w:val="000000"/>
      <w:sz w:val="24"/>
      <w:szCs w:val="24"/>
      <w:shd w:val="clear" w:color="auto" w:fill="FFFFFF"/>
    </w:rPr>
  </w:style>
  <w:style w:type="paragraph" w:customStyle="1" w:styleId="wColophonGiu">
    <w:name w:val="wColophon Giu"/>
    <w:uiPriority w:val="99"/>
    <w:pPr>
      <w:widowControl w:val="0"/>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wColophonISBN">
    <w:name w:val="wColophon ISBN"/>
    <w:uiPriority w:val="99"/>
    <w:pPr>
      <w:widowControl w:val="0"/>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wColophonSu">
    <w:name w:val="wColophon Su"/>
    <w:uiPriority w:val="99"/>
    <w:pPr>
      <w:widowControl w:val="0"/>
      <w:tabs>
        <w:tab w:val="left" w:pos="50"/>
        <w:tab w:val="left" w:pos="655"/>
        <w:tab w:val="left" w:pos="755"/>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pPr>
    <w:rPr>
      <w:rFonts w:ascii="Arial" w:hAnsi="Arial" w:cs="Arial"/>
      <w:color w:val="000000"/>
      <w:sz w:val="24"/>
      <w:szCs w:val="24"/>
      <w:shd w:val="clear" w:color="auto" w:fill="FFFFFF"/>
    </w:rPr>
  </w:style>
  <w:style w:type="paragraph" w:customStyle="1" w:styleId="wDomande">
    <w:name w:val="wDomande"/>
    <w:uiPriority w:val="99"/>
    <w:pPr>
      <w:widowControl w:val="0"/>
      <w:tabs>
        <w:tab w:val="left" w:pos="50"/>
        <w:tab w:val="left" w:pos="655"/>
        <w:tab w:val="left" w:pos="755"/>
        <w:tab w:val="left" w:pos="799"/>
        <w:tab w:val="left" w:pos="1360"/>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ind w:left="799" w:hanging="561"/>
    </w:pPr>
    <w:rPr>
      <w:rFonts w:ascii="Arial" w:hAnsi="Arial" w:cs="Arial"/>
      <w:color w:val="000000"/>
      <w:sz w:val="24"/>
      <w:szCs w:val="24"/>
      <w:shd w:val="clear" w:color="auto" w:fill="FFFFFF"/>
    </w:rPr>
  </w:style>
  <w:style w:type="paragraph" w:customStyle="1" w:styleId="wElencoFrecL1">
    <w:name w:val="wElencoFrec L1"/>
    <w:uiPriority w:val="99"/>
    <w:pPr>
      <w:widowControl w:val="0"/>
      <w:tabs>
        <w:tab w:val="left" w:pos="567"/>
      </w:tabs>
      <w:autoSpaceDE w:val="0"/>
      <w:autoSpaceDN w:val="0"/>
      <w:adjustRightInd w:val="0"/>
      <w:spacing w:after="0" w:line="260" w:lineRule="atLeast"/>
      <w:ind w:left="567" w:hanging="397"/>
      <w:jc w:val="both"/>
    </w:pPr>
    <w:rPr>
      <w:rFonts w:ascii="Arial" w:hAnsi="Arial" w:cs="Arial"/>
      <w:color w:val="000000"/>
      <w:sz w:val="24"/>
      <w:szCs w:val="24"/>
      <w:shd w:val="clear" w:color="auto" w:fill="FFFFFF"/>
    </w:rPr>
  </w:style>
  <w:style w:type="paragraph" w:customStyle="1" w:styleId="wElencoFrecL2">
    <w:name w:val="wElencoFrec L2"/>
    <w:uiPriority w:val="99"/>
    <w:pPr>
      <w:widowControl w:val="0"/>
      <w:autoSpaceDE w:val="0"/>
      <w:autoSpaceDN w:val="0"/>
      <w:adjustRightInd w:val="0"/>
      <w:spacing w:after="0" w:line="260" w:lineRule="atLeast"/>
      <w:ind w:left="567"/>
      <w:jc w:val="both"/>
    </w:pPr>
    <w:rPr>
      <w:rFonts w:ascii="Arial" w:hAnsi="Arial" w:cs="Arial"/>
      <w:color w:val="000000"/>
      <w:sz w:val="24"/>
      <w:szCs w:val="24"/>
      <w:shd w:val="clear" w:color="auto" w:fill="FFFFFF"/>
    </w:rPr>
  </w:style>
  <w:style w:type="paragraph" w:customStyle="1" w:styleId="wElencoLettL1">
    <w:name w:val="wElencoLett L1"/>
    <w:uiPriority w:val="99"/>
    <w:pPr>
      <w:widowControl w:val="0"/>
      <w:tabs>
        <w:tab w:val="left" w:pos="964"/>
        <w:tab w:val="left" w:pos="1360"/>
      </w:tabs>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paragraph" w:customStyle="1" w:styleId="wElencoLettL1Loc">
    <w:name w:val="wElencoLett L1_Loc"/>
    <w:uiPriority w:val="99"/>
    <w:pPr>
      <w:widowControl w:val="0"/>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paragraph" w:customStyle="1" w:styleId="wElencoLettL2">
    <w:name w:val="wElencoLett L2"/>
    <w:uiPriority w:val="99"/>
    <w:pPr>
      <w:widowControl w:val="0"/>
      <w:tabs>
        <w:tab w:val="left" w:pos="283"/>
        <w:tab w:val="left" w:pos="567"/>
      </w:tabs>
      <w:autoSpaceDE w:val="0"/>
      <w:autoSpaceDN w:val="0"/>
      <w:adjustRightInd w:val="0"/>
      <w:spacing w:after="0" w:line="260" w:lineRule="atLeast"/>
      <w:ind w:left="283" w:hanging="284"/>
      <w:jc w:val="both"/>
    </w:pPr>
    <w:rPr>
      <w:rFonts w:ascii="Arial" w:hAnsi="Arial" w:cs="Arial"/>
      <w:color w:val="000000"/>
      <w:sz w:val="24"/>
      <w:szCs w:val="24"/>
      <w:shd w:val="clear" w:color="auto" w:fill="FFFFFF"/>
    </w:rPr>
  </w:style>
  <w:style w:type="paragraph" w:customStyle="1" w:styleId="wElencoNumL1">
    <w:name w:val="wElencoNum L1"/>
    <w:uiPriority w:val="99"/>
    <w:pPr>
      <w:widowControl w:val="0"/>
      <w:tabs>
        <w:tab w:val="left" w:pos="964"/>
        <w:tab w:val="left" w:pos="1360"/>
      </w:tabs>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paragraph" w:customStyle="1" w:styleId="wElencoNumL2">
    <w:name w:val="wElencoNum L2"/>
    <w:uiPriority w:val="99"/>
    <w:pPr>
      <w:widowControl w:val="0"/>
      <w:tabs>
        <w:tab w:val="left" w:pos="567"/>
      </w:tabs>
      <w:autoSpaceDE w:val="0"/>
      <w:autoSpaceDN w:val="0"/>
      <w:adjustRightInd w:val="0"/>
      <w:spacing w:after="0" w:line="260" w:lineRule="atLeast"/>
      <w:ind w:left="567" w:hanging="397"/>
      <w:jc w:val="both"/>
    </w:pPr>
    <w:rPr>
      <w:rFonts w:ascii="Arial" w:hAnsi="Arial" w:cs="Arial"/>
      <w:color w:val="000000"/>
      <w:sz w:val="24"/>
      <w:szCs w:val="24"/>
      <w:shd w:val="clear" w:color="auto" w:fill="FFFFFF"/>
    </w:rPr>
  </w:style>
  <w:style w:type="paragraph" w:customStyle="1" w:styleId="wElencoPuntL1">
    <w:name w:val="wElencoPunt L1"/>
    <w:uiPriority w:val="99"/>
    <w:pPr>
      <w:widowControl w:val="0"/>
      <w:tabs>
        <w:tab w:val="left" w:pos="1360"/>
      </w:tabs>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paragraph" w:customStyle="1" w:styleId="wElencoPuntL2">
    <w:name w:val="wElencoPunt L2"/>
    <w:uiPriority w:val="99"/>
    <w:pPr>
      <w:widowControl w:val="0"/>
      <w:tabs>
        <w:tab w:val="left" w:pos="567"/>
      </w:tabs>
      <w:autoSpaceDE w:val="0"/>
      <w:autoSpaceDN w:val="0"/>
      <w:adjustRightInd w:val="0"/>
      <w:spacing w:after="0" w:line="260" w:lineRule="atLeast"/>
      <w:ind w:left="567" w:hanging="397"/>
      <w:jc w:val="both"/>
    </w:pPr>
    <w:rPr>
      <w:rFonts w:ascii="Arial" w:hAnsi="Arial" w:cs="Arial"/>
      <w:color w:val="000000"/>
      <w:sz w:val="24"/>
      <w:szCs w:val="24"/>
      <w:shd w:val="clear" w:color="auto" w:fill="FFFFFF"/>
    </w:rPr>
  </w:style>
  <w:style w:type="paragraph" w:customStyle="1" w:styleId="wElencoTratL1">
    <w:name w:val="wElencoTrat L1"/>
    <w:uiPriority w:val="99"/>
    <w:pPr>
      <w:widowControl w:val="0"/>
      <w:tabs>
        <w:tab w:val="left" w:pos="1360"/>
      </w:tabs>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paragraph" w:customStyle="1" w:styleId="wElencoTratL2">
    <w:name w:val="wElencoTrat L2"/>
    <w:uiPriority w:val="99"/>
    <w:pPr>
      <w:widowControl w:val="0"/>
      <w:tabs>
        <w:tab w:val="left" w:pos="567"/>
      </w:tabs>
      <w:autoSpaceDE w:val="0"/>
      <w:autoSpaceDN w:val="0"/>
      <w:adjustRightInd w:val="0"/>
      <w:spacing w:after="0" w:line="260" w:lineRule="atLeast"/>
      <w:ind w:left="567" w:hanging="397"/>
      <w:jc w:val="both"/>
    </w:pPr>
    <w:rPr>
      <w:rFonts w:ascii="Arial" w:hAnsi="Arial" w:cs="Arial"/>
      <w:color w:val="000000"/>
      <w:sz w:val="24"/>
      <w:szCs w:val="24"/>
      <w:shd w:val="clear" w:color="auto" w:fill="FFFFFF"/>
    </w:rPr>
  </w:style>
  <w:style w:type="paragraph" w:customStyle="1" w:styleId="wFacSim">
    <w:name w:val="wFacSim"/>
    <w:uiPriority w:val="99"/>
    <w:pPr>
      <w:widowControl w:val="0"/>
      <w:tabs>
        <w:tab w:val="left" w:pos="1106"/>
      </w:tabs>
      <w:autoSpaceDE w:val="0"/>
      <w:autoSpaceDN w:val="0"/>
      <w:adjustRightInd w:val="0"/>
      <w:spacing w:after="0" w:line="270" w:lineRule="atLeast"/>
      <w:ind w:left="1106"/>
      <w:jc w:val="both"/>
    </w:pPr>
    <w:rPr>
      <w:rFonts w:ascii="Arial" w:hAnsi="Arial" w:cs="Arial"/>
      <w:color w:val="000000"/>
      <w:sz w:val="24"/>
      <w:szCs w:val="24"/>
      <w:shd w:val="clear" w:color="auto" w:fill="FFFFFF"/>
    </w:rPr>
  </w:style>
  <w:style w:type="paragraph" w:customStyle="1" w:styleId="wFacSimConcl">
    <w:name w:val="wFacSim Concl"/>
    <w:uiPriority w:val="99"/>
    <w:pPr>
      <w:widowControl w:val="0"/>
      <w:tabs>
        <w:tab w:val="left" w:pos="50"/>
        <w:tab w:val="left" w:pos="655"/>
        <w:tab w:val="left" w:pos="755"/>
        <w:tab w:val="left" w:pos="1202"/>
        <w:tab w:val="left" w:pos="1462"/>
        <w:tab w:val="left" w:pos="2182"/>
        <w:tab w:val="left" w:pos="2888"/>
        <w:tab w:val="left" w:pos="3593"/>
        <w:tab w:val="left" w:pos="4299"/>
        <w:tab w:val="left" w:pos="5019"/>
        <w:tab w:val="left" w:pos="5724"/>
        <w:tab w:val="left" w:pos="6430"/>
        <w:tab w:val="left" w:pos="7137"/>
        <w:tab w:val="left" w:pos="7856"/>
      </w:tabs>
      <w:autoSpaceDE w:val="0"/>
      <w:autoSpaceDN w:val="0"/>
      <w:adjustRightInd w:val="0"/>
      <w:spacing w:after="0" w:line="240" w:lineRule="auto"/>
      <w:ind w:left="1202" w:right="158"/>
      <w:jc w:val="center"/>
    </w:pPr>
    <w:rPr>
      <w:rFonts w:ascii="Arial" w:hAnsi="Arial" w:cs="Arial"/>
      <w:color w:val="000000"/>
      <w:sz w:val="24"/>
      <w:szCs w:val="24"/>
      <w:shd w:val="clear" w:color="auto" w:fill="FFFFFF"/>
    </w:rPr>
  </w:style>
  <w:style w:type="paragraph" w:customStyle="1" w:styleId="wFacSimData">
    <w:name w:val="wFacSim Data"/>
    <w:uiPriority w:val="99"/>
    <w:pPr>
      <w:widowControl w:val="0"/>
      <w:autoSpaceDE w:val="0"/>
      <w:autoSpaceDN w:val="0"/>
      <w:adjustRightInd w:val="0"/>
      <w:spacing w:after="0" w:line="260" w:lineRule="atLeast"/>
      <w:jc w:val="both"/>
    </w:pPr>
    <w:rPr>
      <w:rFonts w:ascii="Arial" w:hAnsi="Arial" w:cs="Arial"/>
      <w:color w:val="000000"/>
      <w:sz w:val="24"/>
      <w:szCs w:val="24"/>
      <w:shd w:val="clear" w:color="auto" w:fill="FFFFFF"/>
    </w:rPr>
  </w:style>
  <w:style w:type="paragraph" w:customStyle="1" w:styleId="wFacSimDest">
    <w:name w:val="wFacSim Dest"/>
    <w:uiPriority w:val="99"/>
    <w:pPr>
      <w:widowControl w:val="0"/>
      <w:autoSpaceDE w:val="0"/>
      <w:autoSpaceDN w:val="0"/>
      <w:adjustRightInd w:val="0"/>
      <w:spacing w:after="0" w:line="260" w:lineRule="atLeast"/>
      <w:jc w:val="right"/>
    </w:pPr>
    <w:rPr>
      <w:rFonts w:ascii="Arial" w:hAnsi="Arial" w:cs="Arial"/>
      <w:color w:val="000000"/>
      <w:sz w:val="24"/>
      <w:szCs w:val="24"/>
      <w:shd w:val="clear" w:color="auto" w:fill="FFFFFF"/>
    </w:rPr>
  </w:style>
  <w:style w:type="paragraph" w:customStyle="1" w:styleId="wFacSimDichiara">
    <w:name w:val="wFacSim Dichiara"/>
    <w:uiPriority w:val="99"/>
    <w:pPr>
      <w:widowControl w:val="0"/>
      <w:autoSpaceDE w:val="0"/>
      <w:autoSpaceDN w:val="0"/>
      <w:adjustRightInd w:val="0"/>
      <w:spacing w:after="0" w:line="260" w:lineRule="atLeast"/>
      <w:jc w:val="center"/>
    </w:pPr>
    <w:rPr>
      <w:rFonts w:ascii="Arial" w:hAnsi="Arial" w:cs="Arial"/>
      <w:color w:val="000000"/>
      <w:sz w:val="24"/>
      <w:szCs w:val="24"/>
      <w:shd w:val="clear" w:color="auto" w:fill="FFFFFF"/>
    </w:rPr>
  </w:style>
  <w:style w:type="paragraph" w:customStyle="1" w:styleId="wFacSimFirma">
    <w:name w:val="wFacSim Firma"/>
    <w:uiPriority w:val="99"/>
    <w:pPr>
      <w:widowControl w:val="0"/>
      <w:autoSpaceDE w:val="0"/>
      <w:autoSpaceDN w:val="0"/>
      <w:adjustRightInd w:val="0"/>
      <w:spacing w:after="0" w:line="240" w:lineRule="auto"/>
      <w:jc w:val="right"/>
    </w:pPr>
    <w:rPr>
      <w:rFonts w:ascii="Arial" w:hAnsi="Arial" w:cs="Arial"/>
      <w:color w:val="000000"/>
      <w:sz w:val="24"/>
      <w:szCs w:val="24"/>
      <w:shd w:val="clear" w:color="auto" w:fill="FFFFFF"/>
    </w:rPr>
  </w:style>
  <w:style w:type="paragraph" w:customStyle="1" w:styleId="wFacSimTit">
    <w:name w:val="wFacSim Tit"/>
    <w:uiPriority w:val="99"/>
    <w:pPr>
      <w:widowControl w:val="0"/>
      <w:autoSpaceDE w:val="0"/>
      <w:autoSpaceDN w:val="0"/>
      <w:adjustRightInd w:val="0"/>
      <w:spacing w:after="0" w:line="260" w:lineRule="atLeast"/>
      <w:jc w:val="center"/>
    </w:pPr>
    <w:rPr>
      <w:rFonts w:ascii="Arial" w:hAnsi="Arial" w:cs="Arial"/>
      <w:color w:val="000000"/>
      <w:sz w:val="24"/>
      <w:szCs w:val="24"/>
      <w:shd w:val="clear" w:color="auto" w:fill="FFFFFF"/>
    </w:rPr>
  </w:style>
  <w:style w:type="paragraph" w:customStyle="1" w:styleId="wFacSimTitolo">
    <w:name w:val="wFacSim Titolo"/>
    <w:uiPriority w:val="99"/>
    <w:pPr>
      <w:widowControl w:val="0"/>
      <w:autoSpaceDE w:val="0"/>
      <w:autoSpaceDN w:val="0"/>
      <w:adjustRightInd w:val="0"/>
      <w:spacing w:after="0" w:line="260" w:lineRule="atLeast"/>
      <w:jc w:val="center"/>
    </w:pPr>
    <w:rPr>
      <w:rFonts w:ascii="Arial" w:hAnsi="Arial" w:cs="Arial"/>
      <w:color w:val="000000"/>
      <w:sz w:val="24"/>
      <w:szCs w:val="24"/>
      <w:shd w:val="clear" w:color="auto" w:fill="FFFFFF"/>
    </w:rPr>
  </w:style>
  <w:style w:type="paragraph" w:customStyle="1" w:styleId="wFacSimTxt">
    <w:name w:val="wFacSim Txt"/>
    <w:uiPriority w:val="99"/>
    <w:pPr>
      <w:widowControl w:val="0"/>
      <w:autoSpaceDE w:val="0"/>
      <w:autoSpaceDN w:val="0"/>
      <w:adjustRightInd w:val="0"/>
      <w:spacing w:after="0" w:line="260" w:lineRule="atLeast"/>
      <w:jc w:val="both"/>
    </w:pPr>
    <w:rPr>
      <w:rFonts w:ascii="Arial" w:hAnsi="Arial" w:cs="Arial"/>
      <w:color w:val="000000"/>
      <w:sz w:val="24"/>
      <w:szCs w:val="24"/>
      <w:shd w:val="clear" w:color="auto" w:fill="FFFFFF"/>
    </w:rPr>
  </w:style>
  <w:style w:type="paragraph" w:customStyle="1" w:styleId="wFacSimTxtCHE">
    <w:name w:val="wFacSim Txt CHE"/>
    <w:uiPriority w:val="99"/>
    <w:pPr>
      <w:widowControl w:val="0"/>
      <w:tabs>
        <w:tab w:val="left" w:pos="964"/>
        <w:tab w:val="left" w:pos="1360"/>
      </w:tabs>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paragraph" w:customStyle="1" w:styleId="wFacSimTxtCn">
    <w:name w:val="wFacSim Txt Cn"/>
    <w:uiPriority w:val="99"/>
    <w:pPr>
      <w:widowControl w:val="0"/>
      <w:autoSpaceDE w:val="0"/>
      <w:autoSpaceDN w:val="0"/>
      <w:adjustRightInd w:val="0"/>
      <w:spacing w:after="0" w:line="260" w:lineRule="atLeast"/>
      <w:jc w:val="center"/>
    </w:pPr>
    <w:rPr>
      <w:rFonts w:ascii="Arial" w:hAnsi="Arial" w:cs="Arial"/>
      <w:color w:val="000000"/>
      <w:sz w:val="24"/>
      <w:szCs w:val="24"/>
      <w:shd w:val="clear" w:color="auto" w:fill="FFFFFF"/>
    </w:rPr>
  </w:style>
  <w:style w:type="paragraph" w:customStyle="1" w:styleId="wFacSimTxtDx">
    <w:name w:val="wFacSim Txt Dx"/>
    <w:uiPriority w:val="99"/>
    <w:pPr>
      <w:widowControl w:val="0"/>
      <w:autoSpaceDE w:val="0"/>
      <w:autoSpaceDN w:val="0"/>
      <w:adjustRightInd w:val="0"/>
      <w:spacing w:after="0" w:line="260" w:lineRule="atLeast"/>
      <w:jc w:val="right"/>
    </w:pPr>
    <w:rPr>
      <w:rFonts w:ascii="Arial" w:hAnsi="Arial" w:cs="Arial"/>
      <w:color w:val="000000"/>
      <w:sz w:val="24"/>
      <w:szCs w:val="24"/>
      <w:shd w:val="clear" w:color="auto" w:fill="FFFFFF"/>
    </w:rPr>
  </w:style>
  <w:style w:type="paragraph" w:customStyle="1" w:styleId="wFacSimTxtGius">
    <w:name w:val="wFacSim Txt Gius"/>
    <w:uiPriority w:val="99"/>
    <w:pPr>
      <w:widowControl w:val="0"/>
      <w:autoSpaceDE w:val="0"/>
      <w:autoSpaceDN w:val="0"/>
      <w:adjustRightInd w:val="0"/>
      <w:spacing w:after="0" w:line="260" w:lineRule="atLeast"/>
      <w:ind w:left="1360" w:firstLine="396"/>
      <w:jc w:val="both"/>
    </w:pPr>
    <w:rPr>
      <w:rFonts w:ascii="Arial" w:hAnsi="Arial" w:cs="Arial"/>
      <w:color w:val="000000"/>
      <w:sz w:val="24"/>
      <w:szCs w:val="24"/>
      <w:shd w:val="clear" w:color="auto" w:fill="FFFFFF"/>
    </w:rPr>
  </w:style>
  <w:style w:type="paragraph" w:customStyle="1" w:styleId="wFacSimTxtLet">
    <w:name w:val="wFacSim Txt Let"/>
    <w:uiPriority w:val="99"/>
    <w:pPr>
      <w:widowControl w:val="0"/>
      <w:tabs>
        <w:tab w:val="left" w:pos="964"/>
        <w:tab w:val="left" w:pos="1360"/>
      </w:tabs>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paragraph" w:customStyle="1" w:styleId="wFacSimTxtNota">
    <w:name w:val="wFacSim Txt Nota"/>
    <w:uiPriority w:val="99"/>
    <w:pPr>
      <w:widowControl w:val="0"/>
      <w:autoSpaceDE w:val="0"/>
      <w:autoSpaceDN w:val="0"/>
      <w:adjustRightInd w:val="0"/>
      <w:spacing w:after="0" w:line="240" w:lineRule="auto"/>
      <w:ind w:left="1360" w:firstLine="396"/>
      <w:jc w:val="both"/>
    </w:pPr>
    <w:rPr>
      <w:rFonts w:ascii="Arial" w:hAnsi="Arial" w:cs="Arial"/>
      <w:color w:val="000000"/>
      <w:sz w:val="24"/>
      <w:szCs w:val="24"/>
      <w:shd w:val="clear" w:color="auto" w:fill="FFFFFF"/>
    </w:rPr>
  </w:style>
  <w:style w:type="paragraph" w:customStyle="1" w:styleId="wFacSimTxtNum">
    <w:name w:val="wFacSim Txt Num"/>
    <w:uiPriority w:val="99"/>
    <w:pPr>
      <w:widowControl w:val="0"/>
      <w:tabs>
        <w:tab w:val="left" w:pos="964"/>
        <w:tab w:val="left" w:pos="1360"/>
      </w:tabs>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paragraph" w:customStyle="1" w:styleId="wFacSimTxtNum2">
    <w:name w:val="wFacSim Txt Num2"/>
    <w:uiPriority w:val="99"/>
    <w:pPr>
      <w:widowControl w:val="0"/>
      <w:autoSpaceDE w:val="0"/>
      <w:autoSpaceDN w:val="0"/>
      <w:adjustRightInd w:val="0"/>
      <w:spacing w:after="0" w:line="260" w:lineRule="atLeast"/>
      <w:ind w:left="964" w:hanging="396"/>
      <w:jc w:val="both"/>
    </w:pPr>
    <w:rPr>
      <w:rFonts w:ascii="Arial" w:hAnsi="Arial" w:cs="Arial"/>
      <w:color w:val="000000"/>
      <w:sz w:val="24"/>
      <w:szCs w:val="24"/>
      <w:shd w:val="clear" w:color="auto" w:fill="FFFFFF"/>
    </w:rPr>
  </w:style>
  <w:style w:type="character" w:styleId="Numeroriga">
    <w:name w:val="line number"/>
    <w:basedOn w:val="Carpredefinitoparagrafo"/>
    <w:uiPriority w:val="99"/>
    <w:rPr>
      <w:color w:val="000000"/>
      <w:shd w:val="clear" w:color="auto" w:fill="FFFFFF"/>
    </w:rPr>
  </w:style>
  <w:style w:type="paragraph" w:customStyle="1" w:styleId="OmniPage8">
    <w:name w:val="OmniPage #8"/>
    <w:uiPriority w:val="99"/>
    <w:pPr>
      <w:widowControl w:val="0"/>
      <w:autoSpaceDE w:val="0"/>
      <w:autoSpaceDN w:val="0"/>
      <w:adjustRightInd w:val="0"/>
      <w:spacing w:after="0" w:line="220" w:lineRule="exact"/>
    </w:pPr>
    <w:rPr>
      <w:rFonts w:ascii="Arial" w:hAnsi="Arial" w:cs="Arial"/>
      <w:color w:val="000000"/>
      <w:sz w:val="20"/>
      <w:szCs w:val="20"/>
      <w:shd w:val="clear" w:color="auto" w:fill="FFFFFF"/>
    </w:rPr>
  </w:style>
  <w:style w:type="character" w:customStyle="1" w:styleId="StileRimandonotaapidipaginaGrassetto">
    <w:name w:val="Stile Rimando nota a piè di pagina + Grassetto"/>
    <w:uiPriority w:val="99"/>
    <w:rPr>
      <w:rFonts w:ascii="Times New Roman" w:hAnsi="Times New Roman" w:cs="Times New Roman"/>
      <w:b/>
      <w:bCs/>
      <w:color w:val="0000FF"/>
      <w:sz w:val="16"/>
      <w:szCs w:val="16"/>
      <w:shd w:val="clear" w:color="auto" w:fill="FFFFFF"/>
    </w:rPr>
  </w:style>
  <w:style w:type="paragraph" w:customStyle="1" w:styleId="Rub3">
    <w:name w:val="Rub3"/>
    <w:next w:val="Normale"/>
    <w:uiPriority w:val="99"/>
    <w:pPr>
      <w:widowControl w:val="0"/>
      <w:tabs>
        <w:tab w:val="left" w:pos="709"/>
      </w:tabs>
      <w:autoSpaceDE w:val="0"/>
      <w:autoSpaceDN w:val="0"/>
      <w:adjustRightInd w:val="0"/>
      <w:spacing w:after="0" w:line="240" w:lineRule="auto"/>
      <w:jc w:val="both"/>
    </w:pPr>
    <w:rPr>
      <w:rFonts w:ascii="Arial" w:hAnsi="Arial" w:cs="Arial"/>
      <w:b/>
      <w:bCs/>
      <w:i/>
      <w:iCs/>
      <w:color w:val="000000"/>
      <w:sz w:val="20"/>
      <w:szCs w:val="20"/>
      <w:shd w:val="clear" w:color="auto" w:fill="FFFFFF"/>
    </w:rPr>
  </w:style>
  <w:style w:type="paragraph" w:customStyle="1" w:styleId="Rub1">
    <w:name w:val="Rub1"/>
    <w:uiPriority w:val="99"/>
    <w:pPr>
      <w:widowControl w:val="0"/>
      <w:tabs>
        <w:tab w:val="left" w:pos="1276"/>
      </w:tabs>
      <w:autoSpaceDE w:val="0"/>
      <w:autoSpaceDN w:val="0"/>
      <w:adjustRightInd w:val="0"/>
      <w:spacing w:after="0" w:line="240" w:lineRule="auto"/>
      <w:jc w:val="both"/>
    </w:pPr>
    <w:rPr>
      <w:rFonts w:ascii="Arial" w:hAnsi="Arial" w:cs="Arial"/>
      <w:b/>
      <w:bCs/>
      <w:smallCaps/>
      <w:color w:val="000000"/>
      <w:sz w:val="20"/>
      <w:szCs w:val="20"/>
      <w:shd w:val="clear" w:color="auto" w:fill="FFFFFF"/>
    </w:rPr>
  </w:style>
  <w:style w:type="paragraph" w:customStyle="1" w:styleId="Rub2">
    <w:name w:val="Rub2"/>
    <w:next w:val="Normale"/>
    <w:uiPriority w:val="99"/>
    <w:pPr>
      <w:widowControl w:val="0"/>
      <w:tabs>
        <w:tab w:val="left" w:pos="709"/>
        <w:tab w:val="left" w:pos="5670"/>
        <w:tab w:val="left" w:pos="6663"/>
        <w:tab w:val="left" w:pos="7088"/>
      </w:tabs>
      <w:autoSpaceDE w:val="0"/>
      <w:autoSpaceDN w:val="0"/>
      <w:adjustRightInd w:val="0"/>
      <w:spacing w:after="0" w:line="240" w:lineRule="auto"/>
    </w:pPr>
    <w:rPr>
      <w:rFonts w:ascii="Arial" w:hAnsi="Arial" w:cs="Arial"/>
      <w:smallCaps/>
      <w:color w:val="000000"/>
      <w:sz w:val="20"/>
      <w:szCs w:val="20"/>
      <w:shd w:val="clear" w:color="auto" w:fill="FFFFFF"/>
    </w:rPr>
  </w:style>
  <w:style w:type="paragraph" w:customStyle="1" w:styleId="Rub4">
    <w:name w:val="Rub4"/>
    <w:next w:val="Normale"/>
    <w:uiPriority w:val="99"/>
    <w:pPr>
      <w:widowControl w:val="0"/>
      <w:tabs>
        <w:tab w:val="left" w:pos="709"/>
      </w:tabs>
      <w:autoSpaceDE w:val="0"/>
      <w:autoSpaceDN w:val="0"/>
      <w:adjustRightInd w:val="0"/>
      <w:spacing w:after="0" w:line="240" w:lineRule="auto"/>
      <w:jc w:val="both"/>
    </w:pPr>
    <w:rPr>
      <w:rFonts w:ascii="Arial" w:hAnsi="Arial" w:cs="Arial"/>
      <w:i/>
      <w:iCs/>
      <w:color w:val="000000"/>
      <w:sz w:val="20"/>
      <w:szCs w:val="20"/>
      <w:shd w:val="clear" w:color="auto" w:fill="FFFFFF"/>
    </w:rPr>
  </w:style>
  <w:style w:type="character" w:customStyle="1" w:styleId="NormaleWebCarattere">
    <w:name w:val="Normale (Web) Carattere"/>
    <w:uiPriority w:val="99"/>
    <w:rPr>
      <w:color w:val="000000"/>
      <w:shd w:val="clear" w:color="auto" w:fill="FFFFFF"/>
    </w:rPr>
  </w:style>
  <w:style w:type="character" w:customStyle="1" w:styleId="StileRimandonotaapidipagina">
    <w:name w:val="Stile Rimando nota a piè di pagina +"/>
    <w:uiPriority w:val="99"/>
    <w:rPr>
      <w:rFonts w:ascii="Times New Roman" w:hAnsi="Times New Roman" w:cs="Times New Roman"/>
      <w:b/>
      <w:bCs/>
      <w:color w:val="0000FF"/>
      <w:sz w:val="16"/>
      <w:szCs w:val="16"/>
      <w:shd w:val="clear" w:color="auto" w:fill="FFFFFF"/>
    </w:rPr>
  </w:style>
  <w:style w:type="character" w:customStyle="1" w:styleId="ParagraphFont">
    <w:name w:val="Paragraph Font"/>
    <w:uiPriority w:val="99"/>
    <w:rPr>
      <w:color w:val="000000"/>
      <w:shd w:val="clear" w:color="auto" w:fill="FFFFFF"/>
    </w:rPr>
  </w:style>
  <w:style w:type="paragraph" w:customStyle="1" w:styleId="TitoloARTICOLO">
    <w:name w:val="Titolo ARTICOLO"/>
    <w:next w:val="NormaleWeb"/>
    <w:uiPriority w:val="99"/>
    <w:pPr>
      <w:widowControl w:val="0"/>
      <w:autoSpaceDE w:val="0"/>
      <w:autoSpaceDN w:val="0"/>
      <w:adjustRightInd w:val="0"/>
      <w:spacing w:before="100" w:after="0" w:line="240" w:lineRule="auto"/>
      <w:jc w:val="both"/>
    </w:pPr>
    <w:rPr>
      <w:rFonts w:ascii="Tahoma" w:hAnsi="Tahoma" w:cs="Tahoma"/>
      <w:b/>
      <w:bCs/>
      <w:color w:val="000000"/>
      <w:sz w:val="20"/>
      <w:szCs w:val="20"/>
      <w:shd w:val="clear" w:color="auto" w:fill="FFFFFF"/>
    </w:rPr>
  </w:style>
  <w:style w:type="paragraph" w:customStyle="1" w:styleId="StileTitolo3">
    <w:name w:val="Stile Titolo 3"/>
    <w:aliases w:val="CAPO + Times New Roman 12 pt"/>
    <w:uiPriority w:val="99"/>
    <w:pPr>
      <w:widowControl w:val="0"/>
      <w:autoSpaceDE w:val="0"/>
      <w:autoSpaceDN w:val="0"/>
      <w:adjustRightInd w:val="0"/>
      <w:spacing w:before="100" w:after="0" w:line="240" w:lineRule="auto"/>
      <w:jc w:val="both"/>
      <w:outlineLvl w:val="2"/>
    </w:pPr>
    <w:rPr>
      <w:rFonts w:ascii="Arial" w:hAnsi="Arial" w:cs="Arial"/>
      <w:b/>
      <w:bCs/>
      <w:color w:val="000000"/>
      <w:sz w:val="24"/>
      <w:szCs w:val="24"/>
      <w:shd w:val="clear" w:color="auto" w:fill="FFFFFF"/>
    </w:rPr>
  </w:style>
  <w:style w:type="character" w:customStyle="1" w:styleId="StileTitolo31">
    <w:name w:val="Stile Titolo 31"/>
    <w:aliases w:val="CAPO + Times New Roman 12 pt Carattere"/>
    <w:uiPriority w:val="99"/>
    <w:rPr>
      <w:b/>
      <w:bCs/>
      <w:color w:val="000000"/>
      <w:shd w:val="clear" w:color="auto" w:fill="FFFFFF"/>
    </w:rPr>
  </w:style>
  <w:style w:type="paragraph" w:customStyle="1" w:styleId="provvr0">
    <w:name w:val="provv_r0"/>
    <w:uiPriority w:val="99"/>
    <w:pPr>
      <w:widowControl w:val="0"/>
      <w:autoSpaceDE w:val="0"/>
      <w:autoSpaceDN w:val="0"/>
      <w:adjustRightInd w:val="0"/>
      <w:spacing w:before="100" w:after="100" w:line="240" w:lineRule="auto"/>
      <w:jc w:val="both"/>
    </w:pPr>
    <w:rPr>
      <w:rFonts w:ascii="Arial" w:hAnsi="Arial" w:cs="Arial"/>
      <w:sz w:val="24"/>
      <w:szCs w:val="24"/>
    </w:rPr>
  </w:style>
  <w:style w:type="paragraph" w:styleId="Paragrafoelenco">
    <w:name w:val="List Paragraph"/>
    <w:basedOn w:val="Normale"/>
    <w:uiPriority w:val="34"/>
    <w:qFormat/>
    <w:pPr>
      <w:spacing w:after="0"/>
      <w:ind w:left="833" w:hanging="360"/>
      <w:jc w:val="left"/>
    </w:pPr>
    <w:rPr>
      <w:rFonts w:ascii="Book Antiqua" w:hAnsi="Book Antiqua" w:cs="Book Antiqua"/>
    </w:rPr>
  </w:style>
  <w:style w:type="paragraph" w:customStyle="1" w:styleId="PREMESSE">
    <w:name w:val="PREMESSE"/>
    <w:uiPriority w:val="99"/>
    <w:pPr>
      <w:widowControl w:val="0"/>
      <w:autoSpaceDE w:val="0"/>
      <w:autoSpaceDN w:val="0"/>
      <w:adjustRightInd w:val="0"/>
      <w:spacing w:before="120" w:after="240" w:line="240" w:lineRule="auto"/>
      <w:jc w:val="center"/>
    </w:pPr>
    <w:rPr>
      <w:rFonts w:ascii="Arial" w:hAnsi="Arial" w:cs="Arial"/>
      <w:b/>
      <w:bCs/>
    </w:rPr>
  </w:style>
  <w:style w:type="paragraph" w:customStyle="1" w:styleId="s19">
    <w:name w:val="s19"/>
    <w:uiPriority w:val="99"/>
    <w:pPr>
      <w:widowControl w:val="0"/>
      <w:autoSpaceDE w:val="0"/>
      <w:autoSpaceDN w:val="0"/>
      <w:adjustRightInd w:val="0"/>
      <w:spacing w:after="0" w:line="200" w:lineRule="atLeast"/>
      <w:ind w:right="223"/>
      <w:jc w:val="both"/>
    </w:pPr>
    <w:rPr>
      <w:rFonts w:ascii="Trebuchet MS" w:hAnsi="Trebuchet MS" w:cs="Trebuchet MS"/>
      <w:sz w:val="20"/>
      <w:szCs w:val="20"/>
    </w:rPr>
  </w:style>
  <w:style w:type="paragraph" w:customStyle="1" w:styleId="Elencopuntato">
    <w:name w:val="Elenco puntato"/>
    <w:uiPriority w:val="99"/>
    <w:pPr>
      <w:widowControl w:val="0"/>
      <w:numPr>
        <w:numId w:val="39"/>
      </w:numPr>
      <w:autoSpaceDE w:val="0"/>
      <w:autoSpaceDN w:val="0"/>
      <w:adjustRightInd w:val="0"/>
      <w:spacing w:after="120" w:line="240" w:lineRule="auto"/>
      <w:ind w:left="714" w:hanging="357"/>
      <w:contextualSpacing/>
      <w:jc w:val="both"/>
    </w:pPr>
    <w:rPr>
      <w:rFonts w:ascii="Arial" w:hAnsi="Arial" w:cs="Arial"/>
    </w:rPr>
  </w:style>
  <w:style w:type="paragraph" w:customStyle="1" w:styleId="Oggetto">
    <w:name w:val="Oggetto"/>
    <w:uiPriority w:val="99"/>
    <w:pPr>
      <w:widowControl w:val="0"/>
      <w:autoSpaceDE w:val="0"/>
      <w:autoSpaceDN w:val="0"/>
      <w:adjustRightInd w:val="0"/>
      <w:jc w:val="both"/>
    </w:pPr>
    <w:rPr>
      <w:rFonts w:ascii="Arial" w:hAnsi="Arial" w:cs="Arial"/>
      <w:b/>
      <w:bCs/>
      <w:color w:val="000000"/>
      <w:sz w:val="32"/>
      <w:szCs w:val="32"/>
    </w:rPr>
  </w:style>
  <w:style w:type="paragraph" w:customStyle="1" w:styleId="Titoloparagrafi">
    <w:name w:val="Titolo paragrafi"/>
    <w:uiPriority w:val="99"/>
    <w:pPr>
      <w:widowControl w:val="0"/>
      <w:autoSpaceDE w:val="0"/>
      <w:autoSpaceDN w:val="0"/>
      <w:adjustRightInd w:val="0"/>
      <w:spacing w:before="240" w:after="120" w:line="240" w:lineRule="auto"/>
      <w:jc w:val="both"/>
    </w:pPr>
    <w:rPr>
      <w:rFonts w:ascii="Arial" w:hAnsi="Arial" w:cs="Arial"/>
      <w:b/>
      <w:bCs/>
      <w:color w:val="000000"/>
    </w:rPr>
  </w:style>
  <w:style w:type="paragraph" w:customStyle="1" w:styleId="Intestazione-">
    <w:name w:val="Intestazione-"/>
    <w:uiPriority w:val="99"/>
    <w:pPr>
      <w:widowControl w:val="0"/>
      <w:autoSpaceDE w:val="0"/>
      <w:autoSpaceDN w:val="0"/>
      <w:adjustRightInd w:val="0"/>
      <w:spacing w:after="120" w:line="240" w:lineRule="auto"/>
      <w:jc w:val="right"/>
    </w:pPr>
    <w:rPr>
      <w:rFonts w:ascii="Arial" w:hAnsi="Arial" w:cs="Arial"/>
      <w:sz w:val="24"/>
      <w:szCs w:val="24"/>
    </w:rPr>
  </w:style>
  <w:style w:type="paragraph" w:styleId="Nessunaspaziatura">
    <w:name w:val="No Spacing"/>
    <w:uiPriority w:val="99"/>
    <w:qFormat/>
    <w:pPr>
      <w:widowControl w:val="0"/>
      <w:autoSpaceDE w:val="0"/>
      <w:autoSpaceDN w:val="0"/>
      <w:adjustRightInd w:val="0"/>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388096">
      <w:bodyDiv w:val="1"/>
      <w:marLeft w:val="0"/>
      <w:marRight w:val="0"/>
      <w:marTop w:val="0"/>
      <w:marBottom w:val="0"/>
      <w:divBdr>
        <w:top w:val="none" w:sz="0" w:space="0" w:color="auto"/>
        <w:left w:val="none" w:sz="0" w:space="0" w:color="auto"/>
        <w:bottom w:val="none" w:sz="0" w:space="0" w:color="auto"/>
        <w:right w:val="none" w:sz="0" w:space="0" w:color="auto"/>
      </w:divBdr>
    </w:div>
    <w:div w:id="290483369">
      <w:bodyDiv w:val="1"/>
      <w:marLeft w:val="0"/>
      <w:marRight w:val="0"/>
      <w:marTop w:val="0"/>
      <w:marBottom w:val="0"/>
      <w:divBdr>
        <w:top w:val="none" w:sz="0" w:space="0" w:color="auto"/>
        <w:left w:val="none" w:sz="0" w:space="0" w:color="auto"/>
        <w:bottom w:val="none" w:sz="0" w:space="0" w:color="auto"/>
        <w:right w:val="none" w:sz="0" w:space="0" w:color="auto"/>
      </w:divBdr>
    </w:div>
    <w:div w:id="465390854">
      <w:bodyDiv w:val="1"/>
      <w:marLeft w:val="0"/>
      <w:marRight w:val="0"/>
      <w:marTop w:val="0"/>
      <w:marBottom w:val="0"/>
      <w:divBdr>
        <w:top w:val="none" w:sz="0" w:space="0" w:color="auto"/>
        <w:left w:val="none" w:sz="0" w:space="0" w:color="auto"/>
        <w:bottom w:val="none" w:sz="0" w:space="0" w:color="auto"/>
        <w:right w:val="none" w:sz="0" w:space="0" w:color="auto"/>
      </w:divBdr>
    </w:div>
    <w:div w:id="1022124970">
      <w:bodyDiv w:val="1"/>
      <w:marLeft w:val="0"/>
      <w:marRight w:val="0"/>
      <w:marTop w:val="0"/>
      <w:marBottom w:val="0"/>
      <w:divBdr>
        <w:top w:val="none" w:sz="0" w:space="0" w:color="auto"/>
        <w:left w:val="none" w:sz="0" w:space="0" w:color="auto"/>
        <w:bottom w:val="none" w:sz="0" w:space="0" w:color="auto"/>
        <w:right w:val="none" w:sz="0" w:space="0" w:color="auto"/>
      </w:divBdr>
    </w:div>
    <w:div w:id="150929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oreno\Desktop\HYPER_PUNTO_IND|43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Moreno\Desktop\HYPER_PUNTO_IND|330|Norme" TargetMode="External"/><Relationship Id="rId12" Type="http://schemas.openxmlformats.org/officeDocument/2006/relationships/hyperlink" Target="file:///C:\Users\Moreno\Desktop\HYPER_PUNTO_IND|425|con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Moreno\Desktop\HYPER_PUNTO_IND|36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C:\Users\Moreno\Desktop\HYPER_PUNTO_IND|424|" TargetMode="External"/><Relationship Id="rId4" Type="http://schemas.openxmlformats.org/officeDocument/2006/relationships/webSettings" Target="webSettings.xml"/><Relationship Id="rId9" Type="http://schemas.openxmlformats.org/officeDocument/2006/relationships/hyperlink" Target="file:///C:\Users\Moreno\Desktop\HYPER_PUNTO_IND|446|"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45</Pages>
  <Words>28256</Words>
  <Characters>175832</Characters>
  <Application>Microsoft Office Word</Application>
  <DocSecurity>0</DocSecurity>
  <Lines>1465</Lines>
  <Paragraphs>407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Moreno Santi</dc:creator>
  <cp:keywords/>
  <dc:description/>
  <cp:lastModifiedBy>Moreno Santi</cp:lastModifiedBy>
  <cp:revision>48</cp:revision>
  <cp:lastPrinted>2022-04-04T08:09:00Z</cp:lastPrinted>
  <dcterms:created xsi:type="dcterms:W3CDTF">2022-03-10T14:33:00Z</dcterms:created>
  <dcterms:modified xsi:type="dcterms:W3CDTF">2022-09-02T15:56:00Z</dcterms:modified>
</cp:coreProperties>
</file>