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12DE" w14:textId="77777777" w:rsidR="00CE0BD5" w:rsidRPr="005D7002" w:rsidRDefault="00CE0BD5" w:rsidP="00580DAE">
      <w:pPr>
        <w:jc w:val="center"/>
        <w:rPr>
          <w:rFonts w:ascii="Century Gothic" w:hAnsi="Century Gothic"/>
          <w:color w:val="808080"/>
          <w:sz w:val="4"/>
          <w:szCs w:val="4"/>
        </w:rPr>
      </w:pPr>
    </w:p>
    <w:p w14:paraId="2DFB12DF" w14:textId="77777777" w:rsidR="008C0382" w:rsidRDefault="008C0382" w:rsidP="005D7002">
      <w:pPr>
        <w:jc w:val="both"/>
        <w:rPr>
          <w:rFonts w:ascii="Century Gothic" w:hAnsi="Century Gothic"/>
          <w:color w:val="008000"/>
          <w:sz w:val="20"/>
        </w:rPr>
      </w:pPr>
    </w:p>
    <w:p w14:paraId="2DFB12E0" w14:textId="77777777" w:rsidR="00B92402" w:rsidRDefault="00B92402" w:rsidP="005D7002">
      <w:pPr>
        <w:jc w:val="both"/>
        <w:rPr>
          <w:rFonts w:ascii="Century Gothic" w:hAnsi="Century Gothic"/>
          <w:color w:val="008000"/>
          <w:sz w:val="20"/>
        </w:rPr>
      </w:pPr>
    </w:p>
    <w:p w14:paraId="2DFB12E1" w14:textId="77777777" w:rsidR="00F95A1F" w:rsidRPr="00DC57DB" w:rsidRDefault="004C66F0" w:rsidP="00F95A1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008000"/>
          <w:sz w:val="20"/>
          <w:szCs w:val="20"/>
        </w:rPr>
        <w:tab/>
      </w:r>
      <w:r>
        <w:rPr>
          <w:rFonts w:ascii="Century Gothic" w:hAnsi="Century Gothic"/>
          <w:color w:val="008000"/>
          <w:sz w:val="20"/>
          <w:szCs w:val="20"/>
        </w:rPr>
        <w:tab/>
      </w:r>
      <w:r>
        <w:rPr>
          <w:rFonts w:ascii="Century Gothic" w:hAnsi="Century Gothic"/>
          <w:color w:val="008000"/>
          <w:sz w:val="20"/>
          <w:szCs w:val="20"/>
        </w:rPr>
        <w:tab/>
      </w:r>
      <w:r>
        <w:rPr>
          <w:rFonts w:ascii="Century Gothic" w:hAnsi="Century Gothic"/>
          <w:color w:val="008000"/>
          <w:sz w:val="20"/>
          <w:szCs w:val="20"/>
        </w:rPr>
        <w:tab/>
      </w:r>
      <w:r>
        <w:rPr>
          <w:rFonts w:ascii="Century Gothic" w:hAnsi="Century Gothic"/>
          <w:color w:val="008000"/>
          <w:sz w:val="20"/>
          <w:szCs w:val="20"/>
        </w:rPr>
        <w:tab/>
      </w:r>
      <w:r>
        <w:rPr>
          <w:rFonts w:ascii="Century Gothic" w:hAnsi="Century Gothic"/>
          <w:color w:val="008000"/>
          <w:sz w:val="20"/>
          <w:szCs w:val="20"/>
        </w:rPr>
        <w:tab/>
      </w:r>
      <w:r>
        <w:rPr>
          <w:rFonts w:ascii="Century Gothic" w:hAnsi="Century Gothic"/>
          <w:color w:val="008000"/>
          <w:sz w:val="20"/>
          <w:szCs w:val="20"/>
        </w:rPr>
        <w:tab/>
      </w:r>
      <w:r>
        <w:rPr>
          <w:rFonts w:ascii="Century Gothic" w:hAnsi="Century Gothic"/>
          <w:color w:val="008000"/>
          <w:sz w:val="20"/>
          <w:szCs w:val="20"/>
        </w:rPr>
        <w:tab/>
      </w:r>
    </w:p>
    <w:p w14:paraId="2DFB12E2" w14:textId="77777777" w:rsidR="00F95A1F" w:rsidRPr="00DC57DB" w:rsidRDefault="00F95A1F" w:rsidP="00F95A1F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ab/>
      </w:r>
      <w:r w:rsidRPr="00DC57DB">
        <w:rPr>
          <w:rFonts w:ascii="Century Gothic" w:hAnsi="Century Gothic"/>
          <w:sz w:val="22"/>
          <w:szCs w:val="22"/>
        </w:rPr>
        <w:tab/>
      </w:r>
      <w:r w:rsidRPr="00DC57DB">
        <w:rPr>
          <w:rFonts w:ascii="Century Gothic" w:hAnsi="Century Gothic"/>
          <w:sz w:val="22"/>
          <w:szCs w:val="22"/>
        </w:rPr>
        <w:tab/>
      </w:r>
    </w:p>
    <w:p w14:paraId="2DFB12E3" w14:textId="77777777" w:rsidR="00F95A1F" w:rsidRPr="00DC57DB" w:rsidRDefault="00F95A1F" w:rsidP="00F95A1F">
      <w:pPr>
        <w:pStyle w:val="Corpotesto"/>
        <w:ind w:left="1440" w:hanging="1440"/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DC57DB">
        <w:rPr>
          <w:rFonts w:ascii="Century Gothic" w:hAnsi="Century Gothic"/>
          <w:b/>
          <w:sz w:val="22"/>
          <w:szCs w:val="22"/>
          <w:u w:val="single"/>
        </w:rPr>
        <w:t>ALLEGATO 1 – MISURE DI PREVENZIONE DELLA POLLINOSI DA AMBROSIA</w:t>
      </w:r>
    </w:p>
    <w:p w14:paraId="2DFB12E4" w14:textId="77777777" w:rsidR="00F95A1F" w:rsidRPr="00DC57DB" w:rsidRDefault="00F95A1F" w:rsidP="00F95A1F">
      <w:pPr>
        <w:pStyle w:val="Corpotesto"/>
        <w:ind w:left="1260" w:hanging="1260"/>
        <w:rPr>
          <w:rFonts w:ascii="Century Gothic" w:hAnsi="Century Gothic"/>
          <w:sz w:val="22"/>
          <w:szCs w:val="22"/>
        </w:rPr>
      </w:pPr>
    </w:p>
    <w:p w14:paraId="2DFB12E5" w14:textId="77777777" w:rsidR="00F95A1F" w:rsidRPr="00DC57DB" w:rsidRDefault="00F95A1F" w:rsidP="00F95A1F">
      <w:pPr>
        <w:pStyle w:val="Corpotesto"/>
        <w:ind w:left="1420"/>
        <w:rPr>
          <w:rFonts w:ascii="Century Gothic" w:hAnsi="Century Gothic"/>
          <w:sz w:val="22"/>
          <w:szCs w:val="22"/>
        </w:rPr>
      </w:pPr>
    </w:p>
    <w:p w14:paraId="2DFB12E6" w14:textId="7BC1617D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Sul territorio lombardo, l’Ambrosia</w:t>
      </w:r>
      <w:r w:rsidR="00B16347">
        <w:rPr>
          <w:rFonts w:ascii="Century Gothic" w:hAnsi="Century Gothic"/>
          <w:sz w:val="22"/>
          <w:szCs w:val="22"/>
        </w:rPr>
        <w:t xml:space="preserve"> continua a</w:t>
      </w:r>
      <w:r w:rsidRPr="00DC57DB">
        <w:rPr>
          <w:rFonts w:ascii="Century Gothic" w:hAnsi="Century Gothic"/>
          <w:sz w:val="22"/>
          <w:szCs w:val="22"/>
        </w:rPr>
        <w:t xml:space="preserve"> rappresenta</w:t>
      </w:r>
      <w:r w:rsidR="00B16347">
        <w:rPr>
          <w:rFonts w:ascii="Century Gothic" w:hAnsi="Century Gothic"/>
          <w:sz w:val="22"/>
          <w:szCs w:val="22"/>
        </w:rPr>
        <w:t>re</w:t>
      </w:r>
      <w:r w:rsidRPr="00DC57DB">
        <w:rPr>
          <w:rFonts w:ascii="Century Gothic" w:hAnsi="Century Gothic"/>
          <w:sz w:val="22"/>
          <w:szCs w:val="22"/>
        </w:rPr>
        <w:t xml:space="preserve"> una rilevante causa di pollinosi ed il Sistema Sanitario Regionale è da tempo impegnato in azioni di prevenzione coordinate anche con le Amministrazioni Locali. </w:t>
      </w:r>
    </w:p>
    <w:p w14:paraId="2DFB12E7" w14:textId="1F121BCA" w:rsidR="00F95A1F" w:rsidRPr="003E758A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</w:p>
    <w:p w14:paraId="5C658333" w14:textId="77777777" w:rsidR="003E758A" w:rsidRPr="006A725A" w:rsidRDefault="003E758A" w:rsidP="003E758A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6A725A">
        <w:rPr>
          <w:rFonts w:ascii="Century Gothic" w:hAnsi="Century Gothic" w:cs="Arial"/>
          <w:sz w:val="22"/>
          <w:szCs w:val="22"/>
        </w:rPr>
        <w:t>Di seguito sono riportate le concentrazioni giornaliere massime di polline di Ambrosia e le quantità totali stagionali (pollini/m</w:t>
      </w:r>
      <w:r w:rsidRPr="006A725A">
        <w:rPr>
          <w:rFonts w:ascii="Century Gothic" w:hAnsi="Century Gothic" w:cs="Arial"/>
          <w:sz w:val="22"/>
          <w:szCs w:val="22"/>
          <w:vertAlign w:val="superscript"/>
        </w:rPr>
        <w:t>3</w:t>
      </w:r>
      <w:r w:rsidRPr="006A725A">
        <w:rPr>
          <w:rFonts w:ascii="Century Gothic" w:hAnsi="Century Gothic" w:cs="Arial"/>
          <w:sz w:val="22"/>
          <w:szCs w:val="22"/>
        </w:rPr>
        <w:t>) rilevate nel 2025 dalle stazioni di monitoraggio aerobiologico lombarde.</w:t>
      </w:r>
    </w:p>
    <w:p w14:paraId="3D672002" w14:textId="77777777" w:rsidR="003E758A" w:rsidRPr="006A725A" w:rsidRDefault="003E758A" w:rsidP="003E758A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5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850"/>
        <w:gridCol w:w="1134"/>
        <w:gridCol w:w="851"/>
        <w:gridCol w:w="567"/>
        <w:gridCol w:w="992"/>
        <w:gridCol w:w="567"/>
        <w:gridCol w:w="709"/>
        <w:gridCol w:w="708"/>
        <w:gridCol w:w="993"/>
      </w:tblGrid>
      <w:tr w:rsidR="003E758A" w:rsidRPr="006A725A" w14:paraId="6D84765B" w14:textId="77777777" w:rsidTr="00F80746">
        <w:trPr>
          <w:trHeight w:val="780"/>
        </w:trPr>
        <w:tc>
          <w:tcPr>
            <w:tcW w:w="2689" w:type="dxa"/>
            <w:shd w:val="clear" w:color="auto" w:fill="auto"/>
            <w:noWrap/>
            <w:vAlign w:val="center"/>
          </w:tcPr>
          <w:p w14:paraId="3843B675" w14:textId="77777777" w:rsidR="003E758A" w:rsidRPr="006A725A" w:rsidRDefault="003E758A" w:rsidP="00F80746">
            <w:pPr>
              <w:spacing w:before="160"/>
              <w:jc w:val="both"/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Stazione di monitoraggio</w:t>
            </w:r>
          </w:p>
        </w:tc>
        <w:tc>
          <w:tcPr>
            <w:tcW w:w="850" w:type="dxa"/>
            <w:vAlign w:val="center"/>
          </w:tcPr>
          <w:p w14:paraId="18BB7628" w14:textId="77777777" w:rsidR="003E758A" w:rsidRPr="006A725A" w:rsidRDefault="003E758A" w:rsidP="00F80746">
            <w:pPr>
              <w:spacing w:before="160"/>
              <w:jc w:val="center"/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Milano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B0933A" w14:textId="77777777" w:rsidR="003E758A" w:rsidRPr="006A725A" w:rsidRDefault="003E758A" w:rsidP="00F80746">
            <w:pPr>
              <w:spacing w:before="160"/>
              <w:jc w:val="center"/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Magenta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0D08D7" w14:textId="77777777" w:rsidR="003E758A" w:rsidRPr="006A725A" w:rsidRDefault="003E758A" w:rsidP="00F80746">
            <w:pPr>
              <w:spacing w:before="160"/>
              <w:jc w:val="center"/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Busto Arsizio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18E1BD" w14:textId="77777777" w:rsidR="003E758A" w:rsidRPr="006A725A" w:rsidRDefault="003E758A" w:rsidP="00F80746">
            <w:pPr>
              <w:spacing w:before="160"/>
              <w:jc w:val="center"/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Rho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99145C" w14:textId="77777777" w:rsidR="003E758A" w:rsidRPr="006A725A" w:rsidRDefault="003E758A" w:rsidP="00F80746">
            <w:pPr>
              <w:spacing w:before="160"/>
              <w:jc w:val="center"/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Legnano</w:t>
            </w:r>
          </w:p>
        </w:tc>
        <w:tc>
          <w:tcPr>
            <w:tcW w:w="567" w:type="dxa"/>
            <w:vAlign w:val="center"/>
          </w:tcPr>
          <w:p w14:paraId="12AEDB47" w14:textId="77777777" w:rsidR="003E758A" w:rsidRPr="006A725A" w:rsidRDefault="003E758A" w:rsidP="00F80746">
            <w:pPr>
              <w:spacing w:before="160"/>
              <w:jc w:val="center"/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Lodi</w:t>
            </w:r>
          </w:p>
        </w:tc>
        <w:tc>
          <w:tcPr>
            <w:tcW w:w="709" w:type="dxa"/>
            <w:vAlign w:val="center"/>
          </w:tcPr>
          <w:p w14:paraId="591EDBB4" w14:textId="77777777" w:rsidR="003E758A" w:rsidRPr="006A725A" w:rsidRDefault="003E758A" w:rsidP="00F80746">
            <w:pPr>
              <w:spacing w:before="160"/>
              <w:jc w:val="center"/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Pavia</w:t>
            </w:r>
          </w:p>
        </w:tc>
        <w:tc>
          <w:tcPr>
            <w:tcW w:w="708" w:type="dxa"/>
            <w:vAlign w:val="center"/>
          </w:tcPr>
          <w:p w14:paraId="0FDF68FA" w14:textId="77777777" w:rsidR="003E758A" w:rsidRPr="006A725A" w:rsidRDefault="003E758A" w:rsidP="00F80746">
            <w:pPr>
              <w:spacing w:before="160"/>
              <w:jc w:val="center"/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Desio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CAF778" w14:textId="77777777" w:rsidR="003E758A" w:rsidRPr="006A725A" w:rsidRDefault="003E758A" w:rsidP="00F80746">
            <w:pPr>
              <w:spacing w:before="160"/>
              <w:jc w:val="center"/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Sondrio</w:t>
            </w:r>
          </w:p>
        </w:tc>
      </w:tr>
      <w:tr w:rsidR="003E758A" w:rsidRPr="006A725A" w14:paraId="5D91AF12" w14:textId="77777777" w:rsidTr="00F80746">
        <w:trPr>
          <w:trHeight w:val="616"/>
        </w:trPr>
        <w:tc>
          <w:tcPr>
            <w:tcW w:w="2689" w:type="dxa"/>
            <w:shd w:val="clear" w:color="auto" w:fill="auto"/>
            <w:vAlign w:val="center"/>
          </w:tcPr>
          <w:p w14:paraId="0DBD7101" w14:textId="77777777" w:rsidR="003E758A" w:rsidRPr="006A725A" w:rsidRDefault="003E758A" w:rsidP="00F80746">
            <w:pPr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Concentrazione giornaliera massima (pollini/m</w:t>
            </w: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vertAlign w:val="superscript"/>
                <w:lang w:eastAsia="ja-JP"/>
              </w:rPr>
              <w:t>3</w:t>
            </w: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)</w:t>
            </w:r>
          </w:p>
          <w:p w14:paraId="37A4F53A" w14:textId="77777777" w:rsidR="003E758A" w:rsidRPr="006A725A" w:rsidRDefault="003E758A" w:rsidP="00F80746">
            <w:pPr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Anno 2025</w:t>
            </w:r>
          </w:p>
        </w:tc>
        <w:tc>
          <w:tcPr>
            <w:tcW w:w="850" w:type="dxa"/>
            <w:vAlign w:val="center"/>
          </w:tcPr>
          <w:p w14:paraId="4E607EF2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F2F1B0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color w:val="000000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color w:val="000000"/>
                <w:sz w:val="20"/>
                <w:szCs w:val="20"/>
                <w:lang w:eastAsia="ja-JP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2EDCBC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D6CC12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color w:val="000000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color w:val="000000"/>
                <w:sz w:val="20"/>
                <w:szCs w:val="20"/>
                <w:lang w:eastAsia="ja-JP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5FBC16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color w:val="000000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color w:val="000000"/>
                <w:sz w:val="20"/>
                <w:szCs w:val="20"/>
                <w:lang w:eastAsia="ja-JP"/>
              </w:rPr>
              <w:t>56</w:t>
            </w:r>
          </w:p>
        </w:tc>
        <w:tc>
          <w:tcPr>
            <w:tcW w:w="567" w:type="dxa"/>
            <w:vAlign w:val="center"/>
          </w:tcPr>
          <w:p w14:paraId="27BF60E6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  <w:t>40</w:t>
            </w:r>
          </w:p>
        </w:tc>
        <w:tc>
          <w:tcPr>
            <w:tcW w:w="709" w:type="dxa"/>
            <w:vAlign w:val="center"/>
          </w:tcPr>
          <w:p w14:paraId="73F52747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  <w:t>21</w:t>
            </w:r>
          </w:p>
        </w:tc>
        <w:tc>
          <w:tcPr>
            <w:tcW w:w="708" w:type="dxa"/>
            <w:vAlign w:val="center"/>
          </w:tcPr>
          <w:p w14:paraId="1EF0B2D3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  <w:t>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090F03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  <w:t>2</w:t>
            </w:r>
          </w:p>
        </w:tc>
      </w:tr>
      <w:tr w:rsidR="003E758A" w:rsidRPr="006A725A" w14:paraId="78902976" w14:textId="77777777" w:rsidTr="00F80746">
        <w:trPr>
          <w:trHeight w:val="616"/>
        </w:trPr>
        <w:tc>
          <w:tcPr>
            <w:tcW w:w="2689" w:type="dxa"/>
            <w:shd w:val="clear" w:color="auto" w:fill="auto"/>
            <w:vAlign w:val="center"/>
          </w:tcPr>
          <w:p w14:paraId="38F61C3B" w14:textId="77777777" w:rsidR="003E758A" w:rsidRPr="006A725A" w:rsidRDefault="003E758A" w:rsidP="00F80746">
            <w:pPr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Quantitativo stagionale (pollini/m</w:t>
            </w: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vertAlign w:val="superscript"/>
                <w:lang w:eastAsia="ja-JP"/>
              </w:rPr>
              <w:t>3</w:t>
            </w: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)</w:t>
            </w:r>
          </w:p>
          <w:p w14:paraId="54A5E357" w14:textId="77777777" w:rsidR="003E758A" w:rsidRPr="006A725A" w:rsidRDefault="003E758A" w:rsidP="00F80746">
            <w:pPr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b/>
                <w:bCs/>
                <w:sz w:val="20"/>
                <w:szCs w:val="20"/>
                <w:lang w:eastAsia="ja-JP"/>
              </w:rPr>
              <w:t>Anno 2025</w:t>
            </w:r>
          </w:p>
        </w:tc>
        <w:tc>
          <w:tcPr>
            <w:tcW w:w="850" w:type="dxa"/>
            <w:vAlign w:val="center"/>
          </w:tcPr>
          <w:p w14:paraId="7B0F6D9F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  <w:t>183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ED77FB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color w:val="000000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color w:val="000000"/>
                <w:sz w:val="20"/>
                <w:szCs w:val="20"/>
                <w:lang w:eastAsia="ja-JP"/>
              </w:rPr>
              <w:t>614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209E8B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  <w:t>1167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F0379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color w:val="000000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color w:val="000000"/>
                <w:sz w:val="20"/>
                <w:szCs w:val="20"/>
                <w:lang w:eastAsia="ja-JP"/>
              </w:rPr>
              <w:t>340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E53602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color w:val="000000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color w:val="000000"/>
                <w:sz w:val="20"/>
                <w:szCs w:val="20"/>
                <w:lang w:eastAsia="ja-JP"/>
              </w:rPr>
              <w:t>948</w:t>
            </w:r>
          </w:p>
        </w:tc>
        <w:tc>
          <w:tcPr>
            <w:tcW w:w="567" w:type="dxa"/>
            <w:vAlign w:val="center"/>
          </w:tcPr>
          <w:p w14:paraId="6955F112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  <w:t>408</w:t>
            </w:r>
          </w:p>
        </w:tc>
        <w:tc>
          <w:tcPr>
            <w:tcW w:w="709" w:type="dxa"/>
            <w:vAlign w:val="center"/>
          </w:tcPr>
          <w:p w14:paraId="210E339B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  <w:t>222</w:t>
            </w:r>
          </w:p>
        </w:tc>
        <w:tc>
          <w:tcPr>
            <w:tcW w:w="708" w:type="dxa"/>
            <w:vAlign w:val="center"/>
          </w:tcPr>
          <w:p w14:paraId="38DE82A6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  <w:t>1257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46DCC4" w14:textId="77777777" w:rsidR="003E758A" w:rsidRPr="006A725A" w:rsidRDefault="003E758A" w:rsidP="00F80746">
            <w:pPr>
              <w:jc w:val="center"/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</w:pPr>
            <w:r w:rsidRPr="006A725A">
              <w:rPr>
                <w:rFonts w:ascii="Century Gothic" w:eastAsia="MS Mincho" w:hAnsi="Century Gothic" w:cs="Arial"/>
                <w:sz w:val="20"/>
                <w:szCs w:val="20"/>
                <w:lang w:eastAsia="ja-JP"/>
              </w:rPr>
              <w:t>11</w:t>
            </w:r>
          </w:p>
        </w:tc>
      </w:tr>
    </w:tbl>
    <w:p w14:paraId="5CDD7FF0" w14:textId="77777777" w:rsidR="00E928C8" w:rsidRPr="006A725A" w:rsidRDefault="00E928C8" w:rsidP="00E928C8">
      <w:pPr>
        <w:pStyle w:val="Corpotesto"/>
        <w:rPr>
          <w:rFonts w:ascii="Century Gothic" w:hAnsi="Century Gothic"/>
        </w:rPr>
      </w:pPr>
    </w:p>
    <w:p w14:paraId="0D0E6F47" w14:textId="77777777" w:rsidR="003E758A" w:rsidRPr="006A725A" w:rsidRDefault="003E758A" w:rsidP="00E928C8">
      <w:pPr>
        <w:pStyle w:val="Corpotesto"/>
        <w:rPr>
          <w:rFonts w:ascii="Century Gothic" w:hAnsi="Century Gothic"/>
        </w:rPr>
      </w:pPr>
    </w:p>
    <w:p w14:paraId="37B26F70" w14:textId="77777777" w:rsidR="00832D3E" w:rsidRPr="006A725A" w:rsidRDefault="00832D3E" w:rsidP="00832D3E">
      <w:pPr>
        <w:autoSpaceDE w:val="0"/>
        <w:autoSpaceDN w:val="0"/>
        <w:adjustRightInd w:val="0"/>
        <w:ind w:firstLine="708"/>
        <w:jc w:val="both"/>
        <w:rPr>
          <w:rFonts w:ascii="Century Gothic" w:hAnsi="Century Gothic" w:cs="Arial"/>
          <w:sz w:val="22"/>
          <w:szCs w:val="22"/>
        </w:rPr>
      </w:pPr>
      <w:r w:rsidRPr="006A725A">
        <w:rPr>
          <w:rFonts w:ascii="Century Gothic" w:hAnsi="Century Gothic" w:cs="Arial"/>
          <w:sz w:val="22"/>
          <w:szCs w:val="22"/>
        </w:rPr>
        <w:t>I dati rilevati evidenziano che le aree maggiormente infestate sono ancora la zona a nord, nord-ovest di Milano e la zona sud della provincia di Varese. L’attivazione nel corso del 2025 delle due stazioni di monitoraggio aerobiologico di Lodi e Pavia, con i relativi dati, mostrano come i livelli di diffusione della pianta meritino attenzione anche in queste aree.</w:t>
      </w:r>
    </w:p>
    <w:p w14:paraId="111720E6" w14:textId="77777777" w:rsidR="00B7065B" w:rsidRPr="006A725A" w:rsidRDefault="00B7065B" w:rsidP="00832D3E">
      <w:pPr>
        <w:autoSpaceDE w:val="0"/>
        <w:autoSpaceDN w:val="0"/>
        <w:adjustRightInd w:val="0"/>
        <w:ind w:firstLine="708"/>
        <w:jc w:val="both"/>
        <w:rPr>
          <w:rFonts w:ascii="Century Gothic" w:hAnsi="Century Gothic" w:cs="Arial"/>
          <w:sz w:val="22"/>
          <w:szCs w:val="22"/>
        </w:rPr>
      </w:pPr>
    </w:p>
    <w:p w14:paraId="7F6A702A" w14:textId="6C6F6B3F" w:rsidR="00E91483" w:rsidRPr="006A725A" w:rsidRDefault="00832D3E" w:rsidP="00B7065B">
      <w:pPr>
        <w:autoSpaceDE w:val="0"/>
        <w:autoSpaceDN w:val="0"/>
        <w:adjustRightInd w:val="0"/>
        <w:ind w:firstLine="708"/>
        <w:jc w:val="both"/>
        <w:rPr>
          <w:rFonts w:ascii="Century Gothic" w:hAnsi="Century Gothic" w:cs="Arial"/>
          <w:sz w:val="22"/>
          <w:szCs w:val="22"/>
        </w:rPr>
      </w:pPr>
      <w:r w:rsidRPr="006A725A">
        <w:rPr>
          <w:rFonts w:ascii="Century Gothic" w:hAnsi="Century Gothic" w:cs="Arial"/>
          <w:sz w:val="22"/>
          <w:szCs w:val="22"/>
        </w:rPr>
        <w:t xml:space="preserve">Per quanto riguarda la stagione pollinica 2025, si è riscontrata una generale cospicua diminuzione dei livelli di polline rispetto al biennio 2023-24. I dati meteorologici lombardi confermano come il 2025 sia risultato uno degli anni più caldi degli ultimi 30 anni, </w:t>
      </w:r>
      <w:r w:rsidR="001E7D15" w:rsidRPr="006A725A">
        <w:rPr>
          <w:rFonts w:ascii="Century Gothic" w:hAnsi="Century Gothic" w:cs="Arial"/>
          <w:sz w:val="22"/>
          <w:szCs w:val="22"/>
        </w:rPr>
        <w:t>insieme al triennio 2022-23-24</w:t>
      </w:r>
      <w:r w:rsidR="00F14A0E" w:rsidRPr="006A725A">
        <w:rPr>
          <w:rFonts w:ascii="Century Gothic" w:hAnsi="Century Gothic" w:cs="Arial"/>
          <w:sz w:val="22"/>
          <w:szCs w:val="22"/>
        </w:rPr>
        <w:t xml:space="preserve">, </w:t>
      </w:r>
      <w:r w:rsidRPr="006A725A">
        <w:rPr>
          <w:rFonts w:ascii="Century Gothic" w:hAnsi="Century Gothic" w:cs="Arial"/>
          <w:sz w:val="22"/>
          <w:szCs w:val="22"/>
        </w:rPr>
        <w:t>caratterizzato però anche da una maggior piovosità nei mesi tra luglio e settembre. Quest’ultimo parametro può aver inciso negativamente sulla fioritura della pianta e sulla rilevazione del suo polline in atmosfera.</w:t>
      </w:r>
    </w:p>
    <w:p w14:paraId="7C767BC4" w14:textId="77777777" w:rsidR="00E91483" w:rsidRPr="006A725A" w:rsidRDefault="00E91483" w:rsidP="00E91483">
      <w:pPr>
        <w:autoSpaceDE w:val="0"/>
        <w:autoSpaceDN w:val="0"/>
        <w:adjustRightInd w:val="0"/>
        <w:ind w:firstLine="708"/>
        <w:jc w:val="both"/>
        <w:rPr>
          <w:rFonts w:ascii="Century Gothic" w:hAnsi="Century Gothic" w:cs="Arial"/>
          <w:sz w:val="22"/>
          <w:szCs w:val="22"/>
        </w:rPr>
      </w:pPr>
    </w:p>
    <w:p w14:paraId="20062FDC" w14:textId="315DF46B" w:rsidR="00832D3E" w:rsidRPr="006A725A" w:rsidRDefault="00832D3E" w:rsidP="00E91483">
      <w:pPr>
        <w:autoSpaceDE w:val="0"/>
        <w:autoSpaceDN w:val="0"/>
        <w:adjustRightInd w:val="0"/>
        <w:ind w:firstLine="708"/>
        <w:jc w:val="both"/>
        <w:rPr>
          <w:rFonts w:ascii="Century Gothic" w:hAnsi="Century Gothic" w:cs="Arial"/>
          <w:sz w:val="22"/>
          <w:szCs w:val="22"/>
        </w:rPr>
      </w:pPr>
      <w:r w:rsidRPr="006A725A">
        <w:rPr>
          <w:rFonts w:ascii="Century Gothic" w:hAnsi="Century Gothic" w:cs="Arial"/>
          <w:sz w:val="22"/>
          <w:szCs w:val="22"/>
        </w:rPr>
        <w:t xml:space="preserve">Un altro fattore che può aver influenzato la diminuzione dei livelli di polline è l’adozione e promozione degli interventi di prevenzione e contenimento di Ambrosia attuati dalle ATS e dai Comuni, unitamente all’azione di </w:t>
      </w:r>
      <w:r w:rsidRPr="006A725A">
        <w:rPr>
          <w:rFonts w:ascii="Century Gothic" w:hAnsi="Century Gothic" w:cs="Arial"/>
          <w:i/>
          <w:iCs/>
          <w:sz w:val="22"/>
          <w:szCs w:val="22"/>
        </w:rPr>
        <w:t>Ophraella communa</w:t>
      </w:r>
      <w:r w:rsidRPr="006A725A">
        <w:rPr>
          <w:rFonts w:ascii="Century Gothic" w:hAnsi="Century Gothic" w:cs="Arial"/>
          <w:sz w:val="22"/>
          <w:szCs w:val="22"/>
        </w:rPr>
        <w:t>, coleottero diffusosi accidentalmente in Lombardia dal 2013 e che si ciba della pianta, impedendone quindi la fioritura e la produzione di polline.</w:t>
      </w:r>
    </w:p>
    <w:p w14:paraId="1E1D8199" w14:textId="77777777" w:rsidR="001D5088" w:rsidRPr="006A725A" w:rsidRDefault="001D5088" w:rsidP="007410C6">
      <w:pPr>
        <w:pStyle w:val="Corpotesto"/>
        <w:rPr>
          <w:rFonts w:ascii="Century Gothic" w:hAnsi="Century Gothic"/>
          <w:sz w:val="22"/>
          <w:szCs w:val="22"/>
        </w:rPr>
      </w:pPr>
    </w:p>
    <w:p w14:paraId="32E12BA1" w14:textId="6C06ECF4" w:rsidR="007410C6" w:rsidRPr="002B4912" w:rsidRDefault="00435E49" w:rsidP="007410C6">
      <w:pPr>
        <w:pStyle w:val="Corpotesto"/>
        <w:ind w:firstLine="708"/>
        <w:rPr>
          <w:rFonts w:ascii="Century Gothic" w:hAnsi="Century Gothic"/>
          <w:sz w:val="22"/>
          <w:szCs w:val="22"/>
        </w:rPr>
      </w:pPr>
      <w:r w:rsidRPr="006A725A">
        <w:rPr>
          <w:rFonts w:ascii="Century Gothic" w:hAnsi="Century Gothic"/>
          <w:sz w:val="22"/>
          <w:szCs w:val="22"/>
        </w:rPr>
        <w:t>N</w:t>
      </w:r>
      <w:r w:rsidR="00434E35" w:rsidRPr="006A725A">
        <w:rPr>
          <w:rFonts w:ascii="Century Gothic" w:hAnsi="Century Gothic"/>
          <w:sz w:val="22"/>
          <w:szCs w:val="22"/>
        </w:rPr>
        <w:t>el 202</w:t>
      </w:r>
      <w:r w:rsidR="00E91483" w:rsidRPr="006A725A">
        <w:rPr>
          <w:rFonts w:ascii="Century Gothic" w:hAnsi="Century Gothic"/>
          <w:sz w:val="22"/>
          <w:szCs w:val="22"/>
        </w:rPr>
        <w:t>5</w:t>
      </w:r>
      <w:r w:rsidR="00434E35" w:rsidRPr="006A725A">
        <w:rPr>
          <w:rFonts w:ascii="Century Gothic" w:hAnsi="Century Gothic"/>
          <w:sz w:val="22"/>
          <w:szCs w:val="22"/>
        </w:rPr>
        <w:t xml:space="preserve"> sono stati </w:t>
      </w:r>
      <w:r w:rsidR="009C0079" w:rsidRPr="006A725A">
        <w:rPr>
          <w:rFonts w:ascii="Century Gothic" w:hAnsi="Century Gothic"/>
          <w:sz w:val="22"/>
          <w:szCs w:val="22"/>
        </w:rPr>
        <w:t xml:space="preserve">in ogni caso </w:t>
      </w:r>
      <w:r w:rsidR="00434E35" w:rsidRPr="006A725A">
        <w:rPr>
          <w:rFonts w:ascii="Century Gothic" w:hAnsi="Century Gothic"/>
          <w:sz w:val="22"/>
          <w:szCs w:val="22"/>
        </w:rPr>
        <w:t>registrati</w:t>
      </w:r>
      <w:r w:rsidR="00385A64" w:rsidRPr="006A725A">
        <w:rPr>
          <w:rFonts w:ascii="Century Gothic" w:hAnsi="Century Gothic"/>
          <w:sz w:val="22"/>
          <w:szCs w:val="22"/>
        </w:rPr>
        <w:t xml:space="preserve"> livelli di polline capaci di provocare sintomi, anche invalidanti, nei soggetti allergici. Al riguardo si ricorda che il “bollettino del polline” è un importante strumento di prevenzione, di riferimento per i cittadini e a supporto del personale medico specialistico nella diagnosi delle allergopatie e nella prescrizione della terapia a beneficio del paziente</w:t>
      </w:r>
      <w:r w:rsidR="00B318CD" w:rsidRPr="006A725A">
        <w:rPr>
          <w:rFonts w:ascii="Century Gothic" w:hAnsi="Century Gothic"/>
          <w:sz w:val="22"/>
          <w:szCs w:val="22"/>
        </w:rPr>
        <w:t xml:space="preserve"> </w:t>
      </w:r>
      <w:r w:rsidR="00131CE1" w:rsidRPr="006A725A">
        <w:rPr>
          <w:rFonts w:ascii="Century Gothic" w:hAnsi="Century Gothic"/>
          <w:sz w:val="22"/>
          <w:szCs w:val="22"/>
        </w:rPr>
        <w:t>ed è consultabile sul sito web di ATS</w:t>
      </w:r>
      <w:r w:rsidR="004C23ED" w:rsidRPr="006A725A">
        <w:rPr>
          <w:rFonts w:ascii="Century Gothic" w:hAnsi="Century Gothic"/>
          <w:sz w:val="22"/>
          <w:szCs w:val="22"/>
          <w:vertAlign w:val="superscript"/>
        </w:rPr>
        <w:t>1</w:t>
      </w:r>
      <w:r w:rsidR="004C23ED" w:rsidRPr="006A725A">
        <w:rPr>
          <w:rFonts w:ascii="Century Gothic" w:hAnsi="Century Gothic"/>
          <w:sz w:val="22"/>
          <w:szCs w:val="22"/>
        </w:rPr>
        <w:t>.</w:t>
      </w:r>
      <w:r w:rsidR="00131CE1" w:rsidRPr="006A725A">
        <w:rPr>
          <w:rFonts w:ascii="Century Gothic" w:hAnsi="Century Gothic"/>
          <w:sz w:val="22"/>
          <w:szCs w:val="22"/>
        </w:rPr>
        <w:t xml:space="preserve"> </w:t>
      </w:r>
      <w:r w:rsidR="007410C6" w:rsidRPr="006A725A">
        <w:rPr>
          <w:rFonts w:ascii="Century Gothic" w:hAnsi="Century Gothic"/>
          <w:sz w:val="22"/>
          <w:szCs w:val="22"/>
        </w:rPr>
        <w:t>Si ricorda anche che l’invio del bollettino può essere richiesto</w:t>
      </w:r>
      <w:r w:rsidR="007410C6" w:rsidRPr="00B16347">
        <w:rPr>
          <w:rFonts w:ascii="Century Gothic" w:hAnsi="Century Gothic"/>
          <w:sz w:val="22"/>
          <w:szCs w:val="22"/>
        </w:rPr>
        <w:t xml:space="preserve"> da parte delle Amministrazioni comunali interessate</w:t>
      </w:r>
      <w:r w:rsidR="006B649D">
        <w:rPr>
          <w:rFonts w:ascii="Century Gothic" w:hAnsi="Century Gothic"/>
          <w:sz w:val="22"/>
          <w:szCs w:val="22"/>
        </w:rPr>
        <w:t xml:space="preserve"> </w:t>
      </w:r>
      <w:r w:rsidR="007410C6" w:rsidRPr="00B16347">
        <w:rPr>
          <w:rFonts w:ascii="Century Gothic" w:hAnsi="Century Gothic"/>
          <w:sz w:val="22"/>
          <w:szCs w:val="22"/>
        </w:rPr>
        <w:lastRenderedPageBreak/>
        <w:t xml:space="preserve">al fine di darne </w:t>
      </w:r>
      <w:r w:rsidR="007410C6" w:rsidRPr="006A725A">
        <w:rPr>
          <w:rFonts w:ascii="Century Gothic" w:hAnsi="Century Gothic"/>
          <w:sz w:val="22"/>
          <w:szCs w:val="22"/>
        </w:rPr>
        <w:t>diffusione a livello locale</w:t>
      </w:r>
      <w:r w:rsidR="006B649D" w:rsidRPr="006A725A">
        <w:rPr>
          <w:rFonts w:ascii="Century Gothic" w:hAnsi="Century Gothic"/>
          <w:sz w:val="22"/>
          <w:szCs w:val="22"/>
        </w:rPr>
        <w:t xml:space="preserve"> (ad es. affissione in bacheche comunali o farmacie, rilancio sui canali di comunicazione locale), scrivendo via pec a </w:t>
      </w:r>
      <w:hyperlink r:id="rId11" w:history="1">
        <w:r w:rsidR="006B649D" w:rsidRPr="006A725A">
          <w:rPr>
            <w:rStyle w:val="Collegamentoipertestuale"/>
            <w:rFonts w:ascii="Century Gothic" w:hAnsi="Century Gothic"/>
            <w:sz w:val="22"/>
            <w:szCs w:val="22"/>
          </w:rPr>
          <w:t>dipartimentoprevenzione@pec.ats-milano.it</w:t>
        </w:r>
      </w:hyperlink>
      <w:r w:rsidR="006B649D" w:rsidRPr="006A725A">
        <w:rPr>
          <w:rFonts w:ascii="Century Gothic" w:hAnsi="Century Gothic"/>
          <w:sz w:val="22"/>
          <w:szCs w:val="22"/>
        </w:rPr>
        <w:t xml:space="preserve"> e comunicando l’indirizzo e</w:t>
      </w:r>
      <w:r w:rsidR="006A725A">
        <w:rPr>
          <w:rFonts w:ascii="Century Gothic" w:hAnsi="Century Gothic"/>
          <w:sz w:val="22"/>
          <w:szCs w:val="22"/>
        </w:rPr>
        <w:t>-</w:t>
      </w:r>
      <w:r w:rsidR="006B649D" w:rsidRPr="006A725A">
        <w:rPr>
          <w:rFonts w:ascii="Century Gothic" w:hAnsi="Century Gothic"/>
          <w:sz w:val="22"/>
          <w:szCs w:val="22"/>
        </w:rPr>
        <w:t>mail di riferimento al quale si desidera ricevere il bollettino</w:t>
      </w:r>
      <w:r w:rsidR="007410C6" w:rsidRPr="006A725A">
        <w:rPr>
          <w:rFonts w:ascii="Century Gothic" w:hAnsi="Century Gothic"/>
          <w:sz w:val="22"/>
          <w:szCs w:val="22"/>
        </w:rPr>
        <w:t>.</w:t>
      </w:r>
    </w:p>
    <w:p w14:paraId="36EBCE87" w14:textId="0F5ED95A" w:rsidR="00F55F36" w:rsidRDefault="00F55F36" w:rsidP="007410C6">
      <w:pPr>
        <w:pStyle w:val="Corpotesto"/>
        <w:rPr>
          <w:sz w:val="24"/>
          <w:szCs w:val="24"/>
        </w:rPr>
      </w:pPr>
    </w:p>
    <w:p w14:paraId="4AA837CC" w14:textId="705128AF" w:rsidR="00F55F36" w:rsidRPr="00611CE6" w:rsidRDefault="00A067AC" w:rsidP="0043774C">
      <w:pPr>
        <w:autoSpaceDE w:val="0"/>
        <w:autoSpaceDN w:val="0"/>
        <w:adjustRightInd w:val="0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Su</w:t>
      </w:r>
      <w:r w:rsidR="00F27FAE">
        <w:rPr>
          <w:rFonts w:ascii="Century Gothic" w:hAnsi="Century Gothic"/>
          <w:sz w:val="22"/>
          <w:szCs w:val="22"/>
        </w:rPr>
        <w:t xml:space="preserve">l potenziale di </w:t>
      </w:r>
      <w:r w:rsidR="00F55F36" w:rsidRPr="00D83944">
        <w:rPr>
          <w:rFonts w:ascii="Century Gothic" w:hAnsi="Century Gothic"/>
          <w:sz w:val="22"/>
          <w:szCs w:val="22"/>
        </w:rPr>
        <w:t xml:space="preserve"> </w:t>
      </w:r>
      <w:r w:rsidR="00F27FAE" w:rsidRPr="001D5088">
        <w:rPr>
          <w:rFonts w:ascii="Century Gothic" w:hAnsi="Century Gothic" w:cs="Helvetica-Oblique"/>
          <w:i/>
          <w:iCs/>
          <w:sz w:val="22"/>
          <w:szCs w:val="22"/>
        </w:rPr>
        <w:t>Ophraella communa</w:t>
      </w:r>
      <w:r w:rsidR="00F27FAE" w:rsidRPr="00F27FAE">
        <w:rPr>
          <w:rFonts w:ascii="Century Gothic" w:hAnsi="Century Gothic"/>
          <w:sz w:val="22"/>
          <w:szCs w:val="22"/>
        </w:rPr>
        <w:t xml:space="preserve"> </w:t>
      </w:r>
      <w:r w:rsidR="00F27FAE">
        <w:rPr>
          <w:rFonts w:ascii="Century Gothic" w:hAnsi="Century Gothic"/>
          <w:sz w:val="22"/>
          <w:szCs w:val="22"/>
        </w:rPr>
        <w:t xml:space="preserve">come controllore biologico di Ambrosia, </w:t>
      </w:r>
      <w:r w:rsidR="00F55F36" w:rsidRPr="00D83944">
        <w:rPr>
          <w:rFonts w:ascii="Century Gothic" w:hAnsi="Century Gothic"/>
          <w:sz w:val="22"/>
          <w:szCs w:val="22"/>
        </w:rPr>
        <w:t xml:space="preserve">sono stati effettuati studi in alcuni campi sperimentali del territorio della ATS Città Metropolitana di Milano, avviati nell’ambito della partecipazione alla COST ACTION EU “SMARTER” (Sustainable Management of </w:t>
      </w:r>
      <w:r w:rsidR="00F55F36" w:rsidRPr="00D83944">
        <w:rPr>
          <w:rFonts w:ascii="Century Gothic" w:hAnsi="Century Gothic"/>
          <w:i/>
          <w:sz w:val="22"/>
          <w:szCs w:val="22"/>
        </w:rPr>
        <w:t>Ambrosia artemisiifolia</w:t>
      </w:r>
      <w:r w:rsidR="00F55F36" w:rsidRPr="00D83944">
        <w:rPr>
          <w:rFonts w:ascii="Century Gothic" w:hAnsi="Century Gothic"/>
          <w:sz w:val="22"/>
          <w:szCs w:val="22"/>
        </w:rPr>
        <w:t xml:space="preserve"> in Europe), in collaborazione con l’Università di Friburgo (Svizzera) ed alcuni Comuni, </w:t>
      </w:r>
      <w:r w:rsidR="00F27FAE">
        <w:rPr>
          <w:rFonts w:ascii="Century Gothic" w:hAnsi="Century Gothic"/>
          <w:sz w:val="22"/>
          <w:szCs w:val="22"/>
        </w:rPr>
        <w:t xml:space="preserve">che hanno avuto lo scopo di </w:t>
      </w:r>
      <w:r w:rsidR="00F55F36" w:rsidRPr="00D83944">
        <w:rPr>
          <w:rFonts w:ascii="Century Gothic" w:hAnsi="Century Gothic"/>
          <w:sz w:val="22"/>
          <w:szCs w:val="22"/>
        </w:rPr>
        <w:t>valutare</w:t>
      </w:r>
      <w:r w:rsidR="00F27FAE">
        <w:rPr>
          <w:rFonts w:ascii="Century Gothic" w:hAnsi="Century Gothic"/>
          <w:sz w:val="22"/>
          <w:szCs w:val="22"/>
        </w:rPr>
        <w:t xml:space="preserve"> </w:t>
      </w:r>
      <w:r w:rsidR="00F55F36" w:rsidRPr="00D83944">
        <w:rPr>
          <w:rFonts w:ascii="Century Gothic" w:hAnsi="Century Gothic"/>
          <w:sz w:val="22"/>
          <w:szCs w:val="22"/>
        </w:rPr>
        <w:t>la capacità dell’insetto di diminuire la produzione di polline allergenico da parte della pianta</w:t>
      </w:r>
      <w:r w:rsidR="00F55F36" w:rsidRPr="00611CE6">
        <w:rPr>
          <w:rFonts w:ascii="Century Gothic" w:hAnsi="Century Gothic"/>
          <w:sz w:val="22"/>
          <w:szCs w:val="22"/>
        </w:rPr>
        <w:t>.</w:t>
      </w:r>
      <w:r w:rsidR="00434E35" w:rsidRPr="00611CE6">
        <w:rPr>
          <w:rFonts w:ascii="Century Gothic" w:hAnsi="Century Gothic"/>
          <w:sz w:val="22"/>
          <w:szCs w:val="22"/>
        </w:rPr>
        <w:t xml:space="preserve"> ATS ha proseguito il monitoraggio </w:t>
      </w:r>
      <w:r w:rsidR="000757BF" w:rsidRPr="00611CE6">
        <w:rPr>
          <w:rFonts w:ascii="Century Gothic" w:hAnsi="Century Gothic"/>
          <w:sz w:val="22"/>
          <w:szCs w:val="22"/>
        </w:rPr>
        <w:t xml:space="preserve">di </w:t>
      </w:r>
      <w:r w:rsidR="000757BF" w:rsidRPr="00611CE6">
        <w:rPr>
          <w:rFonts w:ascii="Century Gothic" w:hAnsi="Century Gothic" w:cs="Helvetica-Oblique"/>
          <w:i/>
          <w:iCs/>
          <w:sz w:val="22"/>
          <w:szCs w:val="22"/>
        </w:rPr>
        <w:t>Ophraella communa</w:t>
      </w:r>
      <w:r w:rsidR="000757BF" w:rsidRPr="00611CE6">
        <w:rPr>
          <w:rFonts w:ascii="Century Gothic" w:hAnsi="Century Gothic"/>
          <w:sz w:val="22"/>
          <w:szCs w:val="22"/>
        </w:rPr>
        <w:t xml:space="preserve"> sul territorio di sua competenza</w:t>
      </w:r>
      <w:r w:rsidR="00434E35" w:rsidRPr="00611CE6">
        <w:rPr>
          <w:rFonts w:ascii="Century Gothic" w:hAnsi="Century Gothic"/>
          <w:sz w:val="22"/>
          <w:szCs w:val="22"/>
        </w:rPr>
        <w:t xml:space="preserve"> anche dopo la conclusione del progetto, </w:t>
      </w:r>
      <w:r w:rsidR="000757BF" w:rsidRPr="004B5F3F">
        <w:rPr>
          <w:rFonts w:ascii="Century Gothic" w:hAnsi="Century Gothic"/>
          <w:sz w:val="22"/>
          <w:szCs w:val="22"/>
        </w:rPr>
        <w:t>rilevando un decremento della presenza del coleottero dal 2014 al 202</w:t>
      </w:r>
      <w:r w:rsidR="00141262">
        <w:rPr>
          <w:rFonts w:ascii="Century Gothic" w:hAnsi="Century Gothic"/>
          <w:sz w:val="22"/>
          <w:szCs w:val="22"/>
        </w:rPr>
        <w:t>5</w:t>
      </w:r>
      <w:r w:rsidR="000757BF" w:rsidRPr="004B5F3F">
        <w:rPr>
          <w:rFonts w:ascii="Century Gothic" w:hAnsi="Century Gothic"/>
          <w:sz w:val="22"/>
          <w:szCs w:val="22"/>
        </w:rPr>
        <w:t>. Parallelamente, dal 2018 si sono registrate fluttuazioni delle concentrazioni massime di polline di Ambrosia, con un incremento soprattutto nelle aree</w:t>
      </w:r>
      <w:r w:rsidR="00BA361B" w:rsidRPr="004B5F3F">
        <w:rPr>
          <w:rFonts w:ascii="Century Gothic" w:hAnsi="Century Gothic"/>
          <w:sz w:val="22"/>
          <w:szCs w:val="22"/>
        </w:rPr>
        <w:t xml:space="preserve"> oggetto di monitoraggio aerobiologico situate </w:t>
      </w:r>
      <w:r w:rsidR="000757BF" w:rsidRPr="004B5F3F">
        <w:rPr>
          <w:rFonts w:ascii="Century Gothic" w:hAnsi="Century Gothic"/>
          <w:sz w:val="22"/>
          <w:szCs w:val="22"/>
        </w:rPr>
        <w:t>a nord di Milano.</w:t>
      </w:r>
      <w:r w:rsidR="0043774C">
        <w:rPr>
          <w:rFonts w:ascii="Century Gothic" w:hAnsi="Century Gothic"/>
          <w:sz w:val="22"/>
          <w:szCs w:val="22"/>
        </w:rPr>
        <w:t xml:space="preserve"> </w:t>
      </w:r>
      <w:r w:rsidR="00F55F36" w:rsidRPr="00611CE6">
        <w:rPr>
          <w:rFonts w:ascii="Century Gothic" w:hAnsi="Century Gothic"/>
          <w:sz w:val="22"/>
          <w:szCs w:val="22"/>
        </w:rPr>
        <w:t>La brochure informativa utile per riconoscere l’insetto è consultabile sul sito di Regione Lombardia</w:t>
      </w:r>
      <w:r w:rsidR="004C23ED" w:rsidRPr="00611CE6">
        <w:rPr>
          <w:rFonts w:ascii="Century Gothic" w:hAnsi="Century Gothic"/>
          <w:sz w:val="22"/>
          <w:szCs w:val="22"/>
          <w:vertAlign w:val="superscript"/>
        </w:rPr>
        <w:t>2</w:t>
      </w:r>
      <w:r w:rsidR="00F55F36" w:rsidRPr="00611CE6">
        <w:rPr>
          <w:rFonts w:ascii="Century Gothic" w:hAnsi="Century Gothic"/>
          <w:sz w:val="22"/>
          <w:szCs w:val="22"/>
        </w:rPr>
        <w:t>.</w:t>
      </w:r>
    </w:p>
    <w:p w14:paraId="44C51009" w14:textId="77777777" w:rsidR="00F55F36" w:rsidRPr="00611CE6" w:rsidRDefault="00F55F36" w:rsidP="00385A64">
      <w:pPr>
        <w:pStyle w:val="Corpotesto"/>
        <w:ind w:firstLine="708"/>
        <w:rPr>
          <w:sz w:val="24"/>
          <w:szCs w:val="24"/>
        </w:rPr>
      </w:pPr>
    </w:p>
    <w:p w14:paraId="27F7F317" w14:textId="6D7876D5" w:rsidR="00385A64" w:rsidRPr="00F55F36" w:rsidRDefault="00385A64" w:rsidP="00F55F36">
      <w:pPr>
        <w:pStyle w:val="Corpotesto"/>
        <w:ind w:firstLine="708"/>
        <w:rPr>
          <w:rFonts w:ascii="Century Gothic" w:hAnsi="Century Gothic"/>
          <w:sz w:val="22"/>
          <w:szCs w:val="22"/>
        </w:rPr>
      </w:pPr>
      <w:r w:rsidRPr="00611CE6">
        <w:rPr>
          <w:sz w:val="22"/>
          <w:szCs w:val="22"/>
        </w:rPr>
        <w:t xml:space="preserve"> </w:t>
      </w:r>
      <w:r w:rsidRPr="00611CE6">
        <w:rPr>
          <w:rFonts w:ascii="Century Gothic" w:hAnsi="Century Gothic"/>
          <w:sz w:val="22"/>
          <w:szCs w:val="22"/>
        </w:rPr>
        <w:t>Richiamato quindi che un approccio integrato e un controllo efficace a tutti i livelli, a partire dal singolo</w:t>
      </w:r>
      <w:r w:rsidRPr="00F55F36">
        <w:rPr>
          <w:rFonts w:ascii="Century Gothic" w:hAnsi="Century Gothic"/>
          <w:sz w:val="22"/>
          <w:szCs w:val="22"/>
        </w:rPr>
        <w:t xml:space="preserve"> cittadino, fino al livello locale, regionale, nazionale ed internazionale, sono indispensabili per individuare misure appropriate di prevenzione e di contrasto alla diffusione di quest</w:t>
      </w:r>
      <w:r w:rsidR="00E928C8">
        <w:rPr>
          <w:rFonts w:ascii="Century Gothic" w:hAnsi="Century Gothic"/>
          <w:sz w:val="22"/>
          <w:szCs w:val="22"/>
        </w:rPr>
        <w:t>a</w:t>
      </w:r>
      <w:r w:rsidRPr="00F55F36">
        <w:rPr>
          <w:rFonts w:ascii="Century Gothic" w:hAnsi="Century Gothic"/>
          <w:sz w:val="22"/>
          <w:szCs w:val="22"/>
        </w:rPr>
        <w:t xml:space="preserve"> infestante, </w:t>
      </w:r>
      <w:r w:rsidR="00F55F36" w:rsidRPr="00F55F36">
        <w:rPr>
          <w:rFonts w:ascii="Century Gothic" w:hAnsi="Century Gothic"/>
          <w:sz w:val="22"/>
          <w:szCs w:val="22"/>
        </w:rPr>
        <w:t xml:space="preserve">è fondamentale che </w:t>
      </w:r>
      <w:r w:rsidRPr="00F55F36">
        <w:rPr>
          <w:rFonts w:ascii="Century Gothic" w:hAnsi="Century Gothic"/>
          <w:sz w:val="22"/>
          <w:szCs w:val="22"/>
        </w:rPr>
        <w:t>le attività di prevenzione delle allergopatie</w:t>
      </w:r>
      <w:r w:rsidR="00F55F36" w:rsidRPr="00F55F36">
        <w:rPr>
          <w:rFonts w:ascii="Century Gothic" w:hAnsi="Century Gothic"/>
          <w:sz w:val="22"/>
          <w:szCs w:val="22"/>
        </w:rPr>
        <w:t xml:space="preserve"> vengano erogate</w:t>
      </w:r>
      <w:r w:rsidRPr="00F55F36">
        <w:rPr>
          <w:rFonts w:ascii="Century Gothic" w:hAnsi="Century Gothic"/>
          <w:sz w:val="22"/>
          <w:szCs w:val="22"/>
        </w:rPr>
        <w:t xml:space="preserve"> in modo sistematico.</w:t>
      </w:r>
    </w:p>
    <w:p w14:paraId="748FB13F" w14:textId="478FAB35" w:rsidR="00F55F36" w:rsidRDefault="00F55F36" w:rsidP="00385A64">
      <w:pPr>
        <w:autoSpaceDE w:val="0"/>
        <w:autoSpaceDN w:val="0"/>
        <w:adjustRightInd w:val="0"/>
        <w:ind w:firstLine="708"/>
        <w:jc w:val="both"/>
        <w:rPr>
          <w:rFonts w:ascii="Century Gothic" w:hAnsi="Century Gothic"/>
          <w:sz w:val="20"/>
          <w:szCs w:val="20"/>
        </w:rPr>
      </w:pPr>
    </w:p>
    <w:p w14:paraId="2DFB1322" w14:textId="3CAE5462" w:rsidR="00F95A1F" w:rsidRPr="00DC57DB" w:rsidRDefault="00F55F36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 particolare</w:t>
      </w:r>
      <w:r w:rsidR="00091C2D" w:rsidRPr="00091C2D">
        <w:rPr>
          <w:rFonts w:ascii="Century Gothic" w:hAnsi="Century Gothic"/>
          <w:sz w:val="22"/>
          <w:szCs w:val="22"/>
        </w:rPr>
        <w:t>,</w:t>
      </w:r>
      <w:r w:rsidR="00F95A1F" w:rsidRPr="00091C2D">
        <w:rPr>
          <w:rFonts w:ascii="Century Gothic" w:hAnsi="Century Gothic"/>
          <w:sz w:val="22"/>
          <w:szCs w:val="22"/>
        </w:rPr>
        <w:t xml:space="preserve"> </w:t>
      </w:r>
      <w:r w:rsidR="00E928C8">
        <w:rPr>
          <w:rFonts w:ascii="Century Gothic" w:hAnsi="Century Gothic"/>
          <w:sz w:val="22"/>
          <w:szCs w:val="22"/>
        </w:rPr>
        <w:t xml:space="preserve">considerata </w:t>
      </w:r>
      <w:r w:rsidR="00611CE6">
        <w:rPr>
          <w:rFonts w:ascii="Century Gothic" w:hAnsi="Century Gothic"/>
          <w:sz w:val="22"/>
          <w:szCs w:val="22"/>
        </w:rPr>
        <w:t xml:space="preserve">anche </w:t>
      </w:r>
      <w:r w:rsidR="00E928C8">
        <w:rPr>
          <w:rFonts w:ascii="Century Gothic" w:hAnsi="Century Gothic"/>
          <w:sz w:val="22"/>
          <w:szCs w:val="22"/>
        </w:rPr>
        <w:t>la diminuzione</w:t>
      </w:r>
      <w:r>
        <w:rPr>
          <w:rFonts w:ascii="Century Gothic" w:hAnsi="Century Gothic"/>
          <w:sz w:val="22"/>
          <w:szCs w:val="22"/>
        </w:rPr>
        <w:t xml:space="preserve"> dell</w:t>
      </w:r>
      <w:r w:rsidR="006C10B2">
        <w:rPr>
          <w:rFonts w:ascii="Century Gothic" w:hAnsi="Century Gothic"/>
          <w:sz w:val="22"/>
          <w:szCs w:val="22"/>
        </w:rPr>
        <w:t xml:space="preserve">’insetto </w:t>
      </w:r>
      <w:r w:rsidR="006C10B2" w:rsidRPr="006C10B2">
        <w:rPr>
          <w:rFonts w:ascii="Century Gothic" w:hAnsi="Century Gothic"/>
          <w:i/>
          <w:sz w:val="22"/>
          <w:szCs w:val="22"/>
        </w:rPr>
        <w:t>Ophraella communa</w:t>
      </w:r>
      <w:r w:rsidR="006C10B2">
        <w:rPr>
          <w:rFonts w:ascii="Century Gothic" w:hAnsi="Century Gothic"/>
          <w:sz w:val="22"/>
          <w:szCs w:val="22"/>
        </w:rPr>
        <w:t xml:space="preserve">, </w:t>
      </w:r>
      <w:r w:rsidR="00F95A1F" w:rsidRPr="00DC57DB">
        <w:rPr>
          <w:rFonts w:ascii="Century Gothic" w:hAnsi="Century Gothic"/>
          <w:sz w:val="22"/>
          <w:szCs w:val="22"/>
        </w:rPr>
        <w:t>si ritiene opportuno rammentare alle SS.VV. la necessità di adottare le opportune misure di prevenzione con particolare riferimento a:</w:t>
      </w:r>
    </w:p>
    <w:p w14:paraId="2DFB1323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</w:p>
    <w:p w14:paraId="2DFB1324" w14:textId="77777777" w:rsidR="00F95A1F" w:rsidRPr="00611CE6" w:rsidRDefault="00091C2D" w:rsidP="00F95A1F">
      <w:pPr>
        <w:pStyle w:val="Corpotesto"/>
        <w:numPr>
          <w:ilvl w:val="0"/>
          <w:numId w:val="4"/>
        </w:numPr>
        <w:ind w:hanging="720"/>
        <w:rPr>
          <w:rFonts w:ascii="Century Gothic" w:hAnsi="Century Gothic"/>
          <w:sz w:val="22"/>
          <w:szCs w:val="22"/>
        </w:rPr>
      </w:pPr>
      <w:r w:rsidRPr="00611CE6">
        <w:rPr>
          <w:rFonts w:ascii="Century Gothic" w:hAnsi="Century Gothic"/>
          <w:sz w:val="22"/>
          <w:szCs w:val="22"/>
        </w:rPr>
        <w:t xml:space="preserve">mappatura </w:t>
      </w:r>
      <w:r w:rsidR="00F95A1F" w:rsidRPr="00611CE6">
        <w:rPr>
          <w:rFonts w:ascii="Century Gothic" w:hAnsi="Century Gothic"/>
          <w:sz w:val="22"/>
          <w:szCs w:val="22"/>
        </w:rPr>
        <w:t>delle aree pubbliche e private infestate dalla pianta Ambrosia;</w:t>
      </w:r>
    </w:p>
    <w:p w14:paraId="2DFB1325" w14:textId="77777777" w:rsidR="00F95A1F" w:rsidRPr="00611CE6" w:rsidRDefault="00F95A1F" w:rsidP="00F95A1F">
      <w:pPr>
        <w:pStyle w:val="Corpotesto"/>
        <w:numPr>
          <w:ilvl w:val="0"/>
          <w:numId w:val="4"/>
        </w:numPr>
        <w:ind w:hanging="720"/>
        <w:rPr>
          <w:rFonts w:ascii="Century Gothic" w:hAnsi="Century Gothic"/>
          <w:sz w:val="22"/>
          <w:szCs w:val="22"/>
        </w:rPr>
      </w:pPr>
      <w:r w:rsidRPr="00611CE6">
        <w:rPr>
          <w:rFonts w:ascii="Century Gothic" w:hAnsi="Century Gothic"/>
          <w:sz w:val="22"/>
          <w:szCs w:val="22"/>
        </w:rPr>
        <w:t>realizzazi</w:t>
      </w:r>
      <w:r w:rsidR="00091C2D" w:rsidRPr="00611CE6">
        <w:rPr>
          <w:rFonts w:ascii="Century Gothic" w:hAnsi="Century Gothic"/>
          <w:sz w:val="22"/>
          <w:szCs w:val="22"/>
        </w:rPr>
        <w:t xml:space="preserve">one dei </w:t>
      </w:r>
      <w:r w:rsidRPr="00611CE6">
        <w:rPr>
          <w:rFonts w:ascii="Century Gothic" w:hAnsi="Century Gothic"/>
          <w:sz w:val="22"/>
          <w:szCs w:val="22"/>
        </w:rPr>
        <w:t>conseguenti interventi di contenimento dell’infestante;</w:t>
      </w:r>
    </w:p>
    <w:p w14:paraId="2DFB1327" w14:textId="62C58379" w:rsidR="00F95A1F" w:rsidRPr="00611CE6" w:rsidRDefault="00F95A1F" w:rsidP="00611CE6">
      <w:pPr>
        <w:pStyle w:val="Corpotesto"/>
        <w:numPr>
          <w:ilvl w:val="0"/>
          <w:numId w:val="4"/>
        </w:numPr>
        <w:ind w:hanging="720"/>
        <w:rPr>
          <w:rFonts w:ascii="Century Gothic" w:hAnsi="Century Gothic"/>
          <w:sz w:val="22"/>
          <w:szCs w:val="22"/>
        </w:rPr>
      </w:pPr>
      <w:r w:rsidRPr="00611CE6">
        <w:rPr>
          <w:rFonts w:ascii="Century Gothic" w:hAnsi="Century Gothic"/>
          <w:sz w:val="22"/>
          <w:szCs w:val="22"/>
        </w:rPr>
        <w:t>predisposizione di provvedimenti</w:t>
      </w:r>
      <w:r w:rsidR="00F60A48" w:rsidRPr="00611CE6">
        <w:rPr>
          <w:rFonts w:ascii="Century Gothic" w:hAnsi="Century Gothic"/>
          <w:sz w:val="22"/>
          <w:szCs w:val="22"/>
        </w:rPr>
        <w:t xml:space="preserve"> (Ordinanze Sindacali) </w:t>
      </w:r>
      <w:r w:rsidRPr="00611CE6">
        <w:rPr>
          <w:rFonts w:ascii="Century Gothic" w:hAnsi="Century Gothic"/>
          <w:sz w:val="22"/>
          <w:szCs w:val="22"/>
        </w:rPr>
        <w:t>finalizzati a limitare la diffusione della pianta Ambrosia e la dispersione del suo polline;</w:t>
      </w:r>
      <w:r w:rsidR="00611CE6">
        <w:rPr>
          <w:rFonts w:ascii="Century Gothic" w:hAnsi="Century Gothic"/>
          <w:sz w:val="22"/>
          <w:szCs w:val="22"/>
        </w:rPr>
        <w:t xml:space="preserve"> </w:t>
      </w:r>
      <w:r w:rsidRPr="00611CE6">
        <w:rPr>
          <w:rFonts w:ascii="Century Gothic" w:hAnsi="Century Gothic"/>
          <w:sz w:val="22"/>
          <w:szCs w:val="22"/>
        </w:rPr>
        <w:t>divulgazione dei contenuti dei provvedimenti adottati, nonché successivo controllo e verifica dell’applicazione dei medesimi sulle aree private.</w:t>
      </w:r>
    </w:p>
    <w:p w14:paraId="2DFB1328" w14:textId="77777777" w:rsidR="00F95A1F" w:rsidRPr="00DC57DB" w:rsidRDefault="00F95A1F" w:rsidP="00F95A1F">
      <w:pPr>
        <w:pStyle w:val="Corpotesto"/>
        <w:rPr>
          <w:rFonts w:ascii="Century Gothic" w:hAnsi="Century Gothic"/>
          <w:sz w:val="22"/>
          <w:szCs w:val="22"/>
        </w:rPr>
      </w:pPr>
    </w:p>
    <w:p w14:paraId="2DFB1329" w14:textId="5EA6110A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L’adozione di efficaci metodi di contenimento, se estesa su un ampio territorio</w:t>
      </w:r>
      <w:r w:rsidR="00091C2D">
        <w:rPr>
          <w:rFonts w:ascii="Century Gothic" w:hAnsi="Century Gothic"/>
          <w:sz w:val="22"/>
          <w:szCs w:val="22"/>
        </w:rPr>
        <w:t xml:space="preserve"> </w:t>
      </w:r>
      <w:r w:rsidRPr="00DC57DB">
        <w:rPr>
          <w:rFonts w:ascii="Century Gothic" w:hAnsi="Century Gothic"/>
          <w:sz w:val="22"/>
          <w:szCs w:val="22"/>
        </w:rPr>
        <w:t xml:space="preserve">rappresenta un valido strumento di riduzione della dispersione del polline e di contrasto alla diffusione dell’infestante. </w:t>
      </w:r>
      <w:r w:rsidR="00500611">
        <w:rPr>
          <w:rFonts w:ascii="Century Gothic" w:hAnsi="Century Gothic"/>
          <w:sz w:val="22"/>
          <w:szCs w:val="22"/>
        </w:rPr>
        <w:t>È</w:t>
      </w:r>
      <w:r w:rsidR="0028382F">
        <w:rPr>
          <w:rFonts w:ascii="Century Gothic" w:hAnsi="Century Gothic"/>
          <w:sz w:val="22"/>
          <w:szCs w:val="22"/>
        </w:rPr>
        <w:t xml:space="preserve"> </w:t>
      </w:r>
      <w:r w:rsidRPr="00DC57DB">
        <w:rPr>
          <w:rFonts w:ascii="Century Gothic" w:hAnsi="Century Gothic"/>
          <w:sz w:val="22"/>
          <w:szCs w:val="22"/>
        </w:rPr>
        <w:t>quindi importante l’a</w:t>
      </w:r>
      <w:r w:rsidR="00A25D42">
        <w:rPr>
          <w:rFonts w:ascii="Century Gothic" w:hAnsi="Century Gothic"/>
          <w:sz w:val="22"/>
          <w:szCs w:val="22"/>
        </w:rPr>
        <w:t>ttuazione</w:t>
      </w:r>
      <w:r w:rsidRPr="00DC57DB">
        <w:rPr>
          <w:rFonts w:ascii="Century Gothic" w:hAnsi="Century Gothic"/>
          <w:sz w:val="22"/>
          <w:szCs w:val="22"/>
        </w:rPr>
        <w:t xml:space="preserve"> di tali metodi da parte di tutti i soggetti interessati: la parziale o mancata osservanza da parte di alcuni vanifica, purtroppo, l’impegno profuso dagli altri.</w:t>
      </w:r>
    </w:p>
    <w:p w14:paraId="2DFB132A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</w:p>
    <w:p w14:paraId="2DFB132B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Vi sono infatti evidenze che dimostrano come la realizzazione di tali interventi sia efficace nel diminuire la quantità di polline e migliorare la qualità della vita dei soggetti ad esso allergici.</w:t>
      </w:r>
    </w:p>
    <w:p w14:paraId="2DFB132C" w14:textId="77777777" w:rsidR="00F95A1F" w:rsidRPr="00DC57DB" w:rsidRDefault="00F95A1F" w:rsidP="00F95A1F">
      <w:pPr>
        <w:pStyle w:val="Corpotesto"/>
        <w:ind w:firstLine="1416"/>
        <w:rPr>
          <w:rFonts w:ascii="Century Gothic" w:hAnsi="Century Gothic"/>
          <w:sz w:val="22"/>
          <w:szCs w:val="22"/>
        </w:rPr>
      </w:pPr>
    </w:p>
    <w:p w14:paraId="2DFB132D" w14:textId="77777777" w:rsidR="00F95A1F" w:rsidRPr="00DC57DB" w:rsidRDefault="00F95A1F" w:rsidP="00F95A1F">
      <w:pPr>
        <w:pStyle w:val="Corpotesto"/>
        <w:rPr>
          <w:rFonts w:ascii="Century Gothic" w:hAnsi="Century Gothic"/>
          <w:b/>
          <w:sz w:val="22"/>
          <w:szCs w:val="22"/>
        </w:rPr>
      </w:pPr>
      <w:r w:rsidRPr="00DC57DB">
        <w:rPr>
          <w:rFonts w:ascii="Century Gothic" w:hAnsi="Century Gothic"/>
          <w:b/>
          <w:sz w:val="22"/>
          <w:szCs w:val="22"/>
        </w:rPr>
        <w:t>Programmazione degli interventi</w:t>
      </w:r>
    </w:p>
    <w:p w14:paraId="2DFB132E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  <w:u w:val="single"/>
        </w:rPr>
      </w:pPr>
    </w:p>
    <w:p w14:paraId="2DFB1332" w14:textId="55583813" w:rsidR="00E92F00" w:rsidRDefault="00F95A1F" w:rsidP="006C10B2">
      <w:pPr>
        <w:pStyle w:val="Corpotesto"/>
        <w:ind w:firstLine="708"/>
        <w:rPr>
          <w:rFonts w:ascii="Century Gothic" w:hAnsi="Century Gothic"/>
          <w:b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Per la programmazione degli interventi, sia di contenim</w:t>
      </w:r>
      <w:r w:rsidR="003E5499">
        <w:rPr>
          <w:rFonts w:ascii="Century Gothic" w:hAnsi="Century Gothic"/>
          <w:sz w:val="22"/>
          <w:szCs w:val="22"/>
        </w:rPr>
        <w:t xml:space="preserve">ento che di verifica, e quindi </w:t>
      </w:r>
      <w:r w:rsidRPr="00DC57DB">
        <w:rPr>
          <w:rFonts w:ascii="Century Gothic" w:hAnsi="Century Gothic"/>
          <w:sz w:val="22"/>
          <w:szCs w:val="22"/>
        </w:rPr>
        <w:t xml:space="preserve">per un efficace controllo del territorio comunale, sono fondamentali la consultazione ed il </w:t>
      </w:r>
      <w:r w:rsidRPr="00DC57DB">
        <w:rPr>
          <w:rFonts w:ascii="Century Gothic" w:hAnsi="Century Gothic"/>
          <w:sz w:val="22"/>
          <w:szCs w:val="22"/>
        </w:rPr>
        <w:lastRenderedPageBreak/>
        <w:t>continuo aggiornamento della mappatura delle aree infestate, costruita negli anni precedenti.</w:t>
      </w:r>
    </w:p>
    <w:p w14:paraId="2DFB1333" w14:textId="77777777" w:rsidR="00E92F00" w:rsidRDefault="00E92F00" w:rsidP="00F95A1F">
      <w:pPr>
        <w:pStyle w:val="Corpotesto"/>
        <w:rPr>
          <w:rFonts w:ascii="Century Gothic" w:hAnsi="Century Gothic"/>
          <w:b/>
          <w:sz w:val="22"/>
          <w:szCs w:val="22"/>
        </w:rPr>
      </w:pPr>
    </w:p>
    <w:p w14:paraId="2DFB1334" w14:textId="77777777" w:rsidR="00F95A1F" w:rsidRPr="00DC57DB" w:rsidRDefault="00F95A1F" w:rsidP="00F95A1F">
      <w:pPr>
        <w:pStyle w:val="Corpotesto"/>
        <w:rPr>
          <w:rFonts w:ascii="Century Gothic" w:hAnsi="Century Gothic"/>
          <w:b/>
          <w:sz w:val="22"/>
          <w:szCs w:val="22"/>
        </w:rPr>
      </w:pPr>
      <w:r w:rsidRPr="00DC57DB">
        <w:rPr>
          <w:rFonts w:ascii="Century Gothic" w:hAnsi="Century Gothic"/>
          <w:b/>
          <w:sz w:val="22"/>
          <w:szCs w:val="22"/>
        </w:rPr>
        <w:t>Modalità di contenimento</w:t>
      </w:r>
    </w:p>
    <w:p w14:paraId="2DFB1335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  <w:u w:val="single"/>
        </w:rPr>
      </w:pPr>
    </w:p>
    <w:p w14:paraId="2DFB1336" w14:textId="2759735D" w:rsidR="00F95A1F" w:rsidRPr="004C23ED" w:rsidRDefault="00F95A1F" w:rsidP="00C43F39">
      <w:pPr>
        <w:pStyle w:val="PreformattatoHTML"/>
        <w:jc w:val="both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 xml:space="preserve">Le indicazioni regionali sono state </w:t>
      </w:r>
      <w:r w:rsidRPr="00434E35">
        <w:rPr>
          <w:rFonts w:ascii="Century Gothic" w:hAnsi="Century Gothic"/>
          <w:sz w:val="22"/>
          <w:szCs w:val="22"/>
        </w:rPr>
        <w:t xml:space="preserve">aggiornate </w:t>
      </w:r>
      <w:r w:rsidR="00CA641F" w:rsidRPr="00434E35">
        <w:rPr>
          <w:rFonts w:ascii="Century Gothic" w:hAnsi="Century Gothic"/>
          <w:sz w:val="22"/>
          <w:szCs w:val="22"/>
        </w:rPr>
        <w:t xml:space="preserve">nel 2017 </w:t>
      </w:r>
      <w:r w:rsidR="00AB6C86" w:rsidRPr="00434E35">
        <w:rPr>
          <w:rFonts w:ascii="Century Gothic" w:hAnsi="Century Gothic"/>
          <w:sz w:val="22"/>
          <w:szCs w:val="22"/>
        </w:rPr>
        <w:t>con</w:t>
      </w:r>
      <w:r w:rsidR="00AB6C86">
        <w:rPr>
          <w:rFonts w:ascii="Century Gothic" w:hAnsi="Century Gothic"/>
          <w:sz w:val="22"/>
          <w:szCs w:val="22"/>
        </w:rPr>
        <w:t xml:space="preserve"> </w:t>
      </w:r>
      <w:r w:rsidRPr="00DC57DB">
        <w:rPr>
          <w:rFonts w:ascii="Century Gothic" w:hAnsi="Century Gothic"/>
          <w:sz w:val="22"/>
          <w:szCs w:val="22"/>
        </w:rPr>
        <w:t xml:space="preserve">l’introduzione </w:t>
      </w:r>
      <w:r w:rsidRPr="00DC57DB">
        <w:rPr>
          <w:rFonts w:ascii="Century Gothic" w:hAnsi="Century Gothic" w:cs="Times New Roman"/>
          <w:sz w:val="22"/>
          <w:szCs w:val="22"/>
        </w:rPr>
        <w:t>dell’inerbimento permanente con fiorume autoctono</w:t>
      </w:r>
      <w:r w:rsidRPr="00DC57DB">
        <w:rPr>
          <w:rFonts w:ascii="Century Gothic" w:hAnsi="Century Gothic"/>
          <w:sz w:val="22"/>
          <w:szCs w:val="22"/>
        </w:rPr>
        <w:t xml:space="preserve"> ed hanno comunque confermato la validità e la periodicità degli sfalci e degli altri metodi alternativi già segnalati in precedenza. Tali indicazioni sono riportate nell’</w:t>
      </w:r>
      <w:r w:rsidRPr="00695F1D">
        <w:rPr>
          <w:rFonts w:ascii="Century Gothic" w:hAnsi="Century Gothic"/>
          <w:sz w:val="22"/>
          <w:szCs w:val="22"/>
        </w:rPr>
        <w:t>allegato tecnico</w:t>
      </w:r>
      <w:r w:rsidRPr="00DC57DB">
        <w:rPr>
          <w:rFonts w:ascii="Century Gothic" w:hAnsi="Century Gothic"/>
          <w:sz w:val="22"/>
          <w:szCs w:val="22"/>
        </w:rPr>
        <w:t xml:space="preserve"> alla nota regionale trasmessa alle ATS con </w:t>
      </w:r>
      <w:bookmarkStart w:id="0" w:name="_Hlk197682961"/>
      <w:r w:rsidR="00794F2A" w:rsidRPr="00934DA6">
        <w:rPr>
          <w:rFonts w:ascii="Century Gothic" w:hAnsi="Century Gothic"/>
          <w:sz w:val="22"/>
          <w:szCs w:val="22"/>
        </w:rPr>
        <w:t>G1.202</w:t>
      </w:r>
      <w:r w:rsidR="00794F2A">
        <w:rPr>
          <w:rFonts w:ascii="Century Gothic" w:hAnsi="Century Gothic"/>
          <w:sz w:val="22"/>
          <w:szCs w:val="22"/>
        </w:rPr>
        <w:t>6</w:t>
      </w:r>
      <w:r w:rsidR="00794F2A" w:rsidRPr="00934DA6">
        <w:rPr>
          <w:rFonts w:ascii="Century Gothic" w:hAnsi="Century Gothic"/>
          <w:sz w:val="22"/>
          <w:szCs w:val="22"/>
        </w:rPr>
        <w:t>.</w:t>
      </w:r>
      <w:r w:rsidR="00794F2A" w:rsidRPr="00874C72">
        <w:t xml:space="preserve"> </w:t>
      </w:r>
      <w:r w:rsidR="00794F2A" w:rsidRPr="00874C72">
        <w:rPr>
          <w:rFonts w:ascii="Century Gothic" w:hAnsi="Century Gothic"/>
          <w:sz w:val="22"/>
          <w:szCs w:val="22"/>
        </w:rPr>
        <w:t>0027030</w:t>
      </w:r>
      <w:r w:rsidR="00794F2A" w:rsidRPr="00934DA6">
        <w:rPr>
          <w:rFonts w:ascii="Century Gothic" w:hAnsi="Century Gothic"/>
          <w:sz w:val="22"/>
          <w:szCs w:val="22"/>
        </w:rPr>
        <w:t xml:space="preserve"> del </w:t>
      </w:r>
      <w:r w:rsidR="00794F2A">
        <w:rPr>
          <w:rFonts w:ascii="Century Gothic" w:hAnsi="Century Gothic"/>
          <w:sz w:val="22"/>
          <w:szCs w:val="22"/>
        </w:rPr>
        <w:t>17</w:t>
      </w:r>
      <w:r w:rsidR="00794F2A" w:rsidRPr="00934DA6">
        <w:rPr>
          <w:rFonts w:ascii="Century Gothic" w:hAnsi="Century Gothic"/>
          <w:sz w:val="22"/>
          <w:szCs w:val="22"/>
        </w:rPr>
        <w:t>/0</w:t>
      </w:r>
      <w:r w:rsidR="00794F2A">
        <w:rPr>
          <w:rFonts w:ascii="Century Gothic" w:hAnsi="Century Gothic"/>
          <w:sz w:val="22"/>
          <w:szCs w:val="22"/>
        </w:rPr>
        <w:t>6</w:t>
      </w:r>
      <w:r w:rsidR="00794F2A" w:rsidRPr="00934DA6">
        <w:rPr>
          <w:rFonts w:ascii="Century Gothic" w:hAnsi="Century Gothic"/>
          <w:sz w:val="22"/>
          <w:szCs w:val="22"/>
        </w:rPr>
        <w:t>/202</w:t>
      </w:r>
      <w:bookmarkEnd w:id="0"/>
      <w:r w:rsidR="00794F2A">
        <w:rPr>
          <w:rFonts w:ascii="Century Gothic" w:hAnsi="Century Gothic"/>
          <w:sz w:val="22"/>
          <w:szCs w:val="22"/>
        </w:rPr>
        <w:t>6</w:t>
      </w:r>
      <w:r w:rsidRPr="004C23ED">
        <w:rPr>
          <w:rFonts w:ascii="Century Gothic" w:hAnsi="Century Gothic"/>
          <w:sz w:val="22"/>
          <w:szCs w:val="22"/>
        </w:rPr>
        <w:t xml:space="preserve">; allegato che si trasmette unitamente alla presente. </w:t>
      </w:r>
    </w:p>
    <w:p w14:paraId="2DFB1337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  <w:r w:rsidRPr="004C23ED">
        <w:rPr>
          <w:rFonts w:ascii="Century Gothic" w:hAnsi="Century Gothic"/>
          <w:sz w:val="22"/>
          <w:szCs w:val="22"/>
        </w:rPr>
        <w:t xml:space="preserve">Lo </w:t>
      </w:r>
      <w:r w:rsidRPr="004C23ED">
        <w:rPr>
          <w:rFonts w:ascii="Century Gothic" w:hAnsi="Century Gothic"/>
          <w:sz w:val="22"/>
          <w:szCs w:val="22"/>
          <w:u w:val="single"/>
        </w:rPr>
        <w:t>sfalcio</w:t>
      </w:r>
      <w:r w:rsidRPr="004C23ED">
        <w:rPr>
          <w:rFonts w:ascii="Century Gothic" w:hAnsi="Century Gothic"/>
          <w:sz w:val="22"/>
          <w:szCs w:val="22"/>
        </w:rPr>
        <w:t xml:space="preserve"> è tuttora il metodo</w:t>
      </w:r>
      <w:r w:rsidRPr="00DC57DB">
        <w:rPr>
          <w:rFonts w:ascii="Century Gothic" w:hAnsi="Century Gothic"/>
          <w:sz w:val="22"/>
          <w:szCs w:val="22"/>
        </w:rPr>
        <w:t xml:space="preserve"> più facilmente praticabile ed è da attuare nei </w:t>
      </w:r>
      <w:r w:rsidRPr="00DC57DB">
        <w:rPr>
          <w:rFonts w:ascii="Century Gothic" w:hAnsi="Century Gothic"/>
          <w:sz w:val="22"/>
          <w:szCs w:val="22"/>
          <w:u w:val="single"/>
        </w:rPr>
        <w:t>periodi antecedenti la fioritura;</w:t>
      </w:r>
      <w:r w:rsidRPr="00DC57DB">
        <w:rPr>
          <w:rFonts w:ascii="Century Gothic" w:hAnsi="Century Gothic"/>
          <w:sz w:val="22"/>
          <w:szCs w:val="22"/>
        </w:rPr>
        <w:t xml:space="preserve"> a questo si affiancano comunque gli altri metodi descritti nel succitato allegato tecnico.</w:t>
      </w:r>
    </w:p>
    <w:p w14:paraId="2DFB1338" w14:textId="77777777" w:rsidR="00F95A1F" w:rsidRPr="00A25D42" w:rsidRDefault="00F95A1F" w:rsidP="00F95A1F">
      <w:pPr>
        <w:ind w:firstLine="708"/>
        <w:jc w:val="both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 xml:space="preserve">Si rammenta inoltre che le attrezzature utilizzate per eseguire gli sfalci lungo i bordi stradali o per le operazioni di mietitura e di raccolto nei campi coltivati, contribuiscono significativamente alla diffusione dei semi di Ambrosia lungo le vie di comunicazione, nei terreni agricoli e nei prati. In queste situazioni, è considerato efficace ai fini del contenimento dell’infestante il </w:t>
      </w:r>
      <w:r w:rsidRPr="00DC57DB">
        <w:rPr>
          <w:rFonts w:ascii="Century Gothic" w:hAnsi="Century Gothic"/>
          <w:sz w:val="22"/>
          <w:szCs w:val="22"/>
          <w:u w:val="single"/>
        </w:rPr>
        <w:t>lavaggio delle attrezzature utilizzate nelle aree altamente infestate</w:t>
      </w:r>
      <w:r w:rsidRPr="00A25D42">
        <w:rPr>
          <w:rFonts w:ascii="Century Gothic" w:hAnsi="Century Gothic"/>
          <w:sz w:val="22"/>
          <w:szCs w:val="22"/>
        </w:rPr>
        <w:t>.</w:t>
      </w:r>
    </w:p>
    <w:p w14:paraId="2DFB1339" w14:textId="77777777" w:rsidR="00F95A1F" w:rsidRPr="00DC57DB" w:rsidRDefault="00F95A1F" w:rsidP="00F95A1F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14:paraId="2DFB133A" w14:textId="77777777" w:rsidR="00F95A1F" w:rsidRPr="00DC57DB" w:rsidRDefault="00F95A1F" w:rsidP="00F95A1F">
      <w:pPr>
        <w:pStyle w:val="Corpotesto"/>
        <w:rPr>
          <w:rFonts w:ascii="Century Gothic" w:hAnsi="Century Gothic"/>
          <w:b/>
          <w:sz w:val="22"/>
          <w:szCs w:val="22"/>
        </w:rPr>
      </w:pPr>
      <w:r w:rsidRPr="00DC57DB">
        <w:rPr>
          <w:rFonts w:ascii="Century Gothic" w:hAnsi="Century Gothic"/>
          <w:b/>
          <w:sz w:val="22"/>
          <w:szCs w:val="22"/>
        </w:rPr>
        <w:t>Periodicità degli interventi di contenimento</w:t>
      </w:r>
    </w:p>
    <w:p w14:paraId="2DFB133B" w14:textId="77777777" w:rsidR="00F95A1F" w:rsidRPr="00DC57DB" w:rsidRDefault="00F95A1F" w:rsidP="00F95A1F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14:paraId="2DFB133C" w14:textId="77777777" w:rsidR="00F95A1F" w:rsidRPr="00DC57DB" w:rsidRDefault="00F95A1F" w:rsidP="00F95A1F">
      <w:pPr>
        <w:ind w:firstLine="708"/>
        <w:jc w:val="both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 xml:space="preserve">Le attuali indicazioni regionali prevedono la possibilità di diminuire il numero degli interventi rispetto ai tre previsti </w:t>
      </w:r>
      <w:r w:rsidR="00CA641F">
        <w:rPr>
          <w:rFonts w:ascii="Century Gothic" w:hAnsi="Century Gothic"/>
          <w:sz w:val="22"/>
          <w:szCs w:val="22"/>
        </w:rPr>
        <w:t xml:space="preserve">dal primo provvedimento regionale in materia, </w:t>
      </w:r>
      <w:r w:rsidRPr="00DC57DB">
        <w:rPr>
          <w:rFonts w:ascii="Century Gothic" w:hAnsi="Century Gothic"/>
          <w:sz w:val="22"/>
          <w:szCs w:val="22"/>
        </w:rPr>
        <w:t xml:space="preserve">l’O.R. 25522 del </w:t>
      </w:r>
      <w:smartTag w:uri="urn:schemas-microsoft-com:office:smarttags" w:element="metricconverter">
        <w:smartTagPr>
          <w:attr w:name="ProductID" w:val="1999. In"/>
        </w:smartTagPr>
        <w:r w:rsidRPr="00DC57DB">
          <w:rPr>
            <w:rFonts w:ascii="Century Gothic" w:hAnsi="Century Gothic"/>
            <w:sz w:val="22"/>
            <w:szCs w:val="22"/>
          </w:rPr>
          <w:t>1999. In</w:t>
        </w:r>
      </w:smartTag>
      <w:r w:rsidRPr="00DC57DB">
        <w:rPr>
          <w:rFonts w:ascii="Century Gothic" w:hAnsi="Century Gothic"/>
          <w:sz w:val="22"/>
          <w:szCs w:val="22"/>
        </w:rPr>
        <w:t xml:space="preserve"> particolare, </w:t>
      </w:r>
      <w:r w:rsidRPr="00DC57DB">
        <w:rPr>
          <w:rFonts w:ascii="Century Gothic" w:hAnsi="Century Gothic"/>
          <w:sz w:val="22"/>
          <w:szCs w:val="22"/>
          <w:u w:val="single"/>
        </w:rPr>
        <w:t>con due sfalci, oppure con uno solo effettuato in base allo stadio di sviluppo della pianta, si ottengono risultati sostanzialmente identici a quelli ottenuti con tre sfalci e si mantiene un buon livello di contenimento anche a settembre, successivamente al periodo di picco pollinico, consentendo quindi anche un risparmio di risorse economiche</w:t>
      </w:r>
      <w:r w:rsidRPr="00A25D42">
        <w:rPr>
          <w:rFonts w:ascii="Century Gothic" w:hAnsi="Century Gothic"/>
          <w:sz w:val="22"/>
          <w:szCs w:val="22"/>
        </w:rPr>
        <w:t>.</w:t>
      </w:r>
      <w:r w:rsidRPr="00DC57DB">
        <w:rPr>
          <w:rFonts w:ascii="Century Gothic" w:hAnsi="Century Gothic"/>
          <w:sz w:val="22"/>
          <w:szCs w:val="22"/>
        </w:rPr>
        <w:t xml:space="preserve"> </w:t>
      </w:r>
    </w:p>
    <w:p w14:paraId="2DFB133D" w14:textId="77777777" w:rsidR="00F95A1F" w:rsidRPr="00DC57DB" w:rsidRDefault="00F95A1F" w:rsidP="00F95A1F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14:paraId="2DFB133E" w14:textId="77777777" w:rsidR="00F95A1F" w:rsidRPr="00DC57DB" w:rsidRDefault="00F95A1F" w:rsidP="00F95A1F">
      <w:pPr>
        <w:ind w:firstLine="708"/>
        <w:jc w:val="both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 xml:space="preserve">Le </w:t>
      </w:r>
      <w:r w:rsidRPr="00DC57DB">
        <w:rPr>
          <w:rFonts w:ascii="Century Gothic" w:hAnsi="Century Gothic"/>
          <w:sz w:val="22"/>
          <w:szCs w:val="22"/>
          <w:u w:val="single"/>
        </w:rPr>
        <w:t>indicazioni sono differenziate in base al tipo di area infestata</w:t>
      </w:r>
      <w:r w:rsidRPr="00DC57DB">
        <w:rPr>
          <w:rFonts w:ascii="Century Gothic" w:hAnsi="Century Gothic"/>
          <w:sz w:val="22"/>
          <w:szCs w:val="22"/>
        </w:rPr>
        <w:t xml:space="preserve">, urbana o agricola, e sono riportate in dettaglio nell’allegato tecnico, unitamente alle indicazioni sugli </w:t>
      </w:r>
      <w:r w:rsidRPr="00DC57DB">
        <w:rPr>
          <w:rFonts w:ascii="Century Gothic" w:hAnsi="Century Gothic"/>
          <w:sz w:val="22"/>
          <w:szCs w:val="22"/>
          <w:u w:val="single"/>
        </w:rPr>
        <w:t>altri metodi utilizzabili</w:t>
      </w:r>
      <w:r w:rsidRPr="00A25D42">
        <w:rPr>
          <w:rFonts w:ascii="Century Gothic" w:hAnsi="Century Gothic"/>
          <w:sz w:val="22"/>
          <w:szCs w:val="22"/>
        </w:rPr>
        <w:t>.</w:t>
      </w:r>
    </w:p>
    <w:p w14:paraId="2DFB133F" w14:textId="77777777" w:rsidR="00F95A1F" w:rsidRPr="00DC57DB" w:rsidRDefault="00F95A1F" w:rsidP="00F95A1F">
      <w:pPr>
        <w:ind w:firstLine="708"/>
        <w:jc w:val="both"/>
        <w:rPr>
          <w:rFonts w:ascii="Century Gothic" w:hAnsi="Century Gothic"/>
          <w:color w:val="3366FF"/>
          <w:sz w:val="22"/>
          <w:szCs w:val="22"/>
        </w:rPr>
      </w:pPr>
    </w:p>
    <w:p w14:paraId="2DFB1340" w14:textId="77777777" w:rsidR="00F95A1F" w:rsidRPr="00DC57DB" w:rsidRDefault="00F95A1F" w:rsidP="00F95A1F">
      <w:pPr>
        <w:pStyle w:val="Corpotesto"/>
        <w:rPr>
          <w:rFonts w:ascii="Century Gothic" w:hAnsi="Century Gothic"/>
          <w:b/>
          <w:sz w:val="22"/>
          <w:szCs w:val="22"/>
        </w:rPr>
      </w:pPr>
      <w:r w:rsidRPr="00DC57DB">
        <w:rPr>
          <w:rFonts w:ascii="Century Gothic" w:hAnsi="Century Gothic"/>
          <w:b/>
          <w:sz w:val="22"/>
          <w:szCs w:val="22"/>
        </w:rPr>
        <w:t>Localizzazione degli interventi di contenimento</w:t>
      </w:r>
    </w:p>
    <w:p w14:paraId="2DFB1341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</w:p>
    <w:p w14:paraId="2DFB1342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 xml:space="preserve">Gli interventi di contenimento devono essere eseguiti nelle aree di </w:t>
      </w:r>
      <w:r w:rsidR="00AB6C86">
        <w:rPr>
          <w:rFonts w:ascii="Century Gothic" w:hAnsi="Century Gothic"/>
          <w:sz w:val="22"/>
          <w:szCs w:val="22"/>
        </w:rPr>
        <w:t xml:space="preserve">proprietà Comunale, pubblica e </w:t>
      </w:r>
      <w:r w:rsidRPr="00DC57DB">
        <w:rPr>
          <w:rFonts w:ascii="Century Gothic" w:hAnsi="Century Gothic"/>
          <w:sz w:val="22"/>
          <w:szCs w:val="22"/>
        </w:rPr>
        <w:t>privata, rivolgendo particolare attenzione:</w:t>
      </w:r>
    </w:p>
    <w:p w14:paraId="2DFB1343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</w:p>
    <w:p w14:paraId="2DFB1344" w14:textId="77777777" w:rsidR="00F95A1F" w:rsidRPr="00DC57DB" w:rsidRDefault="00F95A1F" w:rsidP="00F95A1F">
      <w:pPr>
        <w:pStyle w:val="Corpotesto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alle banchine stradali (sia comunali che extraurbane) ed autostradali, che rappresentano la più importante fonte di diffusione dei semi della pianta;</w:t>
      </w:r>
    </w:p>
    <w:p w14:paraId="2DFB1345" w14:textId="77777777" w:rsidR="00F95A1F" w:rsidRPr="00DC57DB" w:rsidRDefault="00F95A1F" w:rsidP="00F95A1F">
      <w:pPr>
        <w:pStyle w:val="Corpotesto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alle rotatorie e agli spartitraffico;</w:t>
      </w:r>
    </w:p>
    <w:p w14:paraId="2DFB1346" w14:textId="77777777" w:rsidR="00F95A1F" w:rsidRPr="00DC57DB" w:rsidRDefault="00AB6C86" w:rsidP="00F95A1F">
      <w:pPr>
        <w:pStyle w:val="Corpotesto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ai terreni incolti </w:t>
      </w:r>
      <w:r w:rsidR="00F95A1F" w:rsidRPr="00DC57DB">
        <w:rPr>
          <w:rFonts w:ascii="Century Gothic" w:hAnsi="Century Gothic"/>
          <w:sz w:val="22"/>
          <w:szCs w:val="22"/>
        </w:rPr>
        <w:t>ed a quelli ritirati dalla produzione;</w:t>
      </w:r>
    </w:p>
    <w:p w14:paraId="2DFB1347" w14:textId="77777777" w:rsidR="00F95A1F" w:rsidRPr="00DC57DB" w:rsidRDefault="00F95A1F" w:rsidP="00F95A1F">
      <w:pPr>
        <w:pStyle w:val="Corpotesto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ai terreni coltivati a cereali, dove dopo il raccolto l’Ambrosia cresce spesso uniforme e rigogliosa (e che in alcune zone rappresentano la più cospicua tipologia di aree infestate e quindi fonte di polline allergenico) ed a quelli coltivati con semine rade;</w:t>
      </w:r>
    </w:p>
    <w:p w14:paraId="2DFB1348" w14:textId="77777777" w:rsidR="00F95A1F" w:rsidRPr="00DC57DB" w:rsidRDefault="00F95A1F" w:rsidP="00F95A1F">
      <w:pPr>
        <w:pStyle w:val="Corpotesto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alle aree verdi abbandonate;</w:t>
      </w:r>
    </w:p>
    <w:p w14:paraId="2DFB1349" w14:textId="77777777" w:rsidR="00F95A1F" w:rsidRPr="00DC57DB" w:rsidRDefault="00F95A1F" w:rsidP="00F95A1F">
      <w:pPr>
        <w:pStyle w:val="Corpotesto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ai margini delle aree agricole in generale ed agli argini dei canali e dei fiumi;</w:t>
      </w:r>
    </w:p>
    <w:p w14:paraId="2DFB134A" w14:textId="77777777" w:rsidR="00F95A1F" w:rsidRPr="00DC57DB" w:rsidRDefault="00F95A1F" w:rsidP="00F95A1F">
      <w:pPr>
        <w:pStyle w:val="Corpotesto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alle massicciate ferroviarie ed alle aree adiacenti a ferrovie o a tramvie;</w:t>
      </w:r>
    </w:p>
    <w:p w14:paraId="2DFB134B" w14:textId="77777777" w:rsidR="00F95A1F" w:rsidRPr="00DC57DB" w:rsidRDefault="00F95A1F" w:rsidP="00F95A1F">
      <w:pPr>
        <w:pStyle w:val="Corpotesto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alle terre smosse dei cantieri (non solo edili, ma anche quelli delle opere di viabilità);</w:t>
      </w:r>
    </w:p>
    <w:p w14:paraId="2DFB134C" w14:textId="77777777" w:rsidR="00F95A1F" w:rsidRPr="00DC57DB" w:rsidRDefault="00F95A1F" w:rsidP="00F95A1F">
      <w:pPr>
        <w:pStyle w:val="Corpotesto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alle aree industriali dismesse ed in generale a tutte quelle abbandonate;</w:t>
      </w:r>
    </w:p>
    <w:p w14:paraId="2DFB134D" w14:textId="77777777" w:rsidR="00F95A1F" w:rsidRPr="00DC57DB" w:rsidRDefault="00F95A1F" w:rsidP="00F95A1F">
      <w:pPr>
        <w:pStyle w:val="Corpotesto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lastRenderedPageBreak/>
        <w:t>alle aree dedicate a verde pubblico (parchi, giardini, etc.).</w:t>
      </w:r>
    </w:p>
    <w:p w14:paraId="2DFB134E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</w:p>
    <w:p w14:paraId="2DFB134F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 xml:space="preserve">Alla luce di quanto sopra esposto, si rammentano quindi </w:t>
      </w:r>
      <w:r w:rsidRPr="00DC57DB">
        <w:rPr>
          <w:rFonts w:ascii="Century Gothic" w:hAnsi="Century Gothic"/>
          <w:sz w:val="22"/>
          <w:szCs w:val="22"/>
          <w:u w:val="single"/>
        </w:rPr>
        <w:t>alcune iniziative</w:t>
      </w:r>
      <w:r w:rsidRPr="00DC57DB">
        <w:rPr>
          <w:rFonts w:ascii="Century Gothic" w:hAnsi="Century Gothic"/>
          <w:sz w:val="22"/>
          <w:szCs w:val="22"/>
        </w:rPr>
        <w:t>, che si ritiene possano essere utili per limitare l’aerodispersione del polline e la diffusione della pianta e per informare e sensibilizzare la cittadinanza:</w:t>
      </w:r>
    </w:p>
    <w:p w14:paraId="2DFB1350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</w:p>
    <w:p w14:paraId="2DFB1351" w14:textId="77777777" w:rsidR="00F95A1F" w:rsidRPr="00DC57DB" w:rsidRDefault="00F95A1F" w:rsidP="00F95A1F">
      <w:pPr>
        <w:pStyle w:val="Corpotesto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Emissione di Ordinanza Sindacale, che nel dispositivo preveda:</w:t>
      </w:r>
    </w:p>
    <w:p w14:paraId="2DFB1352" w14:textId="23E89529" w:rsidR="00F95A1F" w:rsidRPr="00DC57DB" w:rsidRDefault="00F95A1F" w:rsidP="00F95A1F">
      <w:pPr>
        <w:pStyle w:val="Corpotesto"/>
        <w:numPr>
          <w:ilvl w:val="1"/>
          <w:numId w:val="6"/>
        </w:numPr>
        <w:rPr>
          <w:rFonts w:ascii="Century Gothic" w:hAnsi="Century Gothic"/>
          <w:sz w:val="22"/>
          <w:szCs w:val="22"/>
          <w:u w:val="single"/>
        </w:rPr>
      </w:pPr>
      <w:r w:rsidRPr="00DC57DB">
        <w:rPr>
          <w:rFonts w:ascii="Century Gothic" w:hAnsi="Century Gothic"/>
          <w:sz w:val="22"/>
          <w:szCs w:val="22"/>
          <w:u w:val="single"/>
        </w:rPr>
        <w:t>l’adozione degli interventi di contenimento previsti dall’allegato tecnico alla succitata nota regionale</w:t>
      </w:r>
      <w:r w:rsidR="00A25D42">
        <w:rPr>
          <w:rFonts w:ascii="Century Gothic" w:hAnsi="Century Gothic"/>
          <w:sz w:val="22"/>
          <w:szCs w:val="22"/>
        </w:rPr>
        <w:t>;</w:t>
      </w:r>
    </w:p>
    <w:p w14:paraId="2DFB1353" w14:textId="77777777" w:rsidR="00F95A1F" w:rsidRPr="00DC57DB" w:rsidRDefault="00F95A1F" w:rsidP="00F95A1F">
      <w:pPr>
        <w:pStyle w:val="Corpotesto"/>
        <w:numPr>
          <w:ilvl w:val="1"/>
          <w:numId w:val="6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 xml:space="preserve">eventualmente, sanzioni specifiche e/o lo sfalcio d’ufficio con l’addebito delle spese a carico del proprietario dell’area in caso di inottemperanza. </w:t>
      </w:r>
    </w:p>
    <w:p w14:paraId="2DFB1354" w14:textId="77777777" w:rsidR="00F95A1F" w:rsidRPr="00DC57DB" w:rsidRDefault="00F95A1F" w:rsidP="00F95A1F">
      <w:pPr>
        <w:pStyle w:val="Corpotesto"/>
        <w:ind w:left="360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 xml:space="preserve">Divulgazione del provvedimento ai Comuni limitrofi ed a tutte le altre figure potenzialmente coinvolte nell’argomento (ad esempio, i soggetti richiamati al successivo punto 8), nonché trasmissione del medesimo al Dipartimento di </w:t>
      </w:r>
      <w:r>
        <w:rPr>
          <w:rFonts w:ascii="Century Gothic" w:hAnsi="Century Gothic"/>
          <w:sz w:val="22"/>
          <w:szCs w:val="22"/>
        </w:rPr>
        <w:t xml:space="preserve">Igiene </w:t>
      </w:r>
      <w:r w:rsidRPr="00DC57DB">
        <w:rPr>
          <w:rFonts w:ascii="Century Gothic" w:hAnsi="Century Gothic"/>
          <w:sz w:val="22"/>
          <w:szCs w:val="22"/>
        </w:rPr>
        <w:t xml:space="preserve">Prevenzione </w:t>
      </w:r>
      <w:r>
        <w:rPr>
          <w:rFonts w:ascii="Century Gothic" w:hAnsi="Century Gothic"/>
          <w:sz w:val="22"/>
          <w:szCs w:val="22"/>
        </w:rPr>
        <w:t>Sanitaria</w:t>
      </w:r>
      <w:r w:rsidRPr="00DC57DB">
        <w:rPr>
          <w:rFonts w:ascii="Century Gothic" w:hAnsi="Century Gothic"/>
          <w:sz w:val="22"/>
          <w:szCs w:val="22"/>
        </w:rPr>
        <w:t xml:space="preserve"> dell</w:t>
      </w:r>
      <w:r>
        <w:rPr>
          <w:rFonts w:ascii="Century Gothic" w:hAnsi="Century Gothic"/>
          <w:sz w:val="22"/>
          <w:szCs w:val="22"/>
        </w:rPr>
        <w:t xml:space="preserve">a </w:t>
      </w:r>
      <w:r w:rsidRPr="00DC57DB">
        <w:rPr>
          <w:rFonts w:ascii="Century Gothic" w:hAnsi="Century Gothic"/>
          <w:sz w:val="22"/>
          <w:szCs w:val="22"/>
        </w:rPr>
        <w:t>ATS.</w:t>
      </w:r>
    </w:p>
    <w:p w14:paraId="2DFB1355" w14:textId="77777777" w:rsidR="00F95A1F" w:rsidRPr="00DC57DB" w:rsidRDefault="00F95A1F" w:rsidP="00F95A1F">
      <w:pPr>
        <w:pStyle w:val="Corpotesto"/>
        <w:ind w:left="360"/>
        <w:rPr>
          <w:rFonts w:ascii="Century Gothic" w:hAnsi="Century Gothic"/>
          <w:sz w:val="22"/>
          <w:szCs w:val="22"/>
        </w:rPr>
      </w:pPr>
    </w:p>
    <w:p w14:paraId="2DFB1356" w14:textId="77777777" w:rsidR="00F95A1F" w:rsidRDefault="00F95A1F" w:rsidP="00F95A1F">
      <w:pPr>
        <w:pStyle w:val="Corpotesto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5437C7">
        <w:rPr>
          <w:rFonts w:ascii="Century Gothic" w:hAnsi="Century Gothic"/>
          <w:sz w:val="22"/>
          <w:szCs w:val="22"/>
        </w:rPr>
        <w:t>Sfalcio d’ufficio anche per quei terreni dove i proprietari sono risultati irreperibili o sconosciuti.</w:t>
      </w:r>
    </w:p>
    <w:p w14:paraId="2DFB1357" w14:textId="77777777" w:rsidR="00F95A1F" w:rsidRPr="005437C7" w:rsidRDefault="00F95A1F" w:rsidP="00F95A1F">
      <w:pPr>
        <w:pStyle w:val="Corpotesto"/>
        <w:rPr>
          <w:rFonts w:ascii="Century Gothic" w:hAnsi="Century Gothic"/>
          <w:sz w:val="22"/>
          <w:szCs w:val="22"/>
        </w:rPr>
      </w:pPr>
    </w:p>
    <w:p w14:paraId="2DFB1358" w14:textId="77777777" w:rsidR="00F95A1F" w:rsidRPr="00DC57DB" w:rsidRDefault="00F95A1F" w:rsidP="00F95A1F">
      <w:pPr>
        <w:pStyle w:val="Corpotesto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Convenzioni con le Aziende di Servizi e con le imprese incaricate della manutenzione del verde pubblico per concordare tariffe agevolate anche ai privati; individuazione di agricoltori disponibili ad effettuare gli sfalci sui terreni privati a tariffe concordate.</w:t>
      </w:r>
    </w:p>
    <w:p w14:paraId="2DFB1359" w14:textId="77777777" w:rsidR="00F95A1F" w:rsidRPr="00DC57DB" w:rsidRDefault="00F95A1F" w:rsidP="00F95A1F">
      <w:pPr>
        <w:pStyle w:val="Corpotesto"/>
        <w:rPr>
          <w:rFonts w:ascii="Century Gothic" w:hAnsi="Century Gothic"/>
          <w:sz w:val="22"/>
          <w:szCs w:val="22"/>
        </w:rPr>
      </w:pPr>
    </w:p>
    <w:p w14:paraId="2DFB135A" w14:textId="77777777" w:rsidR="00F95A1F" w:rsidRPr="00DC57DB" w:rsidRDefault="00F95A1F" w:rsidP="00F95A1F">
      <w:pPr>
        <w:pStyle w:val="Corpotesto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Invito alla cittadinanza affinché venga eseguita una periodica e accurata pulizia di ogni tipo di erba presente negli spazi aperti di propria pertinenza, provvedendo all’eventuale semina di colture intensive semplici (come ad es. prato inglese o trifoglio) che agiscono come antagonisti della crescita dell’Ambrosia.</w:t>
      </w:r>
    </w:p>
    <w:p w14:paraId="2DFB135B" w14:textId="77777777" w:rsidR="00F95A1F" w:rsidRPr="00DC57DB" w:rsidRDefault="00F95A1F" w:rsidP="00F95A1F">
      <w:pPr>
        <w:pStyle w:val="Corpotesto"/>
        <w:rPr>
          <w:rFonts w:ascii="Century Gothic" w:hAnsi="Century Gothic"/>
          <w:sz w:val="22"/>
          <w:szCs w:val="22"/>
        </w:rPr>
      </w:pPr>
    </w:p>
    <w:p w14:paraId="2DFB135C" w14:textId="77777777" w:rsidR="00F95A1F" w:rsidRPr="00DC57DB" w:rsidRDefault="00F95A1F" w:rsidP="00F95A1F">
      <w:pPr>
        <w:pStyle w:val="Corpotesto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Coinvolgimento delle imprese incaricate della manutenzione del verde pubblico e/o della Polizia Municipale e dei Gruppi Volontari della Protezione Civile per la mappatura delle aree infestate.</w:t>
      </w:r>
    </w:p>
    <w:p w14:paraId="2DFB135D" w14:textId="77777777" w:rsidR="00F95A1F" w:rsidRPr="00DC57DB" w:rsidRDefault="00F95A1F" w:rsidP="00F95A1F">
      <w:pPr>
        <w:pStyle w:val="Corpotesto"/>
        <w:rPr>
          <w:rFonts w:ascii="Century Gothic" w:hAnsi="Century Gothic"/>
          <w:sz w:val="22"/>
          <w:szCs w:val="22"/>
        </w:rPr>
      </w:pPr>
    </w:p>
    <w:p w14:paraId="2DFB135E" w14:textId="77777777" w:rsidR="00F95A1F" w:rsidRPr="00DC57DB" w:rsidRDefault="00F95A1F" w:rsidP="00F95A1F">
      <w:pPr>
        <w:numPr>
          <w:ilvl w:val="0"/>
          <w:numId w:val="6"/>
        </w:numPr>
        <w:jc w:val="both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 xml:space="preserve">Affissione di manifesti informativi nelle vie cittadine, spazi comunali (ad es. uffici, biblioteche), uffici postali, ambulatori medici, farmacie, negozi e luoghi di ritrovo, </w:t>
      </w:r>
      <w:r>
        <w:rPr>
          <w:rFonts w:ascii="Century Gothic" w:hAnsi="Century Gothic"/>
          <w:sz w:val="22"/>
          <w:szCs w:val="22"/>
        </w:rPr>
        <w:t>durante le</w:t>
      </w:r>
      <w:r w:rsidRPr="00DC57DB">
        <w:rPr>
          <w:rFonts w:ascii="Century Gothic" w:hAnsi="Century Gothic"/>
          <w:sz w:val="22"/>
          <w:szCs w:val="22"/>
        </w:rPr>
        <w:t xml:space="preserve"> man</w:t>
      </w:r>
      <w:r>
        <w:rPr>
          <w:rFonts w:ascii="Century Gothic" w:hAnsi="Century Gothic"/>
          <w:sz w:val="22"/>
          <w:szCs w:val="22"/>
        </w:rPr>
        <w:t>ifestazioni fieristiche.</w:t>
      </w:r>
    </w:p>
    <w:p w14:paraId="2DFB135F" w14:textId="77777777" w:rsidR="00F95A1F" w:rsidRPr="00DC57DB" w:rsidRDefault="00F95A1F" w:rsidP="00F95A1F">
      <w:pPr>
        <w:pStyle w:val="Corpotesto"/>
        <w:rPr>
          <w:rFonts w:ascii="Century Gothic" w:hAnsi="Century Gothic"/>
          <w:sz w:val="22"/>
          <w:szCs w:val="22"/>
        </w:rPr>
      </w:pPr>
    </w:p>
    <w:p w14:paraId="2DFB1360" w14:textId="77777777" w:rsidR="00F95A1F" w:rsidRPr="00DC57DB" w:rsidRDefault="00F95A1F" w:rsidP="00F95A1F">
      <w:pPr>
        <w:pStyle w:val="Corpotesto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Distribuzione di opuscoli informativi (ad es. negli uffici comunali).</w:t>
      </w:r>
    </w:p>
    <w:p w14:paraId="2DFB1361" w14:textId="77777777" w:rsidR="00F95A1F" w:rsidRPr="00DC57DB" w:rsidRDefault="00F95A1F" w:rsidP="00F95A1F">
      <w:pPr>
        <w:pStyle w:val="Corpotesto"/>
        <w:rPr>
          <w:rFonts w:ascii="Century Gothic" w:hAnsi="Century Gothic"/>
          <w:sz w:val="22"/>
          <w:szCs w:val="22"/>
        </w:rPr>
      </w:pPr>
    </w:p>
    <w:p w14:paraId="2DFB1362" w14:textId="77777777" w:rsidR="00F95A1F" w:rsidRPr="00DC57DB" w:rsidRDefault="00F95A1F" w:rsidP="00F95A1F">
      <w:pPr>
        <w:pStyle w:val="Corpotesto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 xml:space="preserve">Distribuzione di volantini informativi e/o invio di lettere alle famiglie, agli amministratori di condominio, a tutti i proprietari di aree agricole, alle aziende che si occupano della manutenzione del verde pubblico e privato, ai conduttori di cantiere (anche stradali o connessi alla costruzione delle opere di viabilità), alle industrie, alle agenzie immobiliari titolari di aree edificabili, alle Federazioni dei Coltivatori Diretti, </w:t>
      </w:r>
      <w:r>
        <w:rPr>
          <w:rFonts w:ascii="Century Gothic" w:hAnsi="Century Gothic"/>
          <w:sz w:val="22"/>
          <w:szCs w:val="22"/>
        </w:rPr>
        <w:t xml:space="preserve">alle Reti Ferroviarie, </w:t>
      </w:r>
      <w:r w:rsidRPr="00DC57DB">
        <w:rPr>
          <w:rFonts w:ascii="Century Gothic" w:hAnsi="Century Gothic"/>
          <w:sz w:val="22"/>
          <w:szCs w:val="22"/>
        </w:rPr>
        <w:t>per i relativi tratti ferroviari, all’ANAS ed alla Provincia per i tratti str</w:t>
      </w:r>
      <w:r>
        <w:rPr>
          <w:rFonts w:ascii="Century Gothic" w:hAnsi="Century Gothic"/>
          <w:sz w:val="22"/>
          <w:szCs w:val="22"/>
        </w:rPr>
        <w:t>adali di rispettiva pertinenza e</w:t>
      </w:r>
      <w:r w:rsidR="00DE7D81">
        <w:rPr>
          <w:rFonts w:ascii="Century Gothic" w:hAnsi="Century Gothic"/>
          <w:sz w:val="22"/>
          <w:szCs w:val="22"/>
        </w:rPr>
        <w:t xml:space="preserve"> </w:t>
      </w:r>
      <w:r w:rsidRPr="00DC57DB">
        <w:rPr>
          <w:rFonts w:ascii="Century Gothic" w:hAnsi="Century Gothic"/>
          <w:sz w:val="22"/>
          <w:szCs w:val="22"/>
        </w:rPr>
        <w:t>ad altri Enti coinvolti nel mantenimento di vaste aree di territorio (quali ad esempio SNAM, ALER, Consorzio Bonifica Villoresi, Enti Parco, etc.).</w:t>
      </w:r>
    </w:p>
    <w:p w14:paraId="2DFB1363" w14:textId="77777777" w:rsidR="00F95A1F" w:rsidRPr="00DC57DB" w:rsidRDefault="00F95A1F" w:rsidP="00F95A1F">
      <w:pPr>
        <w:pStyle w:val="Corpotesto"/>
        <w:ind w:left="360"/>
        <w:rPr>
          <w:rFonts w:ascii="Century Gothic" w:hAnsi="Century Gothic"/>
          <w:sz w:val="22"/>
          <w:szCs w:val="22"/>
        </w:rPr>
      </w:pPr>
    </w:p>
    <w:p w14:paraId="2DFB1364" w14:textId="77777777" w:rsidR="00F95A1F" w:rsidRPr="00DC57DB" w:rsidRDefault="00F95A1F" w:rsidP="00F95A1F">
      <w:pPr>
        <w:pStyle w:val="Corpotesto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Diffusione di comunicati attraverso periodici comunali, settimanali e radio locali.</w:t>
      </w:r>
    </w:p>
    <w:p w14:paraId="2DFB1365" w14:textId="77777777" w:rsidR="00F95A1F" w:rsidRPr="00DC57DB" w:rsidRDefault="00F95A1F" w:rsidP="00F95A1F">
      <w:pPr>
        <w:pStyle w:val="Corpotesto"/>
        <w:ind w:left="360"/>
        <w:rPr>
          <w:rFonts w:ascii="Century Gothic" w:hAnsi="Century Gothic"/>
          <w:sz w:val="22"/>
          <w:szCs w:val="22"/>
        </w:rPr>
      </w:pPr>
    </w:p>
    <w:p w14:paraId="2DFB1366" w14:textId="7939BA19" w:rsidR="00F95A1F" w:rsidRPr="00DC57DB" w:rsidRDefault="00F95A1F" w:rsidP="00F95A1F">
      <w:pPr>
        <w:pStyle w:val="Corpotesto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lastRenderedPageBreak/>
        <w:t>Pubblicazione di avvisi sulle newsletter e sui siti internet</w:t>
      </w:r>
      <w:r w:rsidR="0028382F">
        <w:rPr>
          <w:rFonts w:ascii="Century Gothic" w:hAnsi="Century Gothic"/>
          <w:sz w:val="22"/>
          <w:szCs w:val="22"/>
        </w:rPr>
        <w:t xml:space="preserve"> o app</w:t>
      </w:r>
      <w:r w:rsidRPr="00DC57DB">
        <w:rPr>
          <w:rFonts w:ascii="Century Gothic" w:hAnsi="Century Gothic"/>
          <w:sz w:val="22"/>
          <w:szCs w:val="22"/>
        </w:rPr>
        <w:t xml:space="preserve"> comunali (eventualmente predisposti per poter accettare segnalazioni di aree infestate) o su tabelloni luminosi.</w:t>
      </w:r>
    </w:p>
    <w:p w14:paraId="2DFB1367" w14:textId="77777777" w:rsidR="00F95A1F" w:rsidRPr="00DC57DB" w:rsidRDefault="00F95A1F" w:rsidP="00F95A1F">
      <w:pPr>
        <w:pStyle w:val="Corpotesto"/>
        <w:rPr>
          <w:rFonts w:ascii="Century Gothic" w:hAnsi="Century Gothic"/>
          <w:sz w:val="22"/>
          <w:szCs w:val="22"/>
        </w:rPr>
      </w:pPr>
    </w:p>
    <w:p w14:paraId="2DFB1368" w14:textId="77777777" w:rsidR="00F95A1F" w:rsidRPr="00DC57DB" w:rsidRDefault="00F95A1F" w:rsidP="00F95A1F">
      <w:pPr>
        <w:pStyle w:val="Corpotesto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>Incontri pubblici e conferenze stampa.</w:t>
      </w:r>
    </w:p>
    <w:p w14:paraId="2DFB1369" w14:textId="77777777" w:rsidR="00F95A1F" w:rsidRPr="00DC57DB" w:rsidRDefault="00F95A1F" w:rsidP="00F95A1F">
      <w:pPr>
        <w:pStyle w:val="Corpotesto"/>
        <w:ind w:firstLine="708"/>
        <w:rPr>
          <w:rFonts w:ascii="Century Gothic" w:hAnsi="Century Gothic"/>
          <w:sz w:val="22"/>
          <w:szCs w:val="22"/>
        </w:rPr>
      </w:pPr>
    </w:p>
    <w:p w14:paraId="2DFB136C" w14:textId="0EFEA6F3" w:rsidR="00F95A1F" w:rsidRDefault="00F95A1F" w:rsidP="005452D2">
      <w:pPr>
        <w:ind w:firstLine="708"/>
        <w:jc w:val="both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 xml:space="preserve">Infine, considerato che l’informazione e la sensibilizzazione dei soggetti coinvolti a vario titolo nella problematica Ambrosia sono fondamentali per rendere comprensibili ed accettabili gli interventi preventivi proposti, così come è fondamentale introdurre nelle </w:t>
      </w:r>
      <w:r w:rsidRPr="00C0587E">
        <w:rPr>
          <w:rFonts w:ascii="Century Gothic" w:hAnsi="Century Gothic"/>
          <w:sz w:val="22"/>
          <w:szCs w:val="22"/>
        </w:rPr>
        <w:t>campagne informative anche aspetti di educazione sanitaria, si ricorda che sul sito</w:t>
      </w:r>
      <w:r w:rsidR="00277A03" w:rsidRPr="00C0587E">
        <w:rPr>
          <w:rFonts w:ascii="Century Gothic" w:hAnsi="Century Gothic"/>
          <w:sz w:val="22"/>
          <w:szCs w:val="22"/>
        </w:rPr>
        <w:t xml:space="preserve"> di ATS</w:t>
      </w:r>
      <w:r w:rsidR="00277A03" w:rsidRPr="00C0587E">
        <w:rPr>
          <w:rFonts w:ascii="Century Gothic" w:hAnsi="Century Gothic"/>
          <w:sz w:val="22"/>
          <w:szCs w:val="22"/>
          <w:vertAlign w:val="superscript"/>
        </w:rPr>
        <w:t>1</w:t>
      </w:r>
      <w:r w:rsidRPr="00C0587E">
        <w:rPr>
          <w:rFonts w:ascii="Century Gothic" w:hAnsi="Century Gothic"/>
          <w:b/>
          <w:sz w:val="22"/>
          <w:szCs w:val="22"/>
        </w:rPr>
        <w:t xml:space="preserve"> </w:t>
      </w:r>
      <w:r w:rsidR="00D75571" w:rsidRPr="00C0587E">
        <w:rPr>
          <w:rFonts w:ascii="Century Gothic" w:hAnsi="Century Gothic"/>
          <w:sz w:val="22"/>
          <w:szCs w:val="22"/>
        </w:rPr>
        <w:t>(ricerca: “pollini e spore”)</w:t>
      </w:r>
      <w:r w:rsidRPr="00C0587E">
        <w:rPr>
          <w:rFonts w:ascii="Century Gothic" w:hAnsi="Century Gothic"/>
          <w:sz w:val="22"/>
          <w:szCs w:val="22"/>
        </w:rPr>
        <w:t xml:space="preserve"> sono disponibili informazioni ed approfondimenti sull’argomento, tra i quali il </w:t>
      </w:r>
      <w:r w:rsidR="006C10B2" w:rsidRPr="00C0587E">
        <w:rPr>
          <w:rFonts w:ascii="Century Gothic" w:hAnsi="Century Gothic"/>
          <w:sz w:val="22"/>
          <w:szCs w:val="22"/>
        </w:rPr>
        <w:t>“</w:t>
      </w:r>
      <w:r w:rsidR="006C10B2" w:rsidRPr="00C0587E">
        <w:rPr>
          <w:rFonts w:ascii="Century Gothic" w:hAnsi="Century Gothic"/>
          <w:sz w:val="22"/>
          <w:szCs w:val="22"/>
          <w:u w:val="single"/>
        </w:rPr>
        <w:t>calendario pollinico di Milano e Provincia” e il “</w:t>
      </w:r>
      <w:r w:rsidRPr="00C0587E">
        <w:rPr>
          <w:rFonts w:ascii="Century Gothic" w:hAnsi="Century Gothic"/>
          <w:sz w:val="22"/>
          <w:szCs w:val="22"/>
          <w:u w:val="single"/>
        </w:rPr>
        <w:t>bollettino dei pollini</w:t>
      </w:r>
      <w:r w:rsidR="006C10B2" w:rsidRPr="00C0587E">
        <w:rPr>
          <w:rFonts w:ascii="Century Gothic" w:hAnsi="Century Gothic"/>
          <w:sz w:val="22"/>
          <w:szCs w:val="22"/>
          <w:u w:val="single"/>
        </w:rPr>
        <w:t>”</w:t>
      </w:r>
      <w:r w:rsidRPr="00C0587E">
        <w:rPr>
          <w:rFonts w:ascii="Century Gothic" w:hAnsi="Century Gothic"/>
          <w:sz w:val="22"/>
          <w:szCs w:val="22"/>
        </w:rPr>
        <w:t xml:space="preserve"> </w:t>
      </w:r>
      <w:r w:rsidR="00403285" w:rsidRPr="00C0587E">
        <w:rPr>
          <w:rFonts w:ascii="Century Gothic" w:hAnsi="Century Gothic"/>
          <w:sz w:val="22"/>
          <w:szCs w:val="22"/>
        </w:rPr>
        <w:t>pubblicato</w:t>
      </w:r>
      <w:r w:rsidRPr="00C0587E">
        <w:rPr>
          <w:rFonts w:ascii="Century Gothic" w:hAnsi="Century Gothic"/>
          <w:sz w:val="22"/>
          <w:szCs w:val="22"/>
        </w:rPr>
        <w:t xml:space="preserve"> settimanalmente, con i dati delle stazioni di monitoraggio di </w:t>
      </w:r>
      <w:r w:rsidR="00CA641F" w:rsidRPr="00C0587E">
        <w:rPr>
          <w:rFonts w:ascii="Century Gothic" w:hAnsi="Century Gothic"/>
          <w:sz w:val="22"/>
          <w:szCs w:val="22"/>
        </w:rPr>
        <w:t xml:space="preserve">Milano, </w:t>
      </w:r>
      <w:r w:rsidRPr="00C0587E">
        <w:rPr>
          <w:rFonts w:ascii="Century Gothic" w:hAnsi="Century Gothic"/>
          <w:sz w:val="22"/>
          <w:szCs w:val="22"/>
        </w:rPr>
        <w:t>Magenta, Rho</w:t>
      </w:r>
      <w:r w:rsidR="00597185">
        <w:rPr>
          <w:rFonts w:ascii="Century Gothic" w:hAnsi="Century Gothic"/>
          <w:sz w:val="22"/>
          <w:szCs w:val="22"/>
        </w:rPr>
        <w:t>,</w:t>
      </w:r>
      <w:r w:rsidRPr="00C0587E">
        <w:rPr>
          <w:rFonts w:ascii="Century Gothic" w:hAnsi="Century Gothic"/>
          <w:sz w:val="22"/>
          <w:szCs w:val="22"/>
        </w:rPr>
        <w:t xml:space="preserve"> Legnano</w:t>
      </w:r>
      <w:r w:rsidR="00597185">
        <w:rPr>
          <w:rFonts w:ascii="Century Gothic" w:hAnsi="Century Gothic"/>
          <w:sz w:val="22"/>
          <w:szCs w:val="22"/>
        </w:rPr>
        <w:t xml:space="preserve"> e</w:t>
      </w:r>
      <w:r w:rsidRPr="00C0587E">
        <w:rPr>
          <w:rFonts w:ascii="Century Gothic" w:hAnsi="Century Gothic"/>
          <w:sz w:val="22"/>
          <w:szCs w:val="22"/>
        </w:rPr>
        <w:t xml:space="preserve"> </w:t>
      </w:r>
      <w:r w:rsidR="005452D2">
        <w:rPr>
          <w:rFonts w:ascii="Century Gothic" w:hAnsi="Century Gothic"/>
          <w:sz w:val="22"/>
          <w:szCs w:val="22"/>
        </w:rPr>
        <w:t xml:space="preserve">Lodi </w:t>
      </w:r>
      <w:r w:rsidR="006C10B2" w:rsidRPr="00C0587E">
        <w:rPr>
          <w:rFonts w:ascii="Century Gothic" w:hAnsi="Century Gothic"/>
          <w:sz w:val="22"/>
          <w:szCs w:val="22"/>
        </w:rPr>
        <w:t xml:space="preserve">nonché </w:t>
      </w:r>
      <w:r w:rsidRPr="00C0587E">
        <w:rPr>
          <w:rFonts w:ascii="Century Gothic" w:hAnsi="Century Gothic"/>
          <w:sz w:val="22"/>
          <w:szCs w:val="22"/>
        </w:rPr>
        <w:t xml:space="preserve">l’opuscolo con i </w:t>
      </w:r>
      <w:r w:rsidRPr="00C0587E">
        <w:rPr>
          <w:rFonts w:ascii="Century Gothic" w:hAnsi="Century Gothic"/>
          <w:sz w:val="22"/>
          <w:szCs w:val="22"/>
          <w:u w:val="single"/>
        </w:rPr>
        <w:t>consigli per i soggetti allergici</w:t>
      </w:r>
      <w:r w:rsidR="00BC212C" w:rsidRPr="00C0587E">
        <w:rPr>
          <w:rFonts w:ascii="Century Gothic" w:hAnsi="Century Gothic"/>
          <w:sz w:val="22"/>
          <w:szCs w:val="22"/>
        </w:rPr>
        <w:t xml:space="preserve"> </w:t>
      </w:r>
      <w:r w:rsidR="00BC212C" w:rsidRPr="00611CE6">
        <w:rPr>
          <w:rFonts w:ascii="Century Gothic" w:hAnsi="Century Gothic"/>
          <w:sz w:val="22"/>
          <w:szCs w:val="22"/>
        </w:rPr>
        <w:t xml:space="preserve">ed il </w:t>
      </w:r>
      <w:r w:rsidR="00BC212C" w:rsidRPr="00611CE6">
        <w:rPr>
          <w:rFonts w:ascii="Century Gothic" w:hAnsi="Century Gothic"/>
          <w:sz w:val="22"/>
          <w:szCs w:val="22"/>
          <w:u w:val="single"/>
        </w:rPr>
        <w:t>manifesto</w:t>
      </w:r>
      <w:r w:rsidR="00BC212C" w:rsidRPr="00611CE6">
        <w:rPr>
          <w:rFonts w:ascii="Century Gothic" w:hAnsi="Century Gothic"/>
          <w:sz w:val="22"/>
          <w:szCs w:val="22"/>
        </w:rPr>
        <w:t xml:space="preserve"> per informare la cittadinanza</w:t>
      </w:r>
      <w:r w:rsidR="00597185">
        <w:rPr>
          <w:rFonts w:ascii="Century Gothic" w:hAnsi="Century Gothic"/>
          <w:sz w:val="22"/>
          <w:szCs w:val="22"/>
        </w:rPr>
        <w:t xml:space="preserve"> (recentemente aggiornati)</w:t>
      </w:r>
      <w:r w:rsidR="002B666A" w:rsidRPr="00611CE6">
        <w:rPr>
          <w:rFonts w:ascii="Century Gothic" w:hAnsi="Century Gothic"/>
          <w:sz w:val="22"/>
          <w:szCs w:val="22"/>
        </w:rPr>
        <w:t>.</w:t>
      </w:r>
      <w:r w:rsidR="005452D2">
        <w:rPr>
          <w:rFonts w:ascii="Century Gothic" w:hAnsi="Century Gothic"/>
          <w:sz w:val="22"/>
          <w:szCs w:val="22"/>
        </w:rPr>
        <w:t xml:space="preserve"> </w:t>
      </w:r>
      <w:r w:rsidRPr="00611CE6">
        <w:rPr>
          <w:rFonts w:ascii="Century Gothic" w:hAnsi="Century Gothic"/>
          <w:sz w:val="22"/>
          <w:szCs w:val="22"/>
        </w:rPr>
        <w:t>Il sito è raggiungibile anche dalla pagina dedicata su</w:t>
      </w:r>
      <w:r w:rsidR="002B666A" w:rsidRPr="00611CE6">
        <w:rPr>
          <w:rFonts w:ascii="Century Gothic" w:hAnsi="Century Gothic"/>
          <w:sz w:val="22"/>
          <w:szCs w:val="22"/>
        </w:rPr>
        <w:t>l sito web di Regione Lombardia</w:t>
      </w:r>
      <w:r w:rsidRPr="00611CE6">
        <w:rPr>
          <w:rFonts w:ascii="Century Gothic" w:hAnsi="Century Gothic"/>
          <w:sz w:val="22"/>
          <w:szCs w:val="22"/>
        </w:rPr>
        <w:t>.</w:t>
      </w:r>
    </w:p>
    <w:p w14:paraId="2DFB136D" w14:textId="77777777" w:rsidR="00F95A1F" w:rsidRPr="00DC57DB" w:rsidRDefault="00F95A1F" w:rsidP="00F95A1F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14:paraId="2DFB136E" w14:textId="2A3DA1A0" w:rsidR="00F95A1F" w:rsidRPr="00C0587E" w:rsidRDefault="00F95A1F" w:rsidP="00F95A1F">
      <w:pPr>
        <w:autoSpaceDE w:val="0"/>
        <w:autoSpaceDN w:val="0"/>
        <w:adjustRightInd w:val="0"/>
        <w:ind w:firstLine="708"/>
        <w:rPr>
          <w:rFonts w:ascii="Century Gothic" w:hAnsi="Century Gothic"/>
          <w:sz w:val="22"/>
          <w:szCs w:val="22"/>
        </w:rPr>
      </w:pPr>
      <w:r w:rsidRPr="00C0587E">
        <w:rPr>
          <w:rFonts w:ascii="Century Gothic" w:hAnsi="Century Gothic"/>
          <w:sz w:val="22"/>
          <w:szCs w:val="22"/>
        </w:rPr>
        <w:t>Per i viaggiatori internazionali è utile consultare le curve di pollinazione accedendo alla pagina dedicata sul sito dell’</w:t>
      </w:r>
      <w:r w:rsidRPr="005452D2">
        <w:rPr>
          <w:rFonts w:ascii="Century Gothic" w:hAnsi="Century Gothic"/>
          <w:i/>
          <w:sz w:val="22"/>
          <w:szCs w:val="22"/>
        </w:rPr>
        <w:t>International Ragweed Society</w:t>
      </w:r>
      <w:r w:rsidRPr="00C0587E">
        <w:rPr>
          <w:rFonts w:ascii="Century Gothic" w:hAnsi="Century Gothic"/>
          <w:sz w:val="22"/>
          <w:szCs w:val="22"/>
        </w:rPr>
        <w:t xml:space="preserve"> </w:t>
      </w:r>
      <w:r w:rsidR="00277A03" w:rsidRPr="00C0587E">
        <w:rPr>
          <w:rFonts w:ascii="Century Gothic" w:hAnsi="Century Gothic"/>
          <w:sz w:val="22"/>
          <w:szCs w:val="22"/>
          <w:vertAlign w:val="superscript"/>
        </w:rPr>
        <w:t>3</w:t>
      </w:r>
      <w:r w:rsidRPr="00C0587E">
        <w:rPr>
          <w:rFonts w:ascii="Century Gothic" w:hAnsi="Century Gothic"/>
          <w:sz w:val="22"/>
          <w:szCs w:val="22"/>
        </w:rPr>
        <w:t>.</w:t>
      </w:r>
    </w:p>
    <w:p w14:paraId="2DFB136F" w14:textId="77777777" w:rsidR="00F95A1F" w:rsidRPr="00C0587E" w:rsidRDefault="00F95A1F" w:rsidP="00F95A1F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14:paraId="2DFB1370" w14:textId="45EB6682" w:rsidR="00F95A1F" w:rsidRPr="00DC57DB" w:rsidRDefault="00F95A1F" w:rsidP="00F95A1F">
      <w:pPr>
        <w:ind w:firstLine="708"/>
        <w:jc w:val="both"/>
        <w:rPr>
          <w:rFonts w:ascii="Century Gothic" w:hAnsi="Century Gothic"/>
          <w:sz w:val="22"/>
          <w:szCs w:val="22"/>
        </w:rPr>
      </w:pPr>
      <w:r w:rsidRPr="00C0587E">
        <w:rPr>
          <w:rFonts w:ascii="Century Gothic" w:hAnsi="Century Gothic"/>
          <w:sz w:val="22"/>
          <w:szCs w:val="22"/>
        </w:rPr>
        <w:t xml:space="preserve">Con l’occasione si comunica che </w:t>
      </w:r>
      <w:r w:rsidR="00756CCF" w:rsidRPr="00C0587E">
        <w:rPr>
          <w:rFonts w:ascii="Century Gothic" w:hAnsi="Century Gothic"/>
          <w:sz w:val="22"/>
          <w:szCs w:val="22"/>
        </w:rPr>
        <w:t xml:space="preserve">dal 2011 </w:t>
      </w:r>
      <w:r w:rsidRPr="00C0587E">
        <w:rPr>
          <w:rFonts w:ascii="Century Gothic" w:hAnsi="Century Gothic"/>
          <w:sz w:val="22"/>
          <w:szCs w:val="22"/>
        </w:rPr>
        <w:t>l’</w:t>
      </w:r>
      <w:r w:rsidRPr="005452D2">
        <w:rPr>
          <w:rFonts w:ascii="Century Gothic" w:hAnsi="Century Gothic"/>
          <w:i/>
          <w:sz w:val="22"/>
          <w:szCs w:val="22"/>
        </w:rPr>
        <w:t>International Ragweed Society</w:t>
      </w:r>
      <w:r w:rsidRPr="00C0587E">
        <w:rPr>
          <w:rFonts w:ascii="Century Gothic" w:hAnsi="Century Gothic"/>
          <w:sz w:val="22"/>
          <w:szCs w:val="22"/>
        </w:rPr>
        <w:t xml:space="preserve"> ha proclamato il primo sabato d’estate, </w:t>
      </w:r>
      <w:r w:rsidR="00353222" w:rsidRPr="00C0587E">
        <w:rPr>
          <w:rFonts w:ascii="Century Gothic" w:hAnsi="Century Gothic"/>
          <w:sz w:val="22"/>
          <w:szCs w:val="22"/>
          <w:u w:val="single"/>
        </w:rPr>
        <w:t>“</w:t>
      </w:r>
      <w:r w:rsidR="00353222" w:rsidRPr="005452D2">
        <w:rPr>
          <w:rFonts w:ascii="Century Gothic" w:hAnsi="Century Gothic"/>
          <w:i/>
          <w:sz w:val="22"/>
          <w:szCs w:val="22"/>
          <w:u w:val="single"/>
        </w:rPr>
        <w:t>International Ragweed D</w:t>
      </w:r>
      <w:r w:rsidRPr="005452D2">
        <w:rPr>
          <w:rFonts w:ascii="Century Gothic" w:hAnsi="Century Gothic"/>
          <w:i/>
          <w:sz w:val="22"/>
          <w:szCs w:val="22"/>
          <w:u w:val="single"/>
        </w:rPr>
        <w:t>ay</w:t>
      </w:r>
      <w:r w:rsidRPr="00C0587E">
        <w:rPr>
          <w:rFonts w:ascii="Century Gothic" w:hAnsi="Century Gothic"/>
          <w:sz w:val="22"/>
          <w:szCs w:val="22"/>
          <w:u w:val="single"/>
        </w:rPr>
        <w:t>”,</w:t>
      </w:r>
      <w:r w:rsidRPr="00C0587E">
        <w:rPr>
          <w:rFonts w:ascii="Century Gothic" w:hAnsi="Century Gothic"/>
          <w:sz w:val="22"/>
          <w:szCs w:val="22"/>
        </w:rPr>
        <w:t xml:space="preserve"> cioè Giornata Internazionale dedicata all’Ambrosia. La giornata dovrebbe</w:t>
      </w:r>
      <w:r w:rsidRPr="00DC57DB">
        <w:rPr>
          <w:rFonts w:ascii="Century Gothic" w:hAnsi="Century Gothic"/>
          <w:sz w:val="22"/>
          <w:szCs w:val="22"/>
        </w:rPr>
        <w:t xml:space="preserve"> quindi essere rivolta ad organizzare iniziative per incrementare la conoscenza e la sensibilizzazione ai problemi di salute che la pianta causa in molte parti del mondo.</w:t>
      </w:r>
    </w:p>
    <w:p w14:paraId="2DFB1373" w14:textId="77777777" w:rsidR="00B9491C" w:rsidRPr="00B9491C" w:rsidRDefault="00B9491C" w:rsidP="00B9491C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14:paraId="2DFB1374" w14:textId="77777777" w:rsidR="00FD5F63" w:rsidRPr="00DC57DB" w:rsidRDefault="00B9491C" w:rsidP="00461074">
      <w:pPr>
        <w:ind w:firstLine="708"/>
        <w:jc w:val="both"/>
        <w:rPr>
          <w:rFonts w:ascii="Century Gothic" w:hAnsi="Century Gothic"/>
          <w:sz w:val="22"/>
          <w:szCs w:val="22"/>
        </w:rPr>
      </w:pPr>
      <w:r w:rsidRPr="00B9491C">
        <w:rPr>
          <w:rFonts w:ascii="Century Gothic" w:hAnsi="Century Gothic"/>
          <w:sz w:val="22"/>
          <w:szCs w:val="22"/>
        </w:rPr>
        <w:t>ATS rimane a disposizione per supportare le Amministrazioni Comunali per eventuali iniziative di informazione</w:t>
      </w:r>
      <w:r>
        <w:rPr>
          <w:rFonts w:ascii="Century Gothic" w:hAnsi="Century Gothic"/>
          <w:sz w:val="22"/>
          <w:szCs w:val="22"/>
        </w:rPr>
        <w:t>.</w:t>
      </w:r>
    </w:p>
    <w:p w14:paraId="2DFB1375" w14:textId="77777777" w:rsidR="00FD5F63" w:rsidRPr="00DC57DB" w:rsidRDefault="00FD5F63" w:rsidP="00750EFE">
      <w:pPr>
        <w:jc w:val="both"/>
        <w:rPr>
          <w:rFonts w:ascii="Century Gothic" w:hAnsi="Century Gothic"/>
          <w:sz w:val="22"/>
          <w:szCs w:val="22"/>
        </w:rPr>
      </w:pPr>
      <w:r w:rsidRPr="00DC57DB">
        <w:rPr>
          <w:rFonts w:ascii="Century Gothic" w:hAnsi="Century Gothic"/>
          <w:sz w:val="22"/>
          <w:szCs w:val="22"/>
        </w:rPr>
        <w:tab/>
      </w:r>
      <w:r w:rsidRPr="00DC57DB">
        <w:rPr>
          <w:rFonts w:ascii="Century Gothic" w:hAnsi="Century Gothic"/>
          <w:sz w:val="22"/>
          <w:szCs w:val="22"/>
        </w:rPr>
        <w:tab/>
      </w:r>
      <w:r w:rsidRPr="00DC57DB">
        <w:rPr>
          <w:rFonts w:ascii="Century Gothic" w:hAnsi="Century Gothic"/>
          <w:sz w:val="22"/>
          <w:szCs w:val="22"/>
        </w:rPr>
        <w:tab/>
      </w:r>
    </w:p>
    <w:p w14:paraId="2DFB1376" w14:textId="77777777" w:rsidR="00FD5F63" w:rsidRPr="00DC57DB" w:rsidRDefault="00FD5F63" w:rsidP="00FD5F63">
      <w:pPr>
        <w:pStyle w:val="Corpotesto"/>
        <w:ind w:firstLine="360"/>
        <w:rPr>
          <w:rFonts w:ascii="Century Gothic" w:hAnsi="Century Gothic"/>
          <w:sz w:val="22"/>
          <w:szCs w:val="22"/>
        </w:rPr>
      </w:pPr>
    </w:p>
    <w:p w14:paraId="2DFB1377" w14:textId="77777777" w:rsidR="00FD5F63" w:rsidRPr="00DC57DB" w:rsidRDefault="00FD5F63" w:rsidP="00D35F10">
      <w:pPr>
        <w:pStyle w:val="Corpotesto"/>
        <w:jc w:val="left"/>
        <w:rPr>
          <w:rFonts w:ascii="Century Gothic" w:hAnsi="Century Gothic"/>
          <w:b/>
          <w:sz w:val="22"/>
          <w:szCs w:val="22"/>
        </w:rPr>
      </w:pPr>
    </w:p>
    <w:p w14:paraId="2DFB1378" w14:textId="77777777" w:rsidR="00D35F10" w:rsidRDefault="00D35F10" w:rsidP="00D35F10">
      <w:pPr>
        <w:pStyle w:val="Corpotesto"/>
        <w:jc w:val="left"/>
        <w:rPr>
          <w:rFonts w:ascii="Century Gothic" w:hAnsi="Century Gothic"/>
          <w:sz w:val="16"/>
          <w:szCs w:val="16"/>
          <w:vertAlign w:val="superscript"/>
        </w:rPr>
      </w:pPr>
    </w:p>
    <w:p w14:paraId="2DFB1379" w14:textId="77777777" w:rsidR="00D35F10" w:rsidRDefault="00D35F10" w:rsidP="00D35F10">
      <w:pPr>
        <w:pStyle w:val="Corpotesto"/>
        <w:jc w:val="left"/>
        <w:rPr>
          <w:rFonts w:ascii="Century Gothic" w:hAnsi="Century Gothic"/>
          <w:sz w:val="16"/>
          <w:szCs w:val="16"/>
          <w:vertAlign w:val="superscript"/>
        </w:rPr>
      </w:pPr>
    </w:p>
    <w:p w14:paraId="2DFB137A" w14:textId="77777777" w:rsidR="00D35F10" w:rsidRDefault="00D35F10" w:rsidP="00D35F10">
      <w:pPr>
        <w:pStyle w:val="Corpotesto"/>
        <w:jc w:val="left"/>
        <w:rPr>
          <w:rFonts w:ascii="Century Gothic" w:hAnsi="Century Gothic"/>
          <w:sz w:val="16"/>
          <w:szCs w:val="16"/>
          <w:vertAlign w:val="superscript"/>
        </w:rPr>
      </w:pPr>
    </w:p>
    <w:p w14:paraId="2DFB137B" w14:textId="77777777" w:rsidR="00D35F10" w:rsidRDefault="00D35F10" w:rsidP="00D35F10">
      <w:pPr>
        <w:pStyle w:val="Corpotesto"/>
        <w:jc w:val="left"/>
        <w:rPr>
          <w:rFonts w:ascii="Century Gothic" w:hAnsi="Century Gothic"/>
          <w:sz w:val="16"/>
          <w:szCs w:val="16"/>
          <w:vertAlign w:val="superscript"/>
        </w:rPr>
      </w:pPr>
    </w:p>
    <w:p w14:paraId="2DFB137C" w14:textId="77777777" w:rsidR="00C70C3E" w:rsidRDefault="00C70C3E" w:rsidP="00E92F00">
      <w:pPr>
        <w:pStyle w:val="Pidipagina"/>
        <w:rPr>
          <w:rFonts w:ascii="Century Gothic" w:hAnsi="Century Gothic"/>
          <w:sz w:val="16"/>
          <w:szCs w:val="16"/>
          <w:vertAlign w:val="superscript"/>
        </w:rPr>
      </w:pPr>
    </w:p>
    <w:p w14:paraId="2DFB137D" w14:textId="77777777" w:rsidR="00C70C3E" w:rsidRDefault="00C70C3E" w:rsidP="00E92F00">
      <w:pPr>
        <w:pStyle w:val="Pidipagina"/>
        <w:rPr>
          <w:rFonts w:ascii="Century Gothic" w:hAnsi="Century Gothic"/>
          <w:sz w:val="16"/>
          <w:szCs w:val="16"/>
          <w:vertAlign w:val="superscript"/>
        </w:rPr>
      </w:pPr>
    </w:p>
    <w:p w14:paraId="2DFB1387" w14:textId="77777777" w:rsidR="00C70C3E" w:rsidRDefault="00C70C3E" w:rsidP="00E92F00">
      <w:pPr>
        <w:pStyle w:val="Pidipagina"/>
        <w:rPr>
          <w:rFonts w:ascii="Century Gothic" w:hAnsi="Century Gothic"/>
          <w:sz w:val="16"/>
          <w:szCs w:val="16"/>
          <w:vertAlign w:val="superscript"/>
        </w:rPr>
      </w:pPr>
    </w:p>
    <w:p w14:paraId="2DFB1388" w14:textId="77777777" w:rsidR="00C70C3E" w:rsidRDefault="00C70C3E" w:rsidP="00E92F00">
      <w:pPr>
        <w:pStyle w:val="Pidipagina"/>
        <w:rPr>
          <w:rFonts w:ascii="Century Gothic" w:hAnsi="Century Gothic"/>
          <w:sz w:val="16"/>
          <w:szCs w:val="16"/>
          <w:vertAlign w:val="superscript"/>
        </w:rPr>
      </w:pPr>
    </w:p>
    <w:p w14:paraId="2DFB1389" w14:textId="77777777" w:rsidR="00C70C3E" w:rsidRDefault="00C70C3E" w:rsidP="00E92F00">
      <w:pPr>
        <w:pStyle w:val="Pidipagina"/>
        <w:rPr>
          <w:rFonts w:ascii="Century Gothic" w:hAnsi="Century Gothic"/>
          <w:sz w:val="16"/>
          <w:szCs w:val="16"/>
          <w:vertAlign w:val="superscript"/>
        </w:rPr>
      </w:pPr>
    </w:p>
    <w:p w14:paraId="7944BBD8" w14:textId="5B998A06" w:rsidR="00F9368F" w:rsidRPr="00F9368F" w:rsidRDefault="004C23ED" w:rsidP="004C23ED">
      <w:pPr>
        <w:pStyle w:val="Pidipagina"/>
        <w:rPr>
          <w:rFonts w:ascii="Century Gothic" w:hAnsi="Century Gothic"/>
          <w:color w:val="0000FF"/>
          <w:sz w:val="16"/>
          <w:szCs w:val="16"/>
          <w:u w:val="single"/>
        </w:rPr>
      </w:pPr>
      <w:r>
        <w:rPr>
          <w:rFonts w:ascii="Century Gothic" w:hAnsi="Century Gothic"/>
          <w:sz w:val="16"/>
          <w:szCs w:val="16"/>
          <w:vertAlign w:val="superscript"/>
        </w:rPr>
        <w:t xml:space="preserve">1 </w:t>
      </w:r>
      <w:hyperlink r:id="rId12" w:history="1">
        <w:r w:rsidR="00F9368F" w:rsidRPr="006270DF">
          <w:rPr>
            <w:rStyle w:val="Collegamentoipertestuale"/>
            <w:rFonts w:ascii="Century Gothic" w:hAnsi="Century Gothic"/>
            <w:sz w:val="16"/>
            <w:szCs w:val="16"/>
          </w:rPr>
          <w:t>https://www.ats-milano.it/ats/carta-servizi/guida-servizi/ambiente/igiene-urbana-sanita-pubblica/pollini-spore</w:t>
        </w:r>
      </w:hyperlink>
    </w:p>
    <w:p w14:paraId="1E7CF8D9" w14:textId="77777777" w:rsidR="00F9368F" w:rsidRPr="004C23ED" w:rsidRDefault="00F9368F" w:rsidP="004C23ED">
      <w:pPr>
        <w:pStyle w:val="Pidipagina"/>
        <w:rPr>
          <w:rFonts w:ascii="Century Gothic" w:hAnsi="Century Gothic"/>
          <w:sz w:val="16"/>
          <w:szCs w:val="16"/>
        </w:rPr>
      </w:pPr>
    </w:p>
    <w:p w14:paraId="2DFB138A" w14:textId="77777777" w:rsidR="00C70C3E" w:rsidRDefault="00C70C3E" w:rsidP="00E92F00">
      <w:pPr>
        <w:pStyle w:val="Pidipagina"/>
        <w:rPr>
          <w:rFonts w:ascii="Century Gothic" w:hAnsi="Century Gothic"/>
          <w:sz w:val="16"/>
          <w:szCs w:val="16"/>
          <w:vertAlign w:val="superscript"/>
        </w:rPr>
      </w:pPr>
    </w:p>
    <w:p w14:paraId="5C5B8EA9" w14:textId="74721B2D" w:rsidR="004E6C61" w:rsidRDefault="004C23ED" w:rsidP="00E92F00">
      <w:pPr>
        <w:pStyle w:val="Pidipagina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  <w:vertAlign w:val="superscript"/>
        </w:rPr>
        <w:t xml:space="preserve">2 </w:t>
      </w:r>
      <w:hyperlink r:id="rId13" w:history="1">
        <w:r w:rsidR="004E6C61" w:rsidRPr="00EA5BC8">
          <w:rPr>
            <w:rStyle w:val="Collegamentoipertestuale"/>
            <w:rFonts w:ascii="Century Gothic" w:hAnsi="Century Gothic"/>
            <w:sz w:val="16"/>
            <w:szCs w:val="16"/>
          </w:rPr>
          <w:t>https://www.regione.lombardia.it/sanita/prevenzione-e-stili-di-vita/pollini-e-allergeni-dispersi-nell-aria</w:t>
        </w:r>
      </w:hyperlink>
    </w:p>
    <w:p w14:paraId="0F2D5724" w14:textId="77777777" w:rsidR="004E6C61" w:rsidRDefault="004E6C61" w:rsidP="00E92F00">
      <w:pPr>
        <w:pStyle w:val="Pidipagina"/>
        <w:rPr>
          <w:rFonts w:ascii="Century Gothic" w:hAnsi="Century Gothic"/>
          <w:sz w:val="16"/>
          <w:szCs w:val="16"/>
        </w:rPr>
      </w:pPr>
    </w:p>
    <w:p w14:paraId="2DFB138E" w14:textId="77777777" w:rsidR="00D35F10" w:rsidRDefault="00D35F10" w:rsidP="00D35F10">
      <w:pPr>
        <w:pStyle w:val="Corpotesto"/>
        <w:jc w:val="left"/>
        <w:rPr>
          <w:rFonts w:ascii="Century Gothic" w:hAnsi="Century Gothic"/>
          <w:sz w:val="16"/>
          <w:szCs w:val="16"/>
          <w:vertAlign w:val="superscript"/>
        </w:rPr>
      </w:pPr>
    </w:p>
    <w:p w14:paraId="2DFB1391" w14:textId="1D7CCFC7" w:rsidR="0021464E" w:rsidRDefault="004C23ED" w:rsidP="00164CD9">
      <w:pPr>
        <w:pStyle w:val="Corpotesto"/>
        <w:jc w:val="left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sz w:val="16"/>
          <w:szCs w:val="16"/>
          <w:vertAlign w:val="superscript"/>
        </w:rPr>
        <w:t>3</w:t>
      </w:r>
      <w:r w:rsidR="00D35F10" w:rsidRPr="00E4412B">
        <w:rPr>
          <w:rFonts w:ascii="Century Gothic" w:hAnsi="Century Gothic"/>
          <w:sz w:val="16"/>
          <w:szCs w:val="16"/>
        </w:rPr>
        <w:t xml:space="preserve"> </w:t>
      </w:r>
      <w:hyperlink r:id="rId14" w:history="1">
        <w:r w:rsidRPr="00EB124F">
          <w:rPr>
            <w:rStyle w:val="Collegamentoipertestuale"/>
            <w:rFonts w:ascii="Century Gothic" w:hAnsi="Century Gothic"/>
            <w:sz w:val="16"/>
            <w:szCs w:val="16"/>
          </w:rPr>
          <w:t>http://internationalragweedsociety.org/?page_id=259</w:t>
        </w:r>
      </w:hyperlink>
      <w:r>
        <w:rPr>
          <w:rFonts w:ascii="Century Gothic" w:hAnsi="Century Gothic"/>
          <w:sz w:val="16"/>
          <w:szCs w:val="16"/>
        </w:rPr>
        <w:t xml:space="preserve"> </w:t>
      </w:r>
    </w:p>
    <w:sectPr w:rsidR="0021464E" w:rsidSect="00D35F10">
      <w:headerReference w:type="default" r:id="rId15"/>
      <w:footerReference w:type="default" r:id="rId16"/>
      <w:pgSz w:w="11906" w:h="16838"/>
      <w:pgMar w:top="1386" w:right="1134" w:bottom="1134" w:left="1134" w:header="1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A60C" w14:textId="77777777" w:rsidR="0038461C" w:rsidRDefault="0038461C">
      <w:r>
        <w:separator/>
      </w:r>
    </w:p>
  </w:endnote>
  <w:endnote w:type="continuationSeparator" w:id="0">
    <w:p w14:paraId="17B0408A" w14:textId="77777777" w:rsidR="0038461C" w:rsidRDefault="0038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13F8" w14:textId="77777777" w:rsidR="00265FA5" w:rsidRDefault="00265FA5">
    <w:pPr>
      <w:pStyle w:val="Pidipagina"/>
    </w:pPr>
  </w:p>
  <w:p w14:paraId="2DFB13F9" w14:textId="77777777" w:rsidR="006D250A" w:rsidRPr="00FB231D" w:rsidRDefault="006D250A" w:rsidP="00616132">
    <w:pPr>
      <w:ind w:left="540"/>
      <w:jc w:val="center"/>
      <w:rPr>
        <w:rFonts w:ascii="Century Gothic" w:hAnsi="Century Gothic"/>
        <w:color w:val="0066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9EF6" w14:textId="77777777" w:rsidR="0038461C" w:rsidRDefault="0038461C">
      <w:r>
        <w:separator/>
      </w:r>
    </w:p>
  </w:footnote>
  <w:footnote w:type="continuationSeparator" w:id="0">
    <w:p w14:paraId="6AEB26E2" w14:textId="77777777" w:rsidR="0038461C" w:rsidRDefault="00384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13F6" w14:textId="77777777" w:rsidR="00FB231D" w:rsidRPr="00B92402" w:rsidRDefault="00FB231D" w:rsidP="00580DAE">
    <w:pPr>
      <w:pStyle w:val="Intestazione"/>
      <w:jc w:val="center"/>
      <w:rPr>
        <w:rFonts w:ascii="Century Gothic" w:hAnsi="Century Gothic"/>
        <w:sz w:val="20"/>
        <w:szCs w:val="20"/>
      </w:rPr>
    </w:pPr>
  </w:p>
  <w:p w14:paraId="2DFB13F7" w14:textId="77777777" w:rsidR="00B92402" w:rsidRPr="00B92402" w:rsidRDefault="00BB5E97" w:rsidP="00580DAE">
    <w:pPr>
      <w:pStyle w:val="Intestazione"/>
      <w:jc w:val="center"/>
      <w:rPr>
        <w:rFonts w:ascii="Century Gothic" w:hAnsi="Century Gothic"/>
        <w:sz w:val="20"/>
        <w:szCs w:val="20"/>
      </w:rPr>
    </w:pPr>
    <w:r>
      <w:rPr>
        <w:noProof/>
      </w:rPr>
      <w:drawing>
        <wp:inline distT="0" distB="0" distL="0" distR="0" wp14:anchorId="2DFB13FA" wp14:editId="2DFB13FB">
          <wp:extent cx="1266825" cy="847725"/>
          <wp:effectExtent l="19050" t="0" r="9525" b="0"/>
          <wp:docPr id="2" name="Immagine 2" descr="C:\Users\CStellini\AppData\Local\Microsoft\Windows\Temporary Internet Files\Content.Outlook\IXTASWVV\ATS_Mil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CStellini\AppData\Local\Microsoft\Windows\Temporary Internet Files\Content.Outlook\IXTASWVV\ATS_Mila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83E"/>
    <w:multiLevelType w:val="hybridMultilevel"/>
    <w:tmpl w:val="A7C248E6"/>
    <w:lvl w:ilvl="0" w:tplc="F2065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D563F"/>
    <w:multiLevelType w:val="hybridMultilevel"/>
    <w:tmpl w:val="CEF29574"/>
    <w:lvl w:ilvl="0" w:tplc="165C3D2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4163D"/>
    <w:multiLevelType w:val="hybridMultilevel"/>
    <w:tmpl w:val="B7EEA42E"/>
    <w:lvl w:ilvl="0" w:tplc="B9E04F7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B9E04F74">
      <w:start w:val="1"/>
      <w:numFmt w:val="decimal"/>
      <w:lvlText w:val="%2)"/>
      <w:lvlJc w:val="left"/>
      <w:pPr>
        <w:tabs>
          <w:tab w:val="num" w:pos="-3972"/>
        </w:tabs>
        <w:ind w:left="-3972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53D46"/>
    <w:multiLevelType w:val="hybridMultilevel"/>
    <w:tmpl w:val="B0A08A1E"/>
    <w:lvl w:ilvl="0" w:tplc="05DACA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3A240E"/>
    <w:multiLevelType w:val="hybridMultilevel"/>
    <w:tmpl w:val="B8F0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F577C"/>
    <w:multiLevelType w:val="hybridMultilevel"/>
    <w:tmpl w:val="06D0AD78"/>
    <w:lvl w:ilvl="0" w:tplc="165C3D2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F370A"/>
    <w:multiLevelType w:val="hybridMultilevel"/>
    <w:tmpl w:val="7876EC44"/>
    <w:lvl w:ilvl="0" w:tplc="10AAA09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7F72B47"/>
    <w:multiLevelType w:val="hybridMultilevel"/>
    <w:tmpl w:val="E7CC2344"/>
    <w:lvl w:ilvl="0" w:tplc="165C3D2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B1483"/>
    <w:multiLevelType w:val="hybridMultilevel"/>
    <w:tmpl w:val="8B025674"/>
    <w:lvl w:ilvl="0" w:tplc="54BE60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BFB418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80EE99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4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9761A0"/>
    <w:multiLevelType w:val="hybridMultilevel"/>
    <w:tmpl w:val="1ADE042E"/>
    <w:lvl w:ilvl="0" w:tplc="165C3D2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93AA6"/>
    <w:multiLevelType w:val="hybridMultilevel"/>
    <w:tmpl w:val="707CDD7A"/>
    <w:lvl w:ilvl="0" w:tplc="4DBA3C9E">
      <w:start w:val="1"/>
      <w:numFmt w:val="bullet"/>
      <w:lvlText w:val="-"/>
      <w:lvlJc w:val="left"/>
      <w:pPr>
        <w:tabs>
          <w:tab w:val="num" w:pos="1872"/>
        </w:tabs>
        <w:ind w:left="1872" w:hanging="360"/>
      </w:pPr>
      <w:rPr>
        <w:rFonts w:ascii="Times New Roman" w:hAnsi="Times New Roman" w:cs="Times New Roman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BA3C9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color w:val="auto"/>
      </w:rPr>
    </w:lvl>
    <w:lvl w:ilvl="7" w:tplc="4DBA3C9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color w:val="auto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871A9D"/>
    <w:multiLevelType w:val="hybridMultilevel"/>
    <w:tmpl w:val="B5CE121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145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99301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9926437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8588488">
    <w:abstractNumId w:val="4"/>
  </w:num>
  <w:num w:numId="5" w16cid:durableId="1977252987">
    <w:abstractNumId w:val="0"/>
  </w:num>
  <w:num w:numId="6" w16cid:durableId="1639720358">
    <w:abstractNumId w:val="8"/>
  </w:num>
  <w:num w:numId="7" w16cid:durableId="1141460911">
    <w:abstractNumId w:val="6"/>
  </w:num>
  <w:num w:numId="8" w16cid:durableId="1283344779">
    <w:abstractNumId w:val="3"/>
  </w:num>
  <w:num w:numId="9" w16cid:durableId="94909158">
    <w:abstractNumId w:val="5"/>
  </w:num>
  <w:num w:numId="10" w16cid:durableId="1353461518">
    <w:abstractNumId w:val="1"/>
  </w:num>
  <w:num w:numId="11" w16cid:durableId="48963942">
    <w:abstractNumId w:val="9"/>
  </w:num>
  <w:num w:numId="12" w16cid:durableId="636226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B6"/>
    <w:rsid w:val="0000148D"/>
    <w:rsid w:val="00002750"/>
    <w:rsid w:val="000048E6"/>
    <w:rsid w:val="00010A5C"/>
    <w:rsid w:val="000113AE"/>
    <w:rsid w:val="00012D3C"/>
    <w:rsid w:val="000163A6"/>
    <w:rsid w:val="000272EC"/>
    <w:rsid w:val="00037764"/>
    <w:rsid w:val="00045E22"/>
    <w:rsid w:val="000470C4"/>
    <w:rsid w:val="00053DDE"/>
    <w:rsid w:val="00062796"/>
    <w:rsid w:val="00066995"/>
    <w:rsid w:val="00067995"/>
    <w:rsid w:val="00072A3D"/>
    <w:rsid w:val="000757BF"/>
    <w:rsid w:val="00091C2D"/>
    <w:rsid w:val="00096779"/>
    <w:rsid w:val="000A4977"/>
    <w:rsid w:val="000C4FFC"/>
    <w:rsid w:val="00113EF7"/>
    <w:rsid w:val="00115A4D"/>
    <w:rsid w:val="00122451"/>
    <w:rsid w:val="00122708"/>
    <w:rsid w:val="00124004"/>
    <w:rsid w:val="00131CE1"/>
    <w:rsid w:val="001345A1"/>
    <w:rsid w:val="00141262"/>
    <w:rsid w:val="001516C1"/>
    <w:rsid w:val="0015359F"/>
    <w:rsid w:val="0015403F"/>
    <w:rsid w:val="00164CD9"/>
    <w:rsid w:val="00165E4B"/>
    <w:rsid w:val="00166B5C"/>
    <w:rsid w:val="00195C0E"/>
    <w:rsid w:val="001A19D5"/>
    <w:rsid w:val="001A2E8E"/>
    <w:rsid w:val="001D15B1"/>
    <w:rsid w:val="001D3B32"/>
    <w:rsid w:val="001D5088"/>
    <w:rsid w:val="001D5FED"/>
    <w:rsid w:val="001E17BF"/>
    <w:rsid w:val="001E7D15"/>
    <w:rsid w:val="001F3B14"/>
    <w:rsid w:val="00205EAC"/>
    <w:rsid w:val="0021464E"/>
    <w:rsid w:val="002248C9"/>
    <w:rsid w:val="002313D2"/>
    <w:rsid w:val="0023298B"/>
    <w:rsid w:val="00234F0D"/>
    <w:rsid w:val="00254555"/>
    <w:rsid w:val="0026065B"/>
    <w:rsid w:val="002627F0"/>
    <w:rsid w:val="00265FA5"/>
    <w:rsid w:val="002674F7"/>
    <w:rsid w:val="00277A03"/>
    <w:rsid w:val="0028382F"/>
    <w:rsid w:val="002936CB"/>
    <w:rsid w:val="00293718"/>
    <w:rsid w:val="002A259C"/>
    <w:rsid w:val="002B3976"/>
    <w:rsid w:val="002B4317"/>
    <w:rsid w:val="002B666A"/>
    <w:rsid w:val="002B7060"/>
    <w:rsid w:val="002C005C"/>
    <w:rsid w:val="002C7905"/>
    <w:rsid w:val="002E07E4"/>
    <w:rsid w:val="002E0D73"/>
    <w:rsid w:val="002E31ED"/>
    <w:rsid w:val="00301AC8"/>
    <w:rsid w:val="0030410B"/>
    <w:rsid w:val="00314255"/>
    <w:rsid w:val="003146EA"/>
    <w:rsid w:val="0033498F"/>
    <w:rsid w:val="00342BFC"/>
    <w:rsid w:val="00353222"/>
    <w:rsid w:val="00371770"/>
    <w:rsid w:val="0037200A"/>
    <w:rsid w:val="0038461C"/>
    <w:rsid w:val="00385A64"/>
    <w:rsid w:val="003922D1"/>
    <w:rsid w:val="00392F75"/>
    <w:rsid w:val="003D2FA2"/>
    <w:rsid w:val="003E5499"/>
    <w:rsid w:val="003E758A"/>
    <w:rsid w:val="003F505A"/>
    <w:rsid w:val="00403285"/>
    <w:rsid w:val="00412841"/>
    <w:rsid w:val="00413551"/>
    <w:rsid w:val="00417949"/>
    <w:rsid w:val="00420BF0"/>
    <w:rsid w:val="004240B8"/>
    <w:rsid w:val="00434E35"/>
    <w:rsid w:val="00435E49"/>
    <w:rsid w:val="0043774C"/>
    <w:rsid w:val="00442ACC"/>
    <w:rsid w:val="00461074"/>
    <w:rsid w:val="004809C2"/>
    <w:rsid w:val="0048124E"/>
    <w:rsid w:val="00486985"/>
    <w:rsid w:val="004A754E"/>
    <w:rsid w:val="004B5F3F"/>
    <w:rsid w:val="004C23ED"/>
    <w:rsid w:val="004C59B6"/>
    <w:rsid w:val="004C66F0"/>
    <w:rsid w:val="004D454D"/>
    <w:rsid w:val="004E6C61"/>
    <w:rsid w:val="00500611"/>
    <w:rsid w:val="005134A9"/>
    <w:rsid w:val="005315EE"/>
    <w:rsid w:val="005452D2"/>
    <w:rsid w:val="00545D5C"/>
    <w:rsid w:val="00580DAE"/>
    <w:rsid w:val="00581700"/>
    <w:rsid w:val="00583735"/>
    <w:rsid w:val="00591224"/>
    <w:rsid w:val="00597185"/>
    <w:rsid w:val="005A1402"/>
    <w:rsid w:val="005A28C5"/>
    <w:rsid w:val="005A61D6"/>
    <w:rsid w:val="005A7E95"/>
    <w:rsid w:val="005D35F6"/>
    <w:rsid w:val="005D504C"/>
    <w:rsid w:val="005D56A7"/>
    <w:rsid w:val="005D7002"/>
    <w:rsid w:val="005E70A7"/>
    <w:rsid w:val="00611CE6"/>
    <w:rsid w:val="00616132"/>
    <w:rsid w:val="006205AF"/>
    <w:rsid w:val="006422EC"/>
    <w:rsid w:val="006569DE"/>
    <w:rsid w:val="00666231"/>
    <w:rsid w:val="00667339"/>
    <w:rsid w:val="00670DEC"/>
    <w:rsid w:val="00671A0A"/>
    <w:rsid w:val="00675F2E"/>
    <w:rsid w:val="00683DF5"/>
    <w:rsid w:val="00695F1D"/>
    <w:rsid w:val="00697E68"/>
    <w:rsid w:val="006A725A"/>
    <w:rsid w:val="006B112A"/>
    <w:rsid w:val="006B649D"/>
    <w:rsid w:val="006B66EF"/>
    <w:rsid w:val="006C10B2"/>
    <w:rsid w:val="006D250A"/>
    <w:rsid w:val="006D77E7"/>
    <w:rsid w:val="006F5F8D"/>
    <w:rsid w:val="00703CC6"/>
    <w:rsid w:val="0070620D"/>
    <w:rsid w:val="007074C7"/>
    <w:rsid w:val="007330AB"/>
    <w:rsid w:val="007410C6"/>
    <w:rsid w:val="00742013"/>
    <w:rsid w:val="007445FD"/>
    <w:rsid w:val="00750EFE"/>
    <w:rsid w:val="00756CCF"/>
    <w:rsid w:val="00787B61"/>
    <w:rsid w:val="00794F2A"/>
    <w:rsid w:val="007A0C4E"/>
    <w:rsid w:val="007B22FA"/>
    <w:rsid w:val="007B5E2F"/>
    <w:rsid w:val="007C6AE8"/>
    <w:rsid w:val="007D0BE8"/>
    <w:rsid w:val="007D6ECA"/>
    <w:rsid w:val="007E1FF1"/>
    <w:rsid w:val="007F5FA2"/>
    <w:rsid w:val="007F745B"/>
    <w:rsid w:val="00811819"/>
    <w:rsid w:val="008323A6"/>
    <w:rsid w:val="00832D3E"/>
    <w:rsid w:val="008627A0"/>
    <w:rsid w:val="00885663"/>
    <w:rsid w:val="00891129"/>
    <w:rsid w:val="008920A8"/>
    <w:rsid w:val="008C0382"/>
    <w:rsid w:val="008C44EB"/>
    <w:rsid w:val="008E44D1"/>
    <w:rsid w:val="00901DD7"/>
    <w:rsid w:val="0091447F"/>
    <w:rsid w:val="00915FCE"/>
    <w:rsid w:val="00927511"/>
    <w:rsid w:val="009527A0"/>
    <w:rsid w:val="00963587"/>
    <w:rsid w:val="009732FF"/>
    <w:rsid w:val="00975FDD"/>
    <w:rsid w:val="00980658"/>
    <w:rsid w:val="009A467D"/>
    <w:rsid w:val="009A52E0"/>
    <w:rsid w:val="009B06FE"/>
    <w:rsid w:val="009C0079"/>
    <w:rsid w:val="009C6F44"/>
    <w:rsid w:val="009D6BEF"/>
    <w:rsid w:val="009E18E0"/>
    <w:rsid w:val="009F6C36"/>
    <w:rsid w:val="00A055E2"/>
    <w:rsid w:val="00A067AC"/>
    <w:rsid w:val="00A208A2"/>
    <w:rsid w:val="00A25D42"/>
    <w:rsid w:val="00A3261D"/>
    <w:rsid w:val="00A34FE7"/>
    <w:rsid w:val="00A537FA"/>
    <w:rsid w:val="00A74AC2"/>
    <w:rsid w:val="00A8635A"/>
    <w:rsid w:val="00A8683E"/>
    <w:rsid w:val="00AA47F6"/>
    <w:rsid w:val="00AA6CB6"/>
    <w:rsid w:val="00AB3CEF"/>
    <w:rsid w:val="00AB6C86"/>
    <w:rsid w:val="00AD3F3B"/>
    <w:rsid w:val="00B16347"/>
    <w:rsid w:val="00B26784"/>
    <w:rsid w:val="00B26FE7"/>
    <w:rsid w:val="00B318CD"/>
    <w:rsid w:val="00B35516"/>
    <w:rsid w:val="00B370AE"/>
    <w:rsid w:val="00B66123"/>
    <w:rsid w:val="00B7065B"/>
    <w:rsid w:val="00B70815"/>
    <w:rsid w:val="00B762C4"/>
    <w:rsid w:val="00B92402"/>
    <w:rsid w:val="00B9483C"/>
    <w:rsid w:val="00B9491C"/>
    <w:rsid w:val="00BA361B"/>
    <w:rsid w:val="00BB2D77"/>
    <w:rsid w:val="00BB5E97"/>
    <w:rsid w:val="00BB6EC9"/>
    <w:rsid w:val="00BC212C"/>
    <w:rsid w:val="00BC2DE2"/>
    <w:rsid w:val="00BF0352"/>
    <w:rsid w:val="00C0587E"/>
    <w:rsid w:val="00C06545"/>
    <w:rsid w:val="00C43F39"/>
    <w:rsid w:val="00C6252E"/>
    <w:rsid w:val="00C65935"/>
    <w:rsid w:val="00C70C3E"/>
    <w:rsid w:val="00C7753E"/>
    <w:rsid w:val="00C8491B"/>
    <w:rsid w:val="00C85D6B"/>
    <w:rsid w:val="00C93949"/>
    <w:rsid w:val="00CA2BA3"/>
    <w:rsid w:val="00CA641F"/>
    <w:rsid w:val="00CB236A"/>
    <w:rsid w:val="00CB2EF1"/>
    <w:rsid w:val="00CB35CF"/>
    <w:rsid w:val="00CB5DFE"/>
    <w:rsid w:val="00CC00DB"/>
    <w:rsid w:val="00CC27C4"/>
    <w:rsid w:val="00CC37E7"/>
    <w:rsid w:val="00CC4280"/>
    <w:rsid w:val="00CD0FFE"/>
    <w:rsid w:val="00CD12EB"/>
    <w:rsid w:val="00CE0BD5"/>
    <w:rsid w:val="00CF1B36"/>
    <w:rsid w:val="00CF1C17"/>
    <w:rsid w:val="00D16930"/>
    <w:rsid w:val="00D35F10"/>
    <w:rsid w:val="00D51EC5"/>
    <w:rsid w:val="00D557B9"/>
    <w:rsid w:val="00D558DF"/>
    <w:rsid w:val="00D75571"/>
    <w:rsid w:val="00D8318A"/>
    <w:rsid w:val="00D83944"/>
    <w:rsid w:val="00D87512"/>
    <w:rsid w:val="00D938FE"/>
    <w:rsid w:val="00DA3E83"/>
    <w:rsid w:val="00DC3E2D"/>
    <w:rsid w:val="00DD0A14"/>
    <w:rsid w:val="00DD2AB1"/>
    <w:rsid w:val="00DD6128"/>
    <w:rsid w:val="00DE4289"/>
    <w:rsid w:val="00DE7D81"/>
    <w:rsid w:val="00DF48D6"/>
    <w:rsid w:val="00E30E1D"/>
    <w:rsid w:val="00E36DD6"/>
    <w:rsid w:val="00E7348C"/>
    <w:rsid w:val="00E73A8A"/>
    <w:rsid w:val="00E77010"/>
    <w:rsid w:val="00E84442"/>
    <w:rsid w:val="00E91483"/>
    <w:rsid w:val="00E928C8"/>
    <w:rsid w:val="00E92F00"/>
    <w:rsid w:val="00EA3E3B"/>
    <w:rsid w:val="00EA472A"/>
    <w:rsid w:val="00EB6C46"/>
    <w:rsid w:val="00EC2127"/>
    <w:rsid w:val="00ED0710"/>
    <w:rsid w:val="00ED1C0F"/>
    <w:rsid w:val="00EF5EC9"/>
    <w:rsid w:val="00F106AB"/>
    <w:rsid w:val="00F11357"/>
    <w:rsid w:val="00F14A0E"/>
    <w:rsid w:val="00F27FAE"/>
    <w:rsid w:val="00F55F36"/>
    <w:rsid w:val="00F601FF"/>
    <w:rsid w:val="00F60A48"/>
    <w:rsid w:val="00F61960"/>
    <w:rsid w:val="00F9368F"/>
    <w:rsid w:val="00F95577"/>
    <w:rsid w:val="00F95A1F"/>
    <w:rsid w:val="00F97464"/>
    <w:rsid w:val="00FB0D22"/>
    <w:rsid w:val="00FB231D"/>
    <w:rsid w:val="00FB5AB4"/>
    <w:rsid w:val="00FB6465"/>
    <w:rsid w:val="00FD5F63"/>
    <w:rsid w:val="00FE4B64"/>
    <w:rsid w:val="00FF03F0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DFB12DE"/>
  <w15:docId w15:val="{8D773804-870D-4F8E-96F0-2C96BD9F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124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D5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D5F63"/>
    <w:pPr>
      <w:keepNext/>
      <w:ind w:firstLine="1134"/>
      <w:outlineLvl w:val="1"/>
    </w:pPr>
    <w:rPr>
      <w:b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FD5F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C79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C790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E0BD5"/>
    <w:rPr>
      <w:color w:val="0000FF"/>
      <w:u w:val="single"/>
    </w:rPr>
  </w:style>
  <w:style w:type="character" w:customStyle="1" w:styleId="cstellini">
    <w:name w:val="cstellini"/>
    <w:semiHidden/>
    <w:rsid w:val="00915FCE"/>
    <w:rPr>
      <w:rFonts w:ascii="Arial" w:hAnsi="Arial" w:cs="Arial"/>
      <w:color w:val="auto"/>
      <w:sz w:val="20"/>
      <w:szCs w:val="20"/>
    </w:rPr>
  </w:style>
  <w:style w:type="character" w:styleId="Enfasigrassetto">
    <w:name w:val="Strong"/>
    <w:qFormat/>
    <w:rsid w:val="00915FCE"/>
    <w:rPr>
      <w:b/>
      <w:bCs/>
    </w:rPr>
  </w:style>
  <w:style w:type="table" w:styleId="Grigliatabella">
    <w:name w:val="Table Grid"/>
    <w:basedOn w:val="Tabellanormale"/>
    <w:rsid w:val="00234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779"/>
    <w:rPr>
      <w:sz w:val="24"/>
      <w:szCs w:val="24"/>
    </w:rPr>
  </w:style>
  <w:style w:type="paragraph" w:styleId="Corpotesto">
    <w:name w:val="Body Text"/>
    <w:basedOn w:val="Normale"/>
    <w:link w:val="CorpotestoCarattere"/>
    <w:rsid w:val="00F95A1F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95A1F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E8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A2E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A2E8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FD5F63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FD5F63"/>
    <w:rPr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FD5F63"/>
    <w:rPr>
      <w:rFonts w:ascii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  <w:rsid w:val="00FD5F6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43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43F39"/>
    <w:rPr>
      <w:rFonts w:ascii="Courier New" w:hAnsi="Courier New" w:cs="Courier New"/>
    </w:rPr>
  </w:style>
  <w:style w:type="paragraph" w:styleId="Testonotadichiusura">
    <w:name w:val="endnote text"/>
    <w:basedOn w:val="Normale"/>
    <w:link w:val="TestonotadichiusuraCarattere"/>
    <w:rsid w:val="00113EF7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13EF7"/>
  </w:style>
  <w:style w:type="character" w:styleId="Rimandonotadichiusura">
    <w:name w:val="endnote reference"/>
    <w:basedOn w:val="Carpredefinitoparagrafo"/>
    <w:rsid w:val="00113EF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D35F1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35F10"/>
  </w:style>
  <w:style w:type="character" w:styleId="Rimandonotaapidipagina">
    <w:name w:val="footnote reference"/>
    <w:basedOn w:val="Carpredefinitoparagrafo"/>
    <w:rsid w:val="00D35F10"/>
    <w:rPr>
      <w:vertAlign w:val="superscript"/>
    </w:rPr>
  </w:style>
  <w:style w:type="paragraph" w:customStyle="1" w:styleId="Default">
    <w:name w:val="Default"/>
    <w:rsid w:val="00D35F10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454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F9368F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semiHidden/>
    <w:unhideWhenUsed/>
    <w:rsid w:val="00434E35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34E3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34E35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34E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34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gione.lombardia.it/sanita/prevenzione-e-stili-di-vita/pollini-e-allergeni-dispersi-nell-ari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ts-milano.it/ats/carta-servizi/guida-servizi/ambiente/igiene-urbana-sanita-pubblica/pollini-spo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prevenzione@pec.ats-milano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ternationalragweedsociety.org/?page_id=2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E077E125ED5F439A942A24E01B47F0" ma:contentTypeVersion="13" ma:contentTypeDescription="Creare un nuovo documento." ma:contentTypeScope="" ma:versionID="c4220b93323842e7b0d8f7a33ebedd6d">
  <xsd:schema xmlns:xsd="http://www.w3.org/2001/XMLSchema" xmlns:xs="http://www.w3.org/2001/XMLSchema" xmlns:p="http://schemas.microsoft.com/office/2006/metadata/properties" xmlns:ns3="9b34a076-6890-4db9-9e46-741e7ff6dd28" xmlns:ns4="08315556-4f0b-40c8-aa69-a5848a498592" targetNamespace="http://schemas.microsoft.com/office/2006/metadata/properties" ma:root="true" ma:fieldsID="61978dd2b88ef4218553ab64a1bb9b6b" ns3:_="" ns4:_="">
    <xsd:import namespace="9b34a076-6890-4db9-9e46-741e7ff6dd28"/>
    <xsd:import namespace="08315556-4f0b-40c8-aa69-a5848a498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a076-6890-4db9-9e46-741e7ff6d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15556-4f0b-40c8-aa69-a5848a498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34a076-6890-4db9-9e46-741e7ff6dd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C26FB-C650-4432-9834-F523BC776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4a076-6890-4db9-9e46-741e7ff6dd28"/>
    <ds:schemaRef ds:uri="08315556-4f0b-40c8-aa69-a5848a498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CFDB3-A66D-40D3-97AB-32DB99F4FD03}">
  <ds:schemaRefs>
    <ds:schemaRef ds:uri="http://schemas.microsoft.com/office/2006/metadata/properties"/>
    <ds:schemaRef ds:uri="http://schemas.microsoft.com/office/infopath/2007/PartnerControls"/>
    <ds:schemaRef ds:uri="9b34a076-6890-4db9-9e46-741e7ff6dd28"/>
  </ds:schemaRefs>
</ds:datastoreItem>
</file>

<file path=customXml/itemProps3.xml><?xml version="1.0" encoding="utf-8"?>
<ds:datastoreItem xmlns:ds="http://schemas.openxmlformats.org/officeDocument/2006/customXml" ds:itemID="{2488A78C-490A-4BD8-9550-BA4B5A342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5B7DF-567C-46A0-84B6-57381EFD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A.S.L. Città di Milano</Company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Torrazza</dc:creator>
  <cp:lastModifiedBy>Cardarelli Elisa Maria Clotilde</cp:lastModifiedBy>
  <cp:revision>22</cp:revision>
  <cp:lastPrinted>2019-05-03T08:34:00Z</cp:lastPrinted>
  <dcterms:created xsi:type="dcterms:W3CDTF">2026-06-24T09:16:00Z</dcterms:created>
  <dcterms:modified xsi:type="dcterms:W3CDTF">2026-06-24T11:48:00Z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0x0101008DE077E125ED5F439A942A24E01B47F0</vt:lpwstr>
  </property>
</Properties>
</file>