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Analisi Delibera ANAC n. 168 del 15 aprile 2026</w:t>
      </w:r>
      <w:r/>
    </w:p>
    <w:p>
      <w:pPr>
        <w:pStyle w:val="Heading2"/>
      </w:pPr>
      <w:r>
        <w:t>Attestazioni OIV sull'assolvimento degli obblighi di pubblicazione – annualità 2025</w:t>
      </w:r>
      <w:r/>
    </w:p>
    <w:p>
      <w:r/>
      <w:r>
        <w:rPr>
          <w:b/>
        </w:rPr>
        <w:t>Destinatari:</w:t>
      </w:r>
      <w:r>
        <w:t xml:space="preserve"> Comune di Gaspari (BO) – Intero Ente</w:t>
        <w:br/>
      </w:r>
      <w:r/>
      <w:r>
        <w:rPr>
          <w:b/>
        </w:rPr>
        <w:t>Elaborazione:</w:t>
      </w:r>
      <w:r>
        <w:t xml:space="preserve"> 1 luglio 2026</w:t>
      </w:r>
      <w:r/>
    </w:p>
    <w:p>
      <w:pPr>
        <w:pBdr>
          <w:bottom w:val="single" w:sz="6" w:space="1" w:color="auto"/>
        </w:pBdr>
      </w:pPr>
      <w:r/>
    </w:p>
    <w:p>
      <w:pPr>
        <w:pStyle w:val="Heading2"/>
      </w:pPr>
      <w:r>
        <w:t>Cos'è e cosa dispone questo documento</w:t>
      </w:r>
      <w:r/>
    </w:p>
    <w:p>
      <w:r/>
      <w:r>
        <w:t xml:space="preserve">La </w:t>
      </w:r>
      <w:r>
        <w:rPr>
          <w:b/>
        </w:rPr>
        <w:t>Delibera ANAC n. 168/2026</w:t>
      </w:r>
      <w:r>
        <w:t xml:space="preserve"> è l'atto con cui l'Autorità Nazionale Anticorruzione fissa, per il ciclo 2026, le regole operative per le </w:t>
      </w:r>
      <w:r>
        <w:rPr>
          <w:b/>
        </w:rPr>
        <w:t>attestazioni degli OIV (Organismi Indipendenti di Valutazione)</w:t>
      </w:r>
      <w:r>
        <w:t xml:space="preserve"> — o organismi con funzioni analoghe — sull'adempimento degli obblighi di pubblicazione nella sezione "Amministrazione Trasparente", con riferimento ai dati relativi all'</w:t>
      </w:r>
      <w:r>
        <w:rPr>
          <w:b/>
        </w:rPr>
        <w:t>anno 2025</w:t>
      </w:r>
      <w:r>
        <w:t>.</w:t>
      </w:r>
      <w:r/>
    </w:p>
    <w:p>
      <w:r/>
      <w:r>
        <w:t>In sintesi, il documento:</w:t>
        <w:br/>
      </w:r>
      <w:r>
        <w:t xml:space="preserve">1. Stabilisce </w:t>
      </w:r>
      <w:r>
        <w:rPr>
          <w:b/>
        </w:rPr>
        <w:t>chi deve fare l'attestazione</w:t>
      </w:r>
      <w:r>
        <w:t xml:space="preserve"> e per quali tipologie di enti (PA, società in controllo pubblico, partecipate non di controllo, enti privati).</w:t>
        <w:br/>
      </w:r>
      <w:r>
        <w:t xml:space="preserve">2. Indica </w:t>
      </w:r>
      <w:r>
        <w:rPr>
          <w:b/>
        </w:rPr>
        <w:t>quali obblighi di pubblicazione</w:t>
      </w:r>
      <w:r>
        <w:t xml:space="preserve"> devono essere attestati per il 2026.</w:t>
        <w:br/>
      </w:r>
      <w:r>
        <w:t xml:space="preserve">3. Fissa le </w:t>
      </w:r>
      <w:r>
        <w:rPr>
          <w:b/>
        </w:rPr>
        <w:t>scadenze operative</w:t>
      </w:r>
      <w:r>
        <w:t xml:space="preserve"> per la fase di rilevazione (entro il 30 luglio 2026) e la fase di monitoraggio (entro il 15 gennaio 2027).</w:t>
        <w:br/>
      </w:r>
      <w:r>
        <w:t xml:space="preserve">4. Introduce una </w:t>
      </w:r>
      <w:r>
        <w:rPr>
          <w:b/>
        </w:rPr>
        <w:t>nuova verifica ricognitiva</w:t>
      </w:r>
      <w:r>
        <w:t xml:space="preserve"> sulla conformità dei dati pubblicati agli </w:t>
      </w:r>
      <w:r>
        <w:rPr>
          <w:b/>
        </w:rPr>
        <w:t>schemi standardizzati</w:t>
      </w:r>
      <w:r>
        <w:t xml:space="preserve"> definiti dalla Delibera ANAC n. 495/2024 (non ha effetti sanzionatori per questo ciclo, ma è funzionale alla transizione verso la trasparenza digitale strutturata).</w:t>
        <w:br/>
      </w:r>
      <w:r>
        <w:t xml:space="preserve">5. Disciplina il </w:t>
      </w:r>
      <w:r>
        <w:rPr>
          <w:b/>
        </w:rPr>
        <w:t>regime di responsabilità</w:t>
      </w:r>
      <w:r>
        <w:t xml:space="preserve"> in caso di inadempienze e le modalità di vigilanza ANAC (incluso il controllo della Guardia di Finanza su campioni casuali).</w:t>
      </w:r>
      <w:r/>
    </w:p>
    <w:p>
      <w:r/>
      <w:r>
        <w:t xml:space="preserve">Il Comune di Gaspari è direttamente destinatario in quanto </w:t>
      </w:r>
      <w:r>
        <w:rPr>
          <w:b/>
        </w:rPr>
        <w:t>pubblica amministrazione</w:t>
      </w:r>
      <w:r>
        <w:t xml:space="preserve"> ai sensi dell'art. 2-bis, co. 1, d.lgs. 33/2013. Sono altresì coinvolte le eventuali </w:t>
      </w:r>
      <w:r>
        <w:rPr>
          <w:b/>
        </w:rPr>
        <w:t>società partecipate e/o in controllo pubblico</w:t>
      </w:r>
      <w:r>
        <w:t xml:space="preserve"> del Comune, per le quali si applicano obblighi distinti.</w:t>
      </w:r>
      <w:r/>
    </w:p>
    <w:p>
      <w:pPr>
        <w:pBdr>
          <w:bottom w:val="single" w:sz="6" w:space="1" w:color="auto"/>
        </w:pBdr>
      </w:pPr>
      <w:r/>
    </w:p>
    <w:p>
      <w:pPr>
        <w:pStyle w:val="Heading2"/>
      </w:pPr>
      <w:r>
        <w:t>Tabella di analisi per l'Ente</w:t>
      </w:r>
      <w:r/>
    </w:p>
    <w:tbl>
      <w:tblPr>
        <w:tblW w:type="auto" w:w="0"/>
        <w:tblLook w:firstColumn="1" w:firstRow="1" w:lastColumn="0" w:lastRow="0" w:noHBand="0" w:noVBand="1" w:val="04A0"/>
      </w:tblPr>
      <w:tblGrid>
        <w:gridCol w:w="2160"/>
        <w:gridCol w:w="2160"/>
        <w:gridCol w:w="2160"/>
        <w:gridCol w:w="2160"/>
      </w:tblGrid>
      <w:tr>
        <w:tc>
          <w:tcPr>
            <w:tcW w:type="dxa" w:w="2160"/>
          </w:tcPr>
          <w:p>
            <w:r>
              <w:rPr>
                <w:b/>
              </w:rPr>
              <w:t>Rif. normativo</w:t>
            </w:r>
          </w:p>
        </w:tc>
        <w:tc>
          <w:tcPr>
            <w:tcW w:type="dxa" w:w="2160"/>
          </w:tcPr>
          <w:p>
            <w:r>
              <w:rPr>
                <w:b/>
              </w:rPr>
              <w:t>Ambito/Settore</w:t>
            </w:r>
          </w:p>
        </w:tc>
        <w:tc>
          <w:tcPr>
            <w:tcW w:type="dxa" w:w="2160"/>
          </w:tcPr>
          <w:p>
            <w:r>
              <w:rPr>
                <w:b/>
              </w:rPr>
              <w:t>Cosa cambia</w:t>
            </w:r>
          </w:p>
        </w:tc>
        <w:tc>
          <w:tcPr>
            <w:tcW w:type="dxa" w:w="2160"/>
          </w:tcPr>
          <w:p>
            <w:r>
              <w:rPr>
                <w:b/>
              </w:rPr>
              <w:t>Indicazioni operative per il Comune di Gaspari</w:t>
            </w:r>
          </w:p>
        </w:tc>
      </w:tr>
      <w:tr>
        <w:tc>
          <w:tcPr>
            <w:tcW w:type="dxa" w:w="2160"/>
          </w:tcPr>
          <w:p>
            <w:r>
              <w:t>§ 1.1 – art. 14, co. 4, lett. g), d.lgs. 150/2009; art. 44 d.lgs. 33/2013; art. 1, co. 8-bis, L. 190/2012</w:t>
            </w:r>
          </w:p>
        </w:tc>
        <w:tc>
          <w:tcPr>
            <w:tcW w:type="dxa" w:w="2160"/>
          </w:tcPr>
          <w:p>
            <w:r>
              <w:rPr>
                <w:b/>
              </w:rPr>
              <w:t>Governance / Controlli interni – Segreteria Generale</w:t>
            </w:r>
          </w:p>
        </w:tc>
        <w:tc>
          <w:tcPr>
            <w:tcW w:type="dxa" w:w="2160"/>
          </w:tcPr>
          <w:p>
            <w:r>
              <w:t xml:space="preserve">Il Comune, in quanto pubblica amministrazione ex art. 2-bis, co. 1, d.lgs. 33/2013, è tenuto all'attestazione degli obblighi di pubblicazione riferiti all'annualità 2025. L'attestazione è svolta dall'OIV o dall'organismo con funzioni analoghe. In assenza di OIV, l'attestazione è effettuata dal </w:t>
            </w:r>
            <w:r>
              <w:rPr>
                <w:b/>
              </w:rPr>
              <w:t>RPCT</w:t>
            </w:r>
            <w:r>
              <w:t xml:space="preserve"> (motivando l'assenza nell'apposito campo dell'applicativo).</w:t>
            </w:r>
          </w:p>
        </w:tc>
        <w:tc>
          <w:tcPr>
            <w:tcW w:type="dxa" w:w="2160"/>
          </w:tcPr>
          <w:p>
            <w:r>
              <w:t>Verificare che l'ente sia dotato di OIV o organismo analogo operativo. In assenza, il RPCT deve assumere il ruolo di soggetto attestante, specificandone le ragioni nell'applicativo web ANAC. Garantire la separazione dei ruoli RPCT/OIV: la coincidenza è ammessa solo in via eccezionale e temporanea.</w:t>
            </w:r>
          </w:p>
        </w:tc>
      </w:tr>
      <w:tr>
        <w:tc>
          <w:tcPr>
            <w:tcW w:type="dxa" w:w="2160"/>
          </w:tcPr>
          <w:p>
            <w:r>
              <w:t>§ 2.1 – artt. 4-bis, 12, 13, 14, 15, 20 (d.lgs. 33/2013 e d.lgs. 39/2013), 23, 26-27, 29, 31, 32, 35, 36, 37, 39, 42 d.lgs. 33/2013</w:t>
            </w:r>
          </w:p>
        </w:tc>
        <w:tc>
          <w:tcPr>
            <w:tcW w:type="dxa" w:w="2160"/>
          </w:tcPr>
          <w:p>
            <w:r>
              <w:rPr>
                <w:b/>
              </w:rPr>
              <w:t>Digitalizzazione e Trasparenza – Segreteria Generale / RPCT</w:t>
            </w:r>
          </w:p>
        </w:tc>
        <w:tc>
          <w:tcPr>
            <w:tcW w:type="dxa" w:w="2160"/>
          </w:tcPr>
          <w:p>
            <w:r>
              <w:t xml:space="preserve">Sono individuati </w:t>
            </w:r>
            <w:r>
              <w:rPr>
                <w:b/>
              </w:rPr>
              <w:t>15 obblighi di pubblicazione</w:t>
            </w:r>
            <w:r>
              <w:t xml:space="preserve"> da attestare per il ciclo 2026 (dati riferiti al 2025). Tra questi: atti generali, organizzazione, consulenti e collaboratori, performance, attività e procedimenti, provvedimenti, sovvenzioni, bilanci, controlli, servizi erogati, pagamenti, bandi di gara, pianificazione territoriale, interventi di emergenza, incarichi politici e dirigenziali (art. 14), dichiarazioni di inconferibilità/incompatibilità (art. 20, d.lgs. 39/2013).</w:t>
            </w:r>
          </w:p>
        </w:tc>
        <w:tc>
          <w:tcPr>
            <w:tcW w:type="dxa" w:w="2160"/>
          </w:tcPr>
          <w:p>
            <w:r>
              <w:t>Verificare, per ciascuna delle 15 sotto-sezioni oggetto di attestazione, che i dati relativi al 2025 siano pubblicati in "Amministrazione Trasparente" in modo completo, aggiornato e nel formato corretto. Predisporre la documentazione di supporto per l'attività di verifica dell'OIV o del soggetto attestante.</w:t>
            </w:r>
          </w:p>
        </w:tc>
      </w:tr>
      <w:tr>
        <w:tc>
          <w:tcPr>
            <w:tcW w:type="dxa" w:w="2160"/>
          </w:tcPr>
          <w:p>
            <w:r>
              <w:t>§ 2.2 – Delibera ANAC n. 495/2024 e n. 497/2025</w:t>
            </w:r>
          </w:p>
        </w:tc>
        <w:tc>
          <w:tcPr>
            <w:tcW w:type="dxa" w:w="2160"/>
          </w:tcPr>
          <w:p>
            <w:r>
              <w:rPr>
                <w:b/>
              </w:rPr>
              <w:t>Digitalizzazione e Trasparenza / Sistemi Informativi</w:t>
            </w:r>
          </w:p>
        </w:tc>
        <w:tc>
          <w:tcPr>
            <w:tcW w:type="dxa" w:w="2160"/>
          </w:tcPr>
          <w:p>
            <w:r>
              <w:t xml:space="preserve">Viene introdotta, per questo ciclo, una </w:t>
            </w:r>
            <w:r>
              <w:rPr>
                <w:b/>
              </w:rPr>
              <w:t>verifica ricognitiva aggiuntiva</w:t>
            </w:r>
            <w:r>
              <w:t xml:space="preserve"> (non sanzionatoria) sulla conformità delle pubblicazioni agli </w:t>
            </w:r>
            <w:r>
              <w:rPr>
                <w:b/>
              </w:rPr>
              <w:t>schemi standardizzati</w:t>
            </w:r>
            <w:r>
              <w:t xml:space="preserve"> approvati da ANAC (3 schemi obbligatori da gennaio 2026 ex delibera n. 495/2024 + 5 schemi aggiuntivi ex delibera n. 497/2025). La verifica è condotta con rilevazione al 15 giugno 2026 e distingue tra: piena conformità, conformità parziale, non conformità. L'esito non incide sul grado di assolvimento degli obblighi (nessun effetto sanzionatorio per il ciclo corrente).</w:t>
            </w:r>
          </w:p>
        </w:tc>
        <w:tc>
          <w:tcPr>
            <w:tcW w:type="dxa" w:w="2160"/>
          </w:tcPr>
          <w:p>
            <w:r>
              <w:t>Verificare se la pubblicazione dei dati in "Amministrazione Trasparente" rispetta già i modelli strutturati definiti dalla Delibera ANAC n. 495/2024 per gli artt. 4-bis, 13 e 31 del d.lgs. 33/2013 (obbligatori dal 21 gennaio 2026) e valutare lo stato di adeguamento per i restanti 10 schemi in sperimentazione volontaria (artt. 12, 20, 23, 26, 27, 29, 32, 35, 36, 39, 42). L'esito della ricognizione, anche se parziale, servirà a pianificare gli interventi tecnici per i cicli successivi.</w:t>
            </w:r>
          </w:p>
        </w:tc>
      </w:tr>
      <w:tr>
        <w:tc>
          <w:tcPr>
            <w:tcW w:type="dxa" w:w="2160"/>
          </w:tcPr>
          <w:p>
            <w:r>
              <w:t>§ 3</w:t>
            </w:r>
          </w:p>
        </w:tc>
        <w:tc>
          <w:tcPr>
            <w:tcW w:type="dxa" w:w="2160"/>
          </w:tcPr>
          <w:p>
            <w:r>
              <w:rPr>
                <w:b/>
              </w:rPr>
              <w:t>Digitalizzazione e Trasparenza – RPCT</w:t>
            </w:r>
          </w:p>
        </w:tc>
        <w:tc>
          <w:tcPr>
            <w:tcW w:type="dxa" w:w="2160"/>
          </w:tcPr>
          <w:p>
            <w:r>
              <w:t xml:space="preserve">Il termine di riferimento per i dati oggetto di attestazione è il </w:t>
            </w:r>
            <w:r>
              <w:rPr>
                <w:b/>
              </w:rPr>
              <w:t>31 dicembre 2025</w:t>
            </w:r>
            <w:r>
              <w:t xml:space="preserve"> (dati prodotti, adottati o approvati entro tale data). La rilevazione è effettuata con riferimento al </w:t>
            </w:r>
            <w:r>
              <w:rPr>
                <w:b/>
              </w:rPr>
              <w:t>15 giugno 2026</w:t>
            </w:r>
            <w:r>
              <w:t xml:space="preserve"> .</w:t>
            </w:r>
          </w:p>
        </w:tc>
        <w:tc>
          <w:tcPr>
            <w:tcW w:type="dxa" w:w="2160"/>
          </w:tcPr>
          <w:p>
            <w:r>
              <w:t>Il RPCT deve assicurarsi che tutti i dati e i documenti di pertinenza dell'anno 2025 siano pubblicati correttamente prima del 15 giugno 2026, data di riferimento per la rilevazione dell'OIV.</w:t>
            </w:r>
          </w:p>
        </w:tc>
      </w:tr>
      <w:tr>
        <w:tc>
          <w:tcPr>
            <w:tcW w:type="dxa" w:w="2160"/>
          </w:tcPr>
          <w:p>
            <w:r>
              <w:t>§ 4 – Applicativo web ANAC "Attestazioni OIV"</w:t>
            </w:r>
          </w:p>
        </w:tc>
        <w:tc>
          <w:tcPr>
            <w:tcW w:type="dxa" w:w="2160"/>
          </w:tcPr>
          <w:p>
            <w:r>
              <w:rPr>
                <w:b/>
              </w:rPr>
              <w:t>Digitalizzazione e Trasparenza / Sistemi Informativi – RPCT / OIV</w:t>
            </w:r>
          </w:p>
        </w:tc>
        <w:tc>
          <w:tcPr>
            <w:tcW w:type="dxa" w:w="2160"/>
          </w:tcPr>
          <w:p>
            <w:r>
              <w:t xml:space="preserve">Le attestazioni devono essere redatte e trasmesse </w:t>
            </w:r>
            <w:r>
              <w:rPr>
                <w:b/>
              </w:rPr>
              <w:t>esclusivamente tramite l'applicativo web</w:t>
            </w:r>
            <w:r>
              <w:t xml:space="preserve"> disponibile su: https://www.anticorruzione.it/-/attestazioni-degli-oiv-in-materia-di-assolvimento-agli-obblighi-di-pubblicazione. È richiesta la registrazione dell'utente OIV al sistema ANAC. Ogni variazione o successione nell'incarico OIV richiede tempestivo aggiornamento nel sistema.</w:t>
            </w:r>
          </w:p>
        </w:tc>
        <w:tc>
          <w:tcPr>
            <w:tcW w:type="dxa" w:w="2160"/>
          </w:tcPr>
          <w:p>
            <w:r>
              <w:t xml:space="preserve">Verificare che l'OIV (o soggetto attestante) sia registrato e profilato sull'applicativo web ANAC. In caso di cambio del soggetto OIV, aggiornare tempestivamente il profilo nel sistema. La compilazione della scheda di rilevazione è possibile </w:t>
            </w:r>
            <w:r>
              <w:rPr>
                <w:b/>
              </w:rPr>
              <w:t>a partire dal 16 giugno 2026</w:t>
            </w:r>
            <w:r>
              <w:t xml:space="preserve"> . Ogni altra modalità di trasmissione non sarà ritenuta valida.</w:t>
            </w:r>
          </w:p>
        </w:tc>
      </w:tr>
      <w:tr>
        <w:tc>
          <w:tcPr>
            <w:tcW w:type="dxa" w:w="2160"/>
          </w:tcPr>
          <w:p>
            <w:r>
              <w:t>§ 4 – Indicatori di qualità</w:t>
            </w:r>
          </w:p>
        </w:tc>
        <w:tc>
          <w:tcPr>
            <w:tcW w:type="dxa" w:w="2160"/>
          </w:tcPr>
          <w:p>
            <w:r>
              <w:rPr>
                <w:b/>
              </w:rPr>
              <w:t>Digitalizzazione e Trasparenza – RPCT</w:t>
            </w:r>
          </w:p>
        </w:tc>
        <w:tc>
          <w:tcPr>
            <w:tcW w:type="dxa" w:w="2160"/>
          </w:tcPr>
          <w:p>
            <w:r>
              <w:t xml:space="preserve">La scheda di rilevazione verifica 5 indicatori di qualità per ogni obbligo: 1) pubblicazione; 2) completezza di contenuto; 3) completezza rispetto agli uffici/soggetti tenuti; 4) aggiornamento; 5) formato. Per le sotto-sezioni prive di dati (es. ente che non ha erogato contributi nel 2025), occorre </w:t>
            </w:r>
            <w:r>
              <w:rPr>
                <w:b/>
              </w:rPr>
              <w:t>inserire un'apposita dicitura di esclusione</w:t>
            </w:r>
            <w:r>
              <w:t xml:space="preserve"> anziché lasciare la sezione vuota.</w:t>
            </w:r>
          </w:p>
        </w:tc>
        <w:tc>
          <w:tcPr>
            <w:tcW w:type="dxa" w:w="2160"/>
          </w:tcPr>
          <w:p>
            <w:r>
              <w:t>Inserire nelle sotto-sezioni di "Amministrazione Trasparente" prive di dati pertinenti per il 2025 un'apposita dicitura di non ricorrenza (es. "L'ente nell'anno 2025 non ha erogato sovvenzioni, contributi, sussidi, vantaggi economici"), evitando sezioni vuote o assenti.</w:t>
            </w:r>
          </w:p>
        </w:tc>
      </w:tr>
      <w:tr>
        <w:tc>
          <w:tcPr>
            <w:tcW w:type="dxa" w:w="2160"/>
          </w:tcPr>
          <w:p>
            <w:r>
              <w:t>§ 4 – Bandi di gara e contratti (art. 37 d.lgs. 33/2013; artt. 23 e 28 d.lgs. 36/2023; delibere ANAC n. 261, 263, 264/2023 e n. 601/2023)</w:t>
            </w:r>
          </w:p>
        </w:tc>
        <w:tc>
          <w:tcPr>
            <w:tcW w:type="dxa" w:w="2160"/>
          </w:tcPr>
          <w:p>
            <w:r>
              <w:rPr>
                <w:b/>
              </w:rPr>
              <w:t>Appalti e contratti / Sistemi Informativi</w:t>
            </w:r>
          </w:p>
        </w:tc>
        <w:tc>
          <w:tcPr>
            <w:tcW w:type="dxa" w:w="2160"/>
          </w:tcPr>
          <w:p>
            <w:r>
              <w:t xml:space="preserve">L'attestazione relativa ai </w:t>
            </w:r>
            <w:r>
              <w:rPr>
                <w:b/>
              </w:rPr>
              <w:t>bandi di gara e contratti</w:t>
            </w:r>
            <w:r>
              <w:t xml:space="preserve"> deve riguardare sia la pubblicazione tramite </w:t>
            </w:r>
            <w:r>
              <w:rPr>
                <w:b/>
              </w:rPr>
              <w:t>piattaforma di approvvigionamento digitale (PAD)</w:t>
            </w:r>
            <w:r>
              <w:t xml:space="preserve"> che quella su "Amministrazione Trasparente". Quando la pubblicazione è assolta tramite link, l'OIV deve verificare che il rinvio sia </w:t>
            </w:r>
            <w:r>
              <w:rPr>
                <w:b/>
              </w:rPr>
              <w:t>funzionante, diretto e contenente atti non modificabili</w:t>
            </w:r>
            <w:r>
              <w:t xml:space="preserve"> , con data e firma certa.</w:t>
            </w:r>
          </w:p>
        </w:tc>
        <w:tc>
          <w:tcPr>
            <w:tcW w:type="dxa" w:w="2160"/>
          </w:tcPr>
          <w:p>
            <w:r>
              <w:t>Verificare che la PAD in uso dal Comune sia correttamente interoperabile con la BDNCP ANAC e che i link pubblicati in "Amministrazione Trasparente" alla sezione "Bandi di gara e contratti" siano attivi, diretti e rimandino a documenti firmati digitalmente. Segnalare all'OIV eventuali link non funzionanti prima della rilevazione del 15 giugno 2026.</w:t>
            </w:r>
          </w:p>
        </w:tc>
      </w:tr>
      <w:tr>
        <w:tc>
          <w:tcPr>
            <w:tcW w:type="dxa" w:w="2160"/>
          </w:tcPr>
          <w:p>
            <w:r>
              <w:t>§ 4 – art. 14 d.lgs. 33/2013</w:t>
            </w:r>
          </w:p>
        </w:tc>
        <w:tc>
          <w:tcPr>
            <w:tcW w:type="dxa" w:w="2160"/>
          </w:tcPr>
          <w:p>
            <w:r>
              <w:rPr>
                <w:b/>
              </w:rPr>
              <w:t>Governance / Risorse Umane / Segreteria Generale</w:t>
            </w:r>
          </w:p>
        </w:tc>
        <w:tc>
          <w:tcPr>
            <w:tcW w:type="dxa" w:w="2160"/>
          </w:tcPr>
          <w:p>
            <w:r>
              <w:t xml:space="preserve">Quest'anno è espressamente inclusa nell'attestazione la pubblicazione dei dati ex </w:t>
            </w:r>
            <w:r>
              <w:rPr>
                <w:b/>
              </w:rPr>
              <w:t>art. 14 d.lgs. 33/2013</w:t>
            </w:r>
            <w:r>
              <w:t xml:space="preserve"> relativi ai </w:t>
            </w:r>
            <w:r>
              <w:rPr>
                <w:b/>
              </w:rPr>
              <w:t>titolari di incarichi politici</w:t>
            </w:r>
            <w:r>
              <w:t xml:space="preserve"> (Sindaco, Giunta, Consiglio) e </w:t>
            </w:r>
            <w:r>
              <w:rPr>
                <w:b/>
              </w:rPr>
              <w:t>dirigenziali</w:t>
            </w:r>
            <w:r>
              <w:t xml:space="preserve"> , sia in carica che cessati nel 2025.</w:t>
            </w:r>
          </w:p>
        </w:tc>
        <w:tc>
          <w:tcPr>
            <w:tcW w:type="dxa" w:w="2160"/>
          </w:tcPr>
          <w:p>
            <w:r>
              <w:t>Verificare la completezza e l'aggiornamento della sotto-sezione "Organizzazione – Titolari di incarichi politici, di amministrazione, di direzione o di governo" con riferimento a tutti i soggetti in carica e cessati nel corso del 2025.</w:t>
            </w:r>
          </w:p>
        </w:tc>
      </w:tr>
      <w:tr>
        <w:tc>
          <w:tcPr>
            <w:tcW w:type="dxa" w:w="2160"/>
          </w:tcPr>
          <w:p>
            <w:r>
              <w:t>§ 4 – art. 20 d.lgs. 39/2013</w:t>
            </w:r>
          </w:p>
        </w:tc>
        <w:tc>
          <w:tcPr>
            <w:tcW w:type="dxa" w:w="2160"/>
          </w:tcPr>
          <w:p>
            <w:r>
              <w:rPr>
                <w:b/>
              </w:rPr>
              <w:t>Governance / Risorse Umane / Segreteria Generale</w:t>
            </w:r>
          </w:p>
        </w:tc>
        <w:tc>
          <w:tcPr>
            <w:tcW w:type="dxa" w:w="2160"/>
          </w:tcPr>
          <w:p>
            <w:r>
              <w:t xml:space="preserve">È inclusa nell'attestazione anche la verifica della pubblicazione delle </w:t>
            </w:r>
            <w:r>
              <w:rPr>
                <w:b/>
              </w:rPr>
              <w:t>dichiarazioni di inconferibilità e incompatibilità</w:t>
            </w:r>
            <w:r>
              <w:t xml:space="preserve"> (art. 20, d.lgs. 39/2013) dei titolari di incarichi dirigenziali amministrativi di vertice e dei titolari di incarichi dirigenziali.</w:t>
            </w:r>
          </w:p>
        </w:tc>
        <w:tc>
          <w:tcPr>
            <w:tcW w:type="dxa" w:w="2160"/>
          </w:tcPr>
          <w:p>
            <w:r>
              <w:t>Verificare che le dichiarazioni di insussistenza di cause di inconferibilità e incompatibilità di tutti i dirigenti (e figure equiparate) in carica nel 2025 siano pubblicate nella sezione "Amministrazione Trasparente".</w:t>
            </w:r>
          </w:p>
        </w:tc>
      </w:tr>
      <w:tr>
        <w:tc>
          <w:tcPr>
            <w:tcW w:type="dxa" w:w="2160"/>
          </w:tcPr>
          <w:p>
            <w:r>
              <w:t>§ 4 – Fase di rilevazione – Scadenza RPCT</w:t>
            </w:r>
          </w:p>
        </w:tc>
        <w:tc>
          <w:tcPr>
            <w:tcW w:type="dxa" w:w="2160"/>
          </w:tcPr>
          <w:p>
            <w:r>
              <w:rPr>
                <w:b/>
              </w:rPr>
              <w:t>Digitalizzazione e Trasparenza – RPCT</w:t>
            </w:r>
          </w:p>
        </w:tc>
        <w:tc>
          <w:tcPr>
            <w:tcW w:type="dxa" w:w="2160"/>
          </w:tcPr>
          <w:p>
            <w:r>
              <w:t xml:space="preserve">L'attestazione OIV (scheda di rilevazione) deve essere </w:t>
            </w:r>
            <w:r>
              <w:rPr>
                <w:b/>
              </w:rPr>
              <w:t>pubblicata in "Amministrazione Trasparente"</w:t>
            </w:r>
            <w:r>
              <w:t xml:space="preserve"> a cura del RPCT </w:t>
            </w:r>
            <w:r>
              <w:rPr>
                <w:b/>
              </w:rPr>
              <w:t>entro il 30 luglio 2026</w:t>
            </w:r>
            <w:r>
              <w:t xml:space="preserve"> , nella sotto-sezione: </w:t>
            </w:r>
            <w:r>
              <w:rPr>
                <w:i/>
              </w:rPr>
              <w:t>Controlli e rilievi sull'amministrazione &gt; Organismi indipendenti di valutazione &gt; Attestazione OIV</w:t>
            </w:r>
            <w:r>
              <w:t xml:space="preserve"> . A seguito della pubblicazione, il RPCT promuove le misure correttive per sanare le criticità rilevate.</w:t>
            </w:r>
          </w:p>
        </w:tc>
        <w:tc>
          <w:tcPr>
            <w:tcW w:type="dxa" w:w="2160"/>
          </w:tcPr>
          <w:p>
            <w:r>
              <w:t xml:space="preserve">Pubblicare entro il </w:t>
            </w:r>
            <w:r>
              <w:rPr>
                <w:b/>
              </w:rPr>
              <w:t>30 luglio 2026</w:t>
            </w:r>
            <w:r>
              <w:t xml:space="preserve"> l'attestazione OIV di rilevazione e la relativa scheda delle verifiche nella sotto-sezione di "Amministrazione Trasparente" dedicata all'OIV. Predisporre, ove emergano criticità, una nota di ottemperanza da pubblicare nella medesima sotto-sezione.</w:t>
            </w:r>
          </w:p>
        </w:tc>
      </w:tr>
      <w:tr>
        <w:tc>
          <w:tcPr>
            <w:tcW w:type="dxa" w:w="2160"/>
          </w:tcPr>
          <w:p>
            <w:r>
              <w:t>§ 5 – Fase di monitoraggio</w:t>
            </w:r>
          </w:p>
        </w:tc>
        <w:tc>
          <w:tcPr>
            <w:tcW w:type="dxa" w:w="2160"/>
          </w:tcPr>
          <w:p>
            <w:r>
              <w:rPr>
                <w:b/>
              </w:rPr>
              <w:t>Digitalizzazione e Trasparenza – OIV / RPCT</w:t>
            </w:r>
          </w:p>
        </w:tc>
        <w:tc>
          <w:tcPr>
            <w:tcW w:type="dxa" w:w="2160"/>
          </w:tcPr>
          <w:p>
            <w:r>
              <w:t xml:space="preserve">Se dalla rilevazione emergono punteggi inferiori al 100% su uno o più indicatori di qualità, si apre la </w:t>
            </w:r>
            <w:r>
              <w:rPr>
                <w:b/>
              </w:rPr>
              <w:t>fase di monitoraggio</w:t>
            </w:r>
            <w:r>
              <w:t xml:space="preserve"> . L'OIV verifica entro il </w:t>
            </w:r>
            <w:r>
              <w:rPr>
                <w:b/>
              </w:rPr>
              <w:t>30 novembre 2026</w:t>
            </w:r>
            <w:r>
              <w:t xml:space="preserve"> il superamento o la persistenza delle criticità. In caso di inadempimenti persistenti, a partire dal </w:t>
            </w:r>
            <w:r>
              <w:rPr>
                <w:b/>
              </w:rPr>
              <w:t>1° dicembre 2026</w:t>
            </w:r>
            <w:r>
              <w:t xml:space="preserve"> viene predisposto l'elenco delle inadempienze. Il RPCT pubblica la scheda di monitoraggio e l'eventuale elenco entro il </w:t>
            </w:r>
            <w:r>
              <w:rPr>
                <w:b/>
              </w:rPr>
              <w:t>15 gennaio 2027</w:t>
            </w:r>
            <w:r>
              <w:t xml:space="preserve"> .</w:t>
            </w:r>
          </w:p>
        </w:tc>
        <w:tc>
          <w:tcPr>
            <w:tcW w:type="dxa" w:w="2160"/>
          </w:tcPr>
          <w:p>
            <w:r>
              <w:t>Se la rilevazione del 15 giugno 2026 evidenzia carenze, il RPCT deve avviare tempestivamente le misure correttive (aggiornamento pubblicazioni, completamento dati mancanti) al fine di superare le criticità prima del 30 novembre 2026, evitando la compilazione dell'elenco delle inadempienze.</w:t>
            </w:r>
          </w:p>
        </w:tc>
      </w:tr>
      <w:tr>
        <w:tc>
          <w:tcPr>
            <w:tcW w:type="dxa" w:w="2160"/>
          </w:tcPr>
          <w:p>
            <w:r>
              <w:t>§ 6 – art. 46 d.lgs. 33/2013</w:t>
            </w:r>
          </w:p>
        </w:tc>
        <w:tc>
          <w:tcPr>
            <w:tcW w:type="dxa" w:w="2160"/>
          </w:tcPr>
          <w:p>
            <w:r>
              <w:rPr>
                <w:b/>
              </w:rPr>
              <w:t>Risorse Umane / Governance / Segreteria Generale</w:t>
            </w:r>
          </w:p>
        </w:tc>
        <w:tc>
          <w:tcPr>
            <w:tcW w:type="dxa" w:w="2160"/>
          </w:tcPr>
          <w:p>
            <w:r>
              <w:t xml:space="preserve">L'inadempimento degli obblighi di pubblicazione costituisce </w:t>
            </w:r>
            <w:r>
              <w:rPr>
                <w:b/>
              </w:rPr>
              <w:t>elemento di valutazione negativa della responsabilità dirigenziale</w:t>
            </w:r>
            <w:r>
              <w:t xml:space="preserve"> , può configurare un'ipotesi di </w:t>
            </w:r>
            <w:r>
              <w:rPr>
                <w:b/>
              </w:rPr>
              <w:t>danno all'immagine</w:t>
            </w:r>
            <w:r>
              <w:t xml:space="preserve"> dell'amministrazione e rileva ai fini della </w:t>
            </w:r>
            <w:r>
              <w:rPr>
                <w:b/>
              </w:rPr>
              <w:t>retribuzione di risultato</w:t>
            </w:r>
            <w:r>
              <w:t xml:space="preserve"> e del </w:t>
            </w:r>
            <w:r>
              <w:rPr>
                <w:b/>
              </w:rPr>
              <w:t>trattamento accessorio</w:t>
            </w:r>
            <w:r>
              <w:t xml:space="preserve"> dei responsabili. L'OIV trasmette l'elenco delle inadempienze all'organo di indirizzo politico e, nei casi più gravi, all' </w:t>
            </w:r>
            <w:r>
              <w:rPr>
                <w:b/>
              </w:rPr>
              <w:t>Ufficio Procedimenti Disciplinari (UPD)</w:t>
            </w:r>
            <w:r>
              <w:t xml:space="preserve"> .</w:t>
            </w:r>
          </w:p>
        </w:tc>
        <w:tc>
          <w:tcPr>
            <w:tcW w:type="dxa" w:w="2160"/>
          </w:tcPr>
          <w:p>
            <w:r>
              <w:t>Nessun adempimento diretto. La norma rafforza il regime di responsabilità dei dirigenti e funzionari responsabili degli obblighi di pubblicazione; costituisce presupposto per valutare le conseguenze in sede di trattamento accessorio e di procedimento disciplinare in caso di inadempienza accertata.</w:t>
            </w:r>
          </w:p>
        </w:tc>
      </w:tr>
      <w:tr>
        <w:tc>
          <w:tcPr>
            <w:tcW w:type="dxa" w:w="2160"/>
          </w:tcPr>
          <w:p>
            <w:r>
              <w:t>§ 7 – Vigilanza ANAC e controllo GdF</w:t>
            </w:r>
          </w:p>
        </w:tc>
        <w:tc>
          <w:tcPr>
            <w:tcW w:type="dxa" w:w="2160"/>
          </w:tcPr>
          <w:p>
            <w:r>
              <w:rPr>
                <w:b/>
              </w:rPr>
              <w:t>Segreteria Generale / Controlli</w:t>
            </w:r>
          </w:p>
        </w:tc>
        <w:tc>
          <w:tcPr>
            <w:tcW w:type="dxa" w:w="2160"/>
          </w:tcPr>
          <w:p>
            <w:r>
              <w:t xml:space="preserve">ANAC si riserva di verificare d'ufficio l'avvenuta pubblicazione dell'attestazione entro le scadenze previste e di effettuare confronti tra quanto attestato e i dati pubblicati. La </w:t>
            </w:r>
            <w:r>
              <w:rPr>
                <w:b/>
              </w:rPr>
              <w:t>Guardia di Finanza</w:t>
            </w:r>
            <w:r>
              <w:t xml:space="preserve"> potrà svolgere controlli documentali su campioni casuali per verificare l'esattezza dei dati attestati dagli OIV.</w:t>
            </w:r>
          </w:p>
        </w:tc>
        <w:tc>
          <w:tcPr>
            <w:tcW w:type="dxa" w:w="2160"/>
          </w:tcPr>
          <w:p>
            <w:r>
              <w:t>Nessun adempimento diretto. La norma segnala che il Comune potrebbe essere selezionato in un campione di controllo ANAC/GdF; è pertanto essenziale che le attestazioni pubblicate corrispondano puntualmente allo stato reale della pubblicazione in "Amministrazione Trasparente".</w:t>
            </w:r>
          </w:p>
        </w:tc>
      </w:tr>
      <w:tr>
        <w:tc>
          <w:tcPr>
            <w:tcW w:type="dxa" w:w="2160"/>
          </w:tcPr>
          <w:p>
            <w:r>
              <w:t>§ 1.2 – Enti e società in controllo pubblico</w:t>
            </w:r>
          </w:p>
        </w:tc>
        <w:tc>
          <w:tcPr>
            <w:tcW w:type="dxa" w:w="2160"/>
          </w:tcPr>
          <w:p>
            <w:r>
              <w:rPr>
                <w:b/>
              </w:rPr>
              <w:t>Patrimonio / Partecipate / Segreteria Generale</w:t>
            </w:r>
          </w:p>
        </w:tc>
        <w:tc>
          <w:tcPr>
            <w:tcW w:type="dxa" w:w="2160"/>
          </w:tcPr>
          <w:p>
            <w:r>
              <w:t xml:space="preserve">Le </w:t>
            </w:r>
            <w:r>
              <w:rPr>
                <w:b/>
              </w:rPr>
              <w:t>società in controllo pubblico</w:t>
            </w:r>
            <w:r>
              <w:t xml:space="preserve"> del Comune (se presenti) sono anch'esse tenute all'attestazione entro il </w:t>
            </w:r>
            <w:r>
              <w:rPr>
                <w:b/>
              </w:rPr>
              <w:t>15 giugno 2026</w:t>
            </w:r>
            <w:r>
              <w:t xml:space="preserve"> , con obblighi parzialmente diversi rispetto all'Ente. Gli obblighi da attestare per le partecipate controllate includono: atti generali, organizzazione, consulenti, performance, sovvenzioni, bilanci, controlli, servizi erogati, pagamenti, bandi di gara.</w:t>
            </w:r>
          </w:p>
        </w:tc>
        <w:tc>
          <w:tcPr>
            <w:tcW w:type="dxa" w:w="2160"/>
          </w:tcPr>
          <w:p>
            <w:r>
              <w:t>Verificare, per ciascuna società in controllo pubblico partecipata dal Comune di Gaspari, che sia stato nominato un soggetto con funzioni analoghe all'OIV e che l'attestazione sia stata effettuata nei termini. Opportuno verificare se l'Ente esercita il monitoraggio sugli obblighi di trasparenza delle proprie partecipate.</w:t>
            </w:r>
          </w:p>
        </w:tc>
      </w:tr>
    </w:tbl>
    <w:p>
      <w:r/>
    </w:p>
    <w:p>
      <w:pPr>
        <w:pBdr>
          <w:bottom w:val="single" w:sz="6" w:space="1" w:color="auto"/>
        </w:pBdr>
      </w:pPr>
      <w:r/>
    </w:p>
    <w:p>
      <w:pPr>
        <w:pStyle w:val="Heading2"/>
      </w:pPr>
      <w:r>
        <w:t>Riepilogo scadenze operative</w:t>
      </w:r>
      <w:r/>
    </w:p>
    <w:tbl>
      <w:tblPr>
        <w:tblW w:type="auto" w:w="0"/>
        <w:tblLook w:firstColumn="1" w:firstRow="1" w:lastColumn="0" w:lastRow="0" w:noHBand="0" w:noVBand="1" w:val="04A0"/>
      </w:tblPr>
      <w:tblGrid>
        <w:gridCol w:w="2880"/>
        <w:gridCol w:w="2880"/>
        <w:gridCol w:w="2880"/>
      </w:tblGrid>
      <w:tr>
        <w:tc>
          <w:tcPr>
            <w:tcW w:type="dxa" w:w="2880"/>
          </w:tcPr>
          <w:p>
            <w:r>
              <w:rPr>
                <w:b/>
              </w:rPr>
              <w:t>Scadenza</w:t>
            </w:r>
          </w:p>
        </w:tc>
        <w:tc>
          <w:tcPr>
            <w:tcW w:type="dxa" w:w="2880"/>
          </w:tcPr>
          <w:p>
            <w:r>
              <w:rPr>
                <w:b/>
              </w:rPr>
              <w:t>Cosa</w:t>
            </w:r>
          </w:p>
        </w:tc>
        <w:tc>
          <w:tcPr>
            <w:tcW w:type="dxa" w:w="2880"/>
          </w:tcPr>
          <w:p>
            <w:r>
              <w:rPr>
                <w:b/>
              </w:rPr>
              <w:t>Chi</w:t>
            </w:r>
          </w:p>
        </w:tc>
      </w:tr>
      <w:tr>
        <w:tc>
          <w:tcPr>
            <w:tcW w:type="dxa" w:w="2880"/>
          </w:tcPr>
          <w:p>
            <w:r>
              <w:rPr>
                <w:b/>
              </w:rPr>
              <w:t>15 giugno 2026</w:t>
            </w:r>
          </w:p>
        </w:tc>
        <w:tc>
          <w:tcPr>
            <w:tcW w:type="dxa" w:w="2880"/>
          </w:tcPr>
          <w:p>
            <w:r>
              <w:t>Data di riferimento per la rilevazione dei dati 2025</w:t>
            </w:r>
          </w:p>
        </w:tc>
        <w:tc>
          <w:tcPr>
            <w:tcW w:type="dxa" w:w="2880"/>
          </w:tcPr>
          <w:p>
            <w:r>
              <w:t>OIV / RPCT</w:t>
            </w:r>
          </w:p>
        </w:tc>
      </w:tr>
      <w:tr>
        <w:tc>
          <w:tcPr>
            <w:tcW w:type="dxa" w:w="2880"/>
          </w:tcPr>
          <w:p>
            <w:r>
              <w:rPr>
                <w:b/>
              </w:rPr>
              <w:t>16 giugno 2026</w:t>
            </w:r>
          </w:p>
        </w:tc>
        <w:tc>
          <w:tcPr>
            <w:tcW w:type="dxa" w:w="2880"/>
          </w:tcPr>
          <w:p>
            <w:r>
              <w:t>Apertura dell'applicativo web per la compilazione della scheda di rilevazione</w:t>
            </w:r>
          </w:p>
        </w:tc>
        <w:tc>
          <w:tcPr>
            <w:tcW w:type="dxa" w:w="2880"/>
          </w:tcPr>
          <w:p>
            <w:r>
              <w:t>OIV</w:t>
            </w:r>
          </w:p>
        </w:tc>
      </w:tr>
      <w:tr>
        <w:tc>
          <w:tcPr>
            <w:tcW w:type="dxa" w:w="2880"/>
          </w:tcPr>
          <w:p>
            <w:r>
              <w:rPr>
                <w:b/>
              </w:rPr>
              <w:t>30 luglio 2026</w:t>
            </w:r>
          </w:p>
        </w:tc>
        <w:tc>
          <w:tcPr>
            <w:tcW w:type="dxa" w:w="2880"/>
          </w:tcPr>
          <w:p>
            <w:r>
              <w:t>Pubblicazione attestazione e scheda di rilevazione in "Amministrazione Trasparente"</w:t>
            </w:r>
          </w:p>
        </w:tc>
        <w:tc>
          <w:tcPr>
            <w:tcW w:type="dxa" w:w="2880"/>
          </w:tcPr>
          <w:p>
            <w:r>
              <w:t>RPCT</w:t>
            </w:r>
          </w:p>
        </w:tc>
      </w:tr>
      <w:tr>
        <w:tc>
          <w:tcPr>
            <w:tcW w:type="dxa" w:w="2880"/>
          </w:tcPr>
          <w:p>
            <w:r>
              <w:rPr>
                <w:b/>
              </w:rPr>
              <w:t>31 luglio – 30 novembre 2026</w:t>
            </w:r>
          </w:p>
        </w:tc>
        <w:tc>
          <w:tcPr>
            <w:tcW w:type="dxa" w:w="2880"/>
          </w:tcPr>
          <w:p>
            <w:r>
              <w:t>Fase di monitoraggio (solo se rilevate carenze)</w:t>
            </w:r>
          </w:p>
        </w:tc>
        <w:tc>
          <w:tcPr>
            <w:tcW w:type="dxa" w:w="2880"/>
          </w:tcPr>
          <w:p>
            <w:r>
              <w:t>OIV</w:t>
            </w:r>
          </w:p>
        </w:tc>
      </w:tr>
      <w:tr>
        <w:tc>
          <w:tcPr>
            <w:tcW w:type="dxa" w:w="2880"/>
          </w:tcPr>
          <w:p>
            <w:r>
              <w:rPr>
                <w:b/>
              </w:rPr>
              <w:t>1° dicembre 2026</w:t>
            </w:r>
          </w:p>
        </w:tc>
        <w:tc>
          <w:tcPr>
            <w:tcW w:type="dxa" w:w="2880"/>
          </w:tcPr>
          <w:p>
            <w:r>
              <w:t>Compilazione elenco inadempienze (se carenze persistenti)</w:t>
            </w:r>
          </w:p>
        </w:tc>
        <w:tc>
          <w:tcPr>
            <w:tcW w:type="dxa" w:w="2880"/>
          </w:tcPr>
          <w:p>
            <w:r>
              <w:t>OIV</w:t>
            </w:r>
          </w:p>
        </w:tc>
      </w:tr>
      <w:tr>
        <w:tc>
          <w:tcPr>
            <w:tcW w:type="dxa" w:w="2880"/>
          </w:tcPr>
          <w:p>
            <w:r>
              <w:rPr>
                <w:b/>
              </w:rPr>
              <w:t>15 gennaio 2027</w:t>
            </w:r>
          </w:p>
        </w:tc>
        <w:tc>
          <w:tcPr>
            <w:tcW w:type="dxa" w:w="2880"/>
          </w:tcPr>
          <w:p>
            <w:r>
              <w:t>Pubblicazione scheda di monitoraggio ed eventuale elenco inadempienze</w:t>
            </w:r>
          </w:p>
        </w:tc>
        <w:tc>
          <w:tcPr>
            <w:tcW w:type="dxa" w:w="2880"/>
          </w:tcPr>
          <w:p>
            <w:r>
              <w:t>RPCT</w:t>
            </w:r>
          </w:p>
        </w:tc>
      </w:tr>
    </w:tbl>
    <w:p>
      <w:r/>
    </w:p>
    <w:p>
      <w:pPr>
        <w:pBdr>
          <w:bottom w:val="single" w:sz="6" w:space="1" w:color="auto"/>
        </w:pBdr>
      </w:pPr>
      <w:r/>
    </w:p>
    <w:p>
      <w:pPr>
        <w:pStyle w:val="Heading2"/>
      </w:pPr>
      <w:r>
        <w:t>Disposizioni non rilevanti o con impatto minore per l'Ente</w:t>
      </w:r>
      <w:r/>
    </w:p>
    <w:tbl>
      <w:tblPr>
        <w:tblW w:type="auto" w:w="0"/>
        <w:tblLook w:firstColumn="1" w:firstRow="1" w:lastColumn="0" w:lastRow="0" w:noHBand="0" w:noVBand="1" w:val="04A0"/>
      </w:tblPr>
      <w:tblGrid>
        <w:gridCol w:w="4320"/>
        <w:gridCol w:w="4320"/>
      </w:tblGrid>
      <w:tr>
        <w:tc>
          <w:tcPr>
            <w:tcW w:type="dxa" w:w="4320"/>
          </w:tcPr>
          <w:p>
            <w:r>
              <w:rPr>
                <w:b/>
              </w:rPr>
              <w:t>Disposizione</w:t>
            </w:r>
          </w:p>
        </w:tc>
        <w:tc>
          <w:tcPr>
            <w:tcW w:type="dxa" w:w="4320"/>
          </w:tcPr>
          <w:p>
            <w:r>
              <w:rPr>
                <w:b/>
              </w:rPr>
              <w:t>Motivo dell'esclusione</w:t>
            </w:r>
          </w:p>
        </w:tc>
      </w:tr>
      <w:tr>
        <w:tc>
          <w:tcPr>
            <w:tcW w:type="dxa" w:w="4320"/>
          </w:tcPr>
          <w:p>
            <w:r>
              <w:t>§ 1.3 – Società a partecipazione pubblica non di controllo</w:t>
            </w:r>
          </w:p>
        </w:tc>
        <w:tc>
          <w:tcPr>
            <w:tcW w:type="dxa" w:w="4320"/>
          </w:tcPr>
          <w:p>
            <w:r>
              <w:t>Riguarda società in cui l'ente è minoritario; non produce adempimenti diretti per il Comune, salvo un eventuale ruolo di socio. Nessun obbligo di attestazione in capo all'Ente.</w:t>
            </w:r>
          </w:p>
        </w:tc>
      </w:tr>
      <w:tr>
        <w:tc>
          <w:tcPr>
            <w:tcW w:type="dxa" w:w="4320"/>
          </w:tcPr>
          <w:p>
            <w:r>
              <w:t>§ 1.4 – Associazioni, fondazioni ed enti di diritto privato (art. 2-bis, co. 3, secondo periodo)</w:t>
            </w:r>
          </w:p>
        </w:tc>
        <w:tc>
          <w:tcPr>
            <w:tcW w:type="dxa" w:w="4320"/>
          </w:tcPr>
          <w:p>
            <w:r>
              <w:t>Riguarda enti privati finanziati in modo maggioritario da PA. Il Comune non è il soggetto tenuto all'attestazione, ma potrebbe avere rapporti con tali enti. Non produce adempimenti diretti per l'Ente.</w:t>
            </w:r>
          </w:p>
        </w:tc>
      </w:tr>
      <w:tr>
        <w:tc>
          <w:tcPr>
            <w:tcW w:type="dxa" w:w="4320"/>
          </w:tcPr>
          <w:p>
            <w:r>
              <w:t>Riferimento alle istituzioni scolastiche (art. 1, co. 562, L. 197/2022)</w:t>
            </w:r>
          </w:p>
        </w:tc>
        <w:tc>
          <w:tcPr>
            <w:tcW w:type="dxa" w:w="4320"/>
          </w:tcPr>
          <w:p>
            <w:r>
              <w:t>Norma specifica per le scuole: l'attestazione è svolta dai revisori dei conti degli istituti scolastici. Non riguarda il Comune direttamente.</w:t>
            </w:r>
          </w:p>
        </w:tc>
      </w:tr>
      <w:tr>
        <w:tc>
          <w:tcPr>
            <w:tcW w:type="dxa" w:w="4320"/>
          </w:tcPr>
          <w:p>
            <w:r>
              <w:t>Delibera ANAC n. 777/2021 sugli ordini professionali</w:t>
            </w:r>
          </w:p>
        </w:tc>
        <w:tc>
          <w:tcPr>
            <w:tcW w:type="dxa" w:w="4320"/>
          </w:tcPr>
          <w:p>
            <w:r>
              <w:t>Riguarda ordini e collegi professionali, non il Comune.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