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D6B85" w14:textId="102CD063" w:rsidR="00C02A1A" w:rsidRPr="001A6DC2" w:rsidRDefault="00C02A1A" w:rsidP="00C02A1A">
      <w:pPr>
        <w:shd w:val="clear" w:color="auto" w:fill="FFFFFF"/>
        <w:spacing w:after="120" w:line="240" w:lineRule="auto"/>
        <w:outlineLvl w:val="0"/>
        <w:rPr>
          <w:rFonts w:ascii="Titillium Web" w:eastAsia="Times New Roman" w:hAnsi="Titillium Web" w:cs="Times New Roman"/>
          <w:b/>
          <w:bCs/>
          <w:color w:val="191919"/>
          <w:spacing w:val="-18"/>
          <w:kern w:val="36"/>
          <w:sz w:val="28"/>
          <w:szCs w:val="28"/>
          <w:lang w:eastAsia="it-IT"/>
          <w14:ligatures w14:val="none"/>
        </w:rPr>
      </w:pPr>
      <w:r w:rsidRPr="001A6DC2">
        <w:rPr>
          <w:rFonts w:ascii="Titillium Web" w:eastAsia="Times New Roman" w:hAnsi="Titillium Web" w:cs="Times New Roman"/>
          <w:b/>
          <w:bCs/>
          <w:color w:val="191919"/>
          <w:spacing w:val="-18"/>
          <w:kern w:val="36"/>
          <w:sz w:val="28"/>
          <w:szCs w:val="28"/>
          <w:lang w:eastAsia="it-IT"/>
          <w14:ligatures w14:val="none"/>
        </w:rPr>
        <w:t>A</w:t>
      </w:r>
      <w:r w:rsidRPr="001A6DC2">
        <w:rPr>
          <w:rFonts w:ascii="Titillium Web" w:eastAsia="Times New Roman" w:hAnsi="Titillium Web" w:cs="Times New Roman"/>
          <w:b/>
          <w:bCs/>
          <w:color w:val="191919"/>
          <w:spacing w:val="-18"/>
          <w:kern w:val="36"/>
          <w:sz w:val="28"/>
          <w:szCs w:val="28"/>
          <w:lang w:eastAsia="it-IT"/>
          <w14:ligatures w14:val="none"/>
        </w:rPr>
        <w:t>ttestazione di inutilizzabilità di veicolo</w:t>
      </w:r>
    </w:p>
    <w:p w14:paraId="4E614F09" w14:textId="77777777" w:rsidR="00404D97" w:rsidRPr="00FE39C8" w:rsidRDefault="00404D97"/>
    <w:p w14:paraId="7FFBCC65" w14:textId="11234367" w:rsidR="00C02A1A" w:rsidRPr="00FE39C8" w:rsidRDefault="00C02A1A" w:rsidP="00C02A1A">
      <w:pPr>
        <w:shd w:val="clear" w:color="auto" w:fill="FFFFFF"/>
        <w:spacing w:after="120" w:line="240" w:lineRule="auto"/>
        <w:outlineLvl w:val="0"/>
        <w:rPr>
          <w:rFonts w:ascii="Titillium Web" w:eastAsia="Times New Roman" w:hAnsi="Titillium Web" w:cs="Times New Roman"/>
          <w:b/>
          <w:bCs/>
          <w:color w:val="191919"/>
          <w:spacing w:val="-18"/>
          <w:kern w:val="36"/>
          <w:lang w:eastAsia="it-IT"/>
          <w14:ligatures w14:val="none"/>
        </w:rPr>
      </w:pPr>
      <w:r w:rsidRPr="00FE39C8">
        <w:rPr>
          <w:rFonts w:ascii="Titillium Web" w:eastAsia="Times New Roman" w:hAnsi="Titillium Web" w:cs="Times New Roman"/>
          <w:b/>
          <w:bCs/>
          <w:color w:val="191919"/>
          <w:spacing w:val="-18"/>
          <w:kern w:val="36"/>
          <w:lang w:eastAsia="it-IT"/>
          <w14:ligatures w14:val="none"/>
        </w:rPr>
        <w:t>A chi è rivolto</w:t>
      </w:r>
    </w:p>
    <w:p w14:paraId="0384521B" w14:textId="0CF0766C" w:rsidR="00C02A1A" w:rsidRPr="00FE39C8" w:rsidRDefault="00C02A1A" w:rsidP="00C02A1A">
      <w:pPr>
        <w:jc w:val="both"/>
        <w:rPr>
          <w:rFonts w:ascii="Lora" w:hAnsi="Lora"/>
          <w:color w:val="191919"/>
          <w:shd w:val="clear" w:color="auto" w:fill="FFFFFF"/>
        </w:rPr>
      </w:pPr>
      <w:r w:rsidRPr="00FE39C8">
        <w:rPr>
          <w:rFonts w:ascii="Lora" w:hAnsi="Lora"/>
          <w:color w:val="191919"/>
          <w:shd w:val="clear" w:color="auto" w:fill="FFFFFF"/>
        </w:rPr>
        <w:t>Il servizio è rivolto a tutti i cittadini proprietari di veicoli a motore che si trovano </w:t>
      </w:r>
      <w:r w:rsidRPr="00FE39C8">
        <w:rPr>
          <w:rStyle w:val="Enfasigrassetto"/>
          <w:rFonts w:ascii="Lora" w:hAnsi="Lora"/>
          <w:color w:val="191919"/>
          <w:shd w:val="clear" w:color="auto" w:fill="FFFFFF"/>
        </w:rPr>
        <w:t xml:space="preserve">all'interno del territorio del Comune di </w:t>
      </w:r>
      <w:r w:rsidRPr="00FE39C8">
        <w:rPr>
          <w:rStyle w:val="Enfasigrassetto"/>
          <w:rFonts w:ascii="Lora" w:hAnsi="Lora"/>
          <w:color w:val="191919"/>
          <w:shd w:val="clear" w:color="auto" w:fill="FFFFFF"/>
        </w:rPr>
        <w:t>Castrovillari</w:t>
      </w:r>
      <w:r w:rsidRPr="00FE39C8">
        <w:rPr>
          <w:rFonts w:ascii="Lora" w:hAnsi="Lora"/>
          <w:color w:val="191919"/>
          <w:shd w:val="clear" w:color="auto" w:fill="FFFFFF"/>
        </w:rPr>
        <w:t> (auto, moto, ciclomotori, mezzi pesanti, rimorchi e macchine agricole). Ogni istanza deve riferirsi a un solo veicolo. Per più veicoli è necessario presentare istanze separate.</w:t>
      </w:r>
    </w:p>
    <w:p w14:paraId="73C7EB63" w14:textId="50BBFF08" w:rsidR="00C02A1A" w:rsidRPr="00FE39C8" w:rsidRDefault="00C02A1A" w:rsidP="00C02A1A">
      <w:pPr>
        <w:shd w:val="clear" w:color="auto" w:fill="FFFFFF"/>
        <w:spacing w:after="120" w:line="240" w:lineRule="auto"/>
        <w:outlineLvl w:val="0"/>
        <w:rPr>
          <w:rFonts w:ascii="Titillium Web" w:eastAsia="Times New Roman" w:hAnsi="Titillium Web" w:cs="Times New Roman"/>
          <w:b/>
          <w:bCs/>
          <w:color w:val="191919"/>
          <w:spacing w:val="-18"/>
          <w:kern w:val="36"/>
          <w:lang w:eastAsia="it-IT"/>
          <w14:ligatures w14:val="none"/>
        </w:rPr>
      </w:pPr>
      <w:r w:rsidRPr="00FE39C8">
        <w:rPr>
          <w:rFonts w:ascii="Titillium Web" w:eastAsia="Times New Roman" w:hAnsi="Titillium Web" w:cs="Times New Roman"/>
          <w:b/>
          <w:bCs/>
          <w:color w:val="191919"/>
          <w:spacing w:val="-18"/>
          <w:kern w:val="36"/>
          <w:lang w:eastAsia="it-IT"/>
          <w14:ligatures w14:val="none"/>
        </w:rPr>
        <w:t>Finalità del servizio</w:t>
      </w:r>
    </w:p>
    <w:p w14:paraId="579E26B4" w14:textId="77777777" w:rsidR="00C02A1A" w:rsidRPr="00FE39C8" w:rsidRDefault="00C02A1A" w:rsidP="00C02A1A">
      <w:pPr>
        <w:jc w:val="both"/>
        <w:rPr>
          <w:rFonts w:ascii="Lora" w:hAnsi="Lora"/>
          <w:color w:val="191919"/>
          <w:shd w:val="clear" w:color="auto" w:fill="FFFFFF"/>
        </w:rPr>
      </w:pPr>
      <w:r w:rsidRPr="00FE39C8">
        <w:rPr>
          <w:rFonts w:ascii="Lora" w:hAnsi="Lora"/>
          <w:color w:val="191919"/>
          <w:shd w:val="clear" w:color="auto" w:fill="FFFFFF"/>
        </w:rPr>
        <w:t>L’attestazione di inutilizzabilità costituisce un documento necessario per procedere alla demolizione e cancellazione dal Pubblico Registro Automobilistico (PRA) dei veicoli fuori uso, anche nel caso in cui gli stessi risultino gravati da fermo amministrativo.</w:t>
      </w:r>
    </w:p>
    <w:p w14:paraId="693FBD67" w14:textId="77777777" w:rsidR="00C02A1A" w:rsidRPr="00FE39C8" w:rsidRDefault="00C02A1A" w:rsidP="00C02A1A">
      <w:pPr>
        <w:jc w:val="both"/>
        <w:rPr>
          <w:rFonts w:ascii="Lora" w:hAnsi="Lora"/>
          <w:color w:val="191919"/>
          <w:shd w:val="clear" w:color="auto" w:fill="FFFFFF"/>
        </w:rPr>
      </w:pPr>
      <w:r w:rsidRPr="00FE39C8">
        <w:rPr>
          <w:rFonts w:ascii="Lora" w:hAnsi="Lora"/>
          <w:color w:val="191919"/>
          <w:shd w:val="clear" w:color="auto" w:fill="FFFFFF"/>
        </w:rPr>
        <w:t>La normativa di riferimento è rappresentata dalla Legge 26 gennaio 2026, n. 14, che ha introdotto importanti modifiche in materia di gestione dei veicoli fuori uso, prevedendo tra l’altro la possibilità di procedere alla rottamazione anche in presenza di fermo amministrativo, subordinatamente al rilascio della suddetta attestazione</w:t>
      </w:r>
    </w:p>
    <w:p w14:paraId="42462893" w14:textId="7058A77F" w:rsidR="00C02A1A" w:rsidRPr="00FE39C8" w:rsidRDefault="00C02A1A" w:rsidP="00C02A1A">
      <w:pPr>
        <w:shd w:val="clear" w:color="auto" w:fill="FFFFFF"/>
        <w:spacing w:after="120" w:line="240" w:lineRule="auto"/>
        <w:outlineLvl w:val="0"/>
        <w:rPr>
          <w:rFonts w:ascii="Titillium Web" w:eastAsia="Times New Roman" w:hAnsi="Titillium Web" w:cs="Times New Roman"/>
          <w:b/>
          <w:bCs/>
          <w:color w:val="191919"/>
          <w:spacing w:val="-18"/>
          <w:kern w:val="36"/>
          <w:lang w:eastAsia="it-IT"/>
          <w14:ligatures w14:val="none"/>
        </w:rPr>
      </w:pPr>
      <w:r w:rsidRPr="00FE39C8">
        <w:rPr>
          <w:rFonts w:ascii="Titillium Web" w:eastAsia="Times New Roman" w:hAnsi="Titillium Web" w:cs="Times New Roman"/>
          <w:b/>
          <w:bCs/>
          <w:color w:val="191919"/>
          <w:spacing w:val="-18"/>
          <w:kern w:val="36"/>
          <w:lang w:eastAsia="it-IT"/>
          <w14:ligatures w14:val="none"/>
        </w:rPr>
        <w:t>Descrizione</w:t>
      </w:r>
    </w:p>
    <w:p w14:paraId="188F564A" w14:textId="77777777" w:rsidR="00C02A1A" w:rsidRPr="00FE39C8" w:rsidRDefault="00C02A1A" w:rsidP="00C02A1A">
      <w:pPr>
        <w:jc w:val="both"/>
        <w:rPr>
          <w:rFonts w:ascii="Lora" w:hAnsi="Lora"/>
          <w:color w:val="191919"/>
          <w:shd w:val="clear" w:color="auto" w:fill="FFFFFF"/>
        </w:rPr>
      </w:pPr>
      <w:r w:rsidRPr="00FE39C8">
        <w:rPr>
          <w:rFonts w:ascii="Lora" w:hAnsi="Lora"/>
          <w:color w:val="191919"/>
          <w:shd w:val="clear" w:color="auto" w:fill="FFFFFF"/>
        </w:rPr>
        <w:t>Il servizio permette di ottenere un'attestazione ufficiale per i veicoli che, a causa della mancanza di componenti essenziali, risultano oggettivamente inidonei alla circolazione e il cui ripristino è antieconomico. Tale dichiarazione è fondamentale per procedere alla radiazione dal PRA per demolizione, anche in presenza di un fermo amministrativo iscritto sul veicolo. Il servizio mira a risolvere il blocco dei veicoli "fuori uso" gravati da vincoli fiscali, consentendone la gestione come rifiuti. La demolizione non estingue eventuali debiti verso terzi o verso l'agente della riscossione. La procedura non esenta dal pagamento delle tasse di circolazione (bollo) arretrate. La radiazione di un veicolo con fermo amministrativo preclude la possibilità di richiedere incentivi o contributi pubblici per l'acquisto di un nuovo mezzo.</w:t>
      </w:r>
    </w:p>
    <w:p w14:paraId="39CEC13B" w14:textId="77777777" w:rsidR="0070492C" w:rsidRPr="00FE39C8" w:rsidRDefault="0070492C" w:rsidP="0070492C">
      <w:pPr>
        <w:shd w:val="clear" w:color="auto" w:fill="FFFFFF"/>
        <w:spacing w:after="120" w:line="240" w:lineRule="auto"/>
        <w:outlineLvl w:val="0"/>
        <w:rPr>
          <w:rFonts w:ascii="Titillium Web" w:eastAsia="Times New Roman" w:hAnsi="Titillium Web" w:cs="Times New Roman"/>
          <w:b/>
          <w:bCs/>
          <w:color w:val="191919"/>
          <w:spacing w:val="-18"/>
          <w:kern w:val="36"/>
          <w:lang w:eastAsia="it-IT"/>
          <w14:ligatures w14:val="none"/>
        </w:rPr>
      </w:pPr>
      <w:r w:rsidRPr="00FE39C8">
        <w:rPr>
          <w:rFonts w:ascii="Titillium Web" w:eastAsia="Times New Roman" w:hAnsi="Titillium Web" w:cs="Times New Roman"/>
          <w:b/>
          <w:bCs/>
          <w:color w:val="191919"/>
          <w:spacing w:val="-18"/>
          <w:kern w:val="36"/>
          <w:lang w:eastAsia="it-IT"/>
          <w14:ligatures w14:val="none"/>
        </w:rPr>
        <w:t>Costi</w:t>
      </w:r>
    </w:p>
    <w:p w14:paraId="4BD7D757" w14:textId="229E3E43" w:rsidR="0070492C" w:rsidRPr="00FE39C8" w:rsidRDefault="0070492C" w:rsidP="0070492C">
      <w:pPr>
        <w:pStyle w:val="Paragrafoelenco"/>
        <w:numPr>
          <w:ilvl w:val="0"/>
          <w:numId w:val="3"/>
        </w:numPr>
        <w:jc w:val="both"/>
        <w:rPr>
          <w:rFonts w:ascii="Lora" w:hAnsi="Lora"/>
          <w:color w:val="191919"/>
          <w:shd w:val="clear" w:color="auto" w:fill="FFFFFF"/>
        </w:rPr>
      </w:pPr>
      <w:r w:rsidRPr="00FE39C8">
        <w:rPr>
          <w:rFonts w:ascii="Lora" w:hAnsi="Lora"/>
          <w:color w:val="191919"/>
          <w:shd w:val="clear" w:color="auto" w:fill="FFFFFF"/>
        </w:rPr>
        <w:t>N° 2 marche da bollo da € 16</w:t>
      </w:r>
      <w:r w:rsidR="001A6DC2">
        <w:rPr>
          <w:rFonts w:ascii="Lora" w:hAnsi="Lora"/>
          <w:color w:val="191919"/>
          <w:shd w:val="clear" w:color="auto" w:fill="FFFFFF"/>
        </w:rPr>
        <w:t>,00, di cui una</w:t>
      </w:r>
      <w:r w:rsidRPr="00FE39C8">
        <w:rPr>
          <w:rFonts w:ascii="Lora" w:hAnsi="Lora"/>
          <w:color w:val="191919"/>
          <w:shd w:val="clear" w:color="auto" w:fill="FFFFFF"/>
        </w:rPr>
        <w:t xml:space="preserve"> da apporre sull</w:t>
      </w:r>
      <w:r w:rsidR="001A6DC2">
        <w:rPr>
          <w:rFonts w:ascii="Lora" w:hAnsi="Lora"/>
          <w:color w:val="191919"/>
          <w:shd w:val="clear" w:color="auto" w:fill="FFFFFF"/>
        </w:rPr>
        <w:t>’</w:t>
      </w:r>
      <w:r w:rsidRPr="00FE39C8">
        <w:rPr>
          <w:rFonts w:ascii="Lora" w:hAnsi="Lora"/>
          <w:color w:val="191919"/>
          <w:shd w:val="clear" w:color="auto" w:fill="FFFFFF"/>
        </w:rPr>
        <w:t xml:space="preserve"> </w:t>
      </w:r>
      <w:r w:rsidR="001A6DC2">
        <w:rPr>
          <w:rFonts w:ascii="Lora" w:hAnsi="Lora"/>
          <w:color w:val="191919"/>
          <w:shd w:val="clear" w:color="auto" w:fill="FFFFFF"/>
        </w:rPr>
        <w:t>istanza</w:t>
      </w:r>
      <w:r w:rsidRPr="00FE39C8">
        <w:rPr>
          <w:rFonts w:ascii="Lora" w:hAnsi="Lora"/>
          <w:color w:val="191919"/>
          <w:shd w:val="clear" w:color="auto" w:fill="FFFFFF"/>
        </w:rPr>
        <w:t xml:space="preserve"> e </w:t>
      </w:r>
      <w:r w:rsidR="001A6DC2">
        <w:rPr>
          <w:rFonts w:ascii="Lora" w:hAnsi="Lora"/>
          <w:color w:val="191919"/>
          <w:shd w:val="clear" w:color="auto" w:fill="FFFFFF"/>
        </w:rPr>
        <w:t xml:space="preserve">l’altra </w:t>
      </w:r>
      <w:r w:rsidRPr="00FE39C8">
        <w:rPr>
          <w:rFonts w:ascii="Lora" w:hAnsi="Lora"/>
          <w:color w:val="191919"/>
          <w:shd w:val="clear" w:color="auto" w:fill="FFFFFF"/>
        </w:rPr>
        <w:t>sull’autorizzazione di inutilizzabilità al momento del rilascio</w:t>
      </w:r>
    </w:p>
    <w:p w14:paraId="285593B3" w14:textId="3D3CEE5A" w:rsidR="001A6DC2" w:rsidRDefault="0070492C" w:rsidP="00C02A1A">
      <w:pPr>
        <w:pStyle w:val="Paragrafoelenco"/>
        <w:numPr>
          <w:ilvl w:val="0"/>
          <w:numId w:val="3"/>
        </w:numPr>
        <w:jc w:val="both"/>
        <w:rPr>
          <w:rFonts w:ascii="Lora" w:hAnsi="Lora"/>
          <w:color w:val="191919"/>
          <w:shd w:val="clear" w:color="auto" w:fill="FFFFFF"/>
        </w:rPr>
      </w:pPr>
      <w:r w:rsidRPr="001A6DC2">
        <w:rPr>
          <w:rFonts w:ascii="Lora" w:hAnsi="Lora"/>
          <w:color w:val="191919"/>
          <w:shd w:val="clear" w:color="auto" w:fill="FFFFFF"/>
        </w:rPr>
        <w:t xml:space="preserve">€ </w:t>
      </w:r>
      <w:r w:rsidR="001A6DC2" w:rsidRPr="001A6DC2">
        <w:rPr>
          <w:rFonts w:ascii="Lora" w:hAnsi="Lora"/>
          <w:color w:val="191919"/>
          <w:shd w:val="clear" w:color="auto" w:fill="FFFFFF"/>
        </w:rPr>
        <w:t>5</w:t>
      </w:r>
      <w:r w:rsidRPr="001A6DC2">
        <w:rPr>
          <w:rFonts w:ascii="Lora" w:hAnsi="Lora"/>
          <w:color w:val="191919"/>
          <w:shd w:val="clear" w:color="auto" w:fill="FFFFFF"/>
        </w:rPr>
        <w:t>0,00 per spese di procedimento e attività istruttoria</w:t>
      </w:r>
    </w:p>
    <w:p w14:paraId="0D9448AD" w14:textId="524B284B" w:rsidR="00C02A1A" w:rsidRPr="001A6DC2" w:rsidRDefault="00C02A1A" w:rsidP="001A6DC2">
      <w:pPr>
        <w:jc w:val="both"/>
        <w:rPr>
          <w:rFonts w:ascii="Lora" w:hAnsi="Lora"/>
          <w:color w:val="191919"/>
          <w:shd w:val="clear" w:color="auto" w:fill="FFFFFF"/>
        </w:rPr>
      </w:pPr>
      <w:r w:rsidRPr="001A6DC2">
        <w:rPr>
          <w:rFonts w:ascii="Lora" w:hAnsi="Lora"/>
          <w:color w:val="191919"/>
          <w:shd w:val="clear" w:color="auto" w:fill="FFFFFF"/>
        </w:rPr>
        <w:t>Per attivare la procedura è necessario</w:t>
      </w:r>
      <w:r w:rsidR="0070492C" w:rsidRPr="001A6DC2">
        <w:rPr>
          <w:rFonts w:ascii="Lora" w:hAnsi="Lora"/>
          <w:color w:val="191919"/>
          <w:shd w:val="clear" w:color="auto" w:fill="FFFFFF"/>
        </w:rPr>
        <w:t xml:space="preserve"> </w:t>
      </w:r>
      <w:r w:rsidR="0070492C" w:rsidRPr="001A6DC2">
        <w:rPr>
          <w:rFonts w:ascii="Lora" w:hAnsi="Lora"/>
          <w:color w:val="191919"/>
          <w:shd w:val="clear" w:color="auto" w:fill="FFFFFF"/>
        </w:rPr>
        <w:t xml:space="preserve">compilare il modulo e, corredato di tutti gli allegati richiesti, </w:t>
      </w:r>
      <w:r w:rsidR="0070492C" w:rsidRPr="001A6DC2">
        <w:rPr>
          <w:rFonts w:ascii="Lora" w:hAnsi="Lora"/>
          <w:color w:val="191919"/>
          <w:shd w:val="clear" w:color="auto" w:fill="FFFFFF"/>
        </w:rPr>
        <w:t>trasmetterlo</w:t>
      </w:r>
      <w:r w:rsidR="0070492C" w:rsidRPr="001A6DC2">
        <w:rPr>
          <w:rFonts w:ascii="Lora" w:hAnsi="Lora"/>
          <w:color w:val="191919"/>
          <w:shd w:val="clear" w:color="auto" w:fill="FFFFFF"/>
        </w:rPr>
        <w:t xml:space="preserve"> al Comando della Polizia Locale</w:t>
      </w:r>
      <w:r w:rsidR="0070492C" w:rsidRPr="001A6DC2">
        <w:rPr>
          <w:rFonts w:ascii="Lora" w:hAnsi="Lora"/>
          <w:color w:val="191919"/>
          <w:shd w:val="clear" w:color="auto" w:fill="FFFFFF"/>
        </w:rPr>
        <w:t xml:space="preserve"> </w:t>
      </w:r>
      <w:r w:rsidR="0070492C" w:rsidRPr="001A6DC2">
        <w:rPr>
          <w:rFonts w:ascii="Lora" w:hAnsi="Lora"/>
          <w:color w:val="191919"/>
          <w:shd w:val="clear" w:color="auto" w:fill="FFFFFF"/>
        </w:rPr>
        <w:t xml:space="preserve">mediante posta certificata all’indirizzo: </w:t>
      </w:r>
      <w:hyperlink r:id="rId5" w:history="1">
        <w:r w:rsidR="0070492C" w:rsidRPr="001A6DC2">
          <w:rPr>
            <w:rFonts w:ascii="Lora" w:hAnsi="Lora"/>
            <w:color w:val="191919"/>
            <w:shd w:val="clear" w:color="auto" w:fill="FFFFFF"/>
          </w:rPr>
          <w:t>protocollo@pec.comune.castrovillari.cs.it</w:t>
        </w:r>
      </w:hyperlink>
    </w:p>
    <w:sectPr w:rsidR="00C02A1A" w:rsidRPr="001A6DC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Lora">
    <w:charset w:val="00"/>
    <w:family w:val="auto"/>
    <w:pitch w:val="variable"/>
    <w:sig w:usb0="A00002F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B60A"/>
      </v:shape>
    </w:pict>
  </w:numPicBullet>
  <w:abstractNum w:abstractNumId="0" w15:restartNumberingAfterBreak="0">
    <w:nsid w:val="3A4D5D28"/>
    <w:multiLevelType w:val="hybridMultilevel"/>
    <w:tmpl w:val="1F1E48AC"/>
    <w:lvl w:ilvl="0" w:tplc="04100007">
      <w:start w:val="1"/>
      <w:numFmt w:val="bullet"/>
      <w:lvlText w:val=""/>
      <w:lvlPicBulletId w:val="0"/>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DB86EA3"/>
    <w:multiLevelType w:val="multilevel"/>
    <w:tmpl w:val="740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8A15D9"/>
    <w:multiLevelType w:val="multilevel"/>
    <w:tmpl w:val="E3EC8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0399331">
    <w:abstractNumId w:val="2"/>
  </w:num>
  <w:num w:numId="2" w16cid:durableId="1317029887">
    <w:abstractNumId w:val="1"/>
  </w:num>
  <w:num w:numId="3" w16cid:durableId="1047140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D97"/>
    <w:rsid w:val="001A6DC2"/>
    <w:rsid w:val="00404D97"/>
    <w:rsid w:val="004E6C4B"/>
    <w:rsid w:val="00547437"/>
    <w:rsid w:val="0070492C"/>
    <w:rsid w:val="00C02A1A"/>
    <w:rsid w:val="00FE39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AC50B"/>
  <w15:chartTrackingRefBased/>
  <w15:docId w15:val="{9D4797E4-38D6-44E3-957A-85EEA0BB3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04D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04D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04D9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04D9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04D9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04D9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04D9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04D9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04D9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04D9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04D9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04D9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04D9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04D9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04D9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04D9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04D9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04D97"/>
    <w:rPr>
      <w:rFonts w:eastAsiaTheme="majorEastAsia" w:cstheme="majorBidi"/>
      <w:color w:val="272727" w:themeColor="text1" w:themeTint="D8"/>
    </w:rPr>
  </w:style>
  <w:style w:type="paragraph" w:styleId="Titolo">
    <w:name w:val="Title"/>
    <w:basedOn w:val="Normale"/>
    <w:next w:val="Normale"/>
    <w:link w:val="TitoloCarattere"/>
    <w:uiPriority w:val="10"/>
    <w:qFormat/>
    <w:rsid w:val="00404D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04D9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04D9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04D9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04D9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04D97"/>
    <w:rPr>
      <w:i/>
      <w:iCs/>
      <w:color w:val="404040" w:themeColor="text1" w:themeTint="BF"/>
    </w:rPr>
  </w:style>
  <w:style w:type="paragraph" w:styleId="Paragrafoelenco">
    <w:name w:val="List Paragraph"/>
    <w:basedOn w:val="Normale"/>
    <w:uiPriority w:val="34"/>
    <w:qFormat/>
    <w:rsid w:val="00404D97"/>
    <w:pPr>
      <w:ind w:left="720"/>
      <w:contextualSpacing/>
    </w:pPr>
  </w:style>
  <w:style w:type="character" w:styleId="Enfasiintensa">
    <w:name w:val="Intense Emphasis"/>
    <w:basedOn w:val="Carpredefinitoparagrafo"/>
    <w:uiPriority w:val="21"/>
    <w:qFormat/>
    <w:rsid w:val="00404D97"/>
    <w:rPr>
      <w:i/>
      <w:iCs/>
      <w:color w:val="0F4761" w:themeColor="accent1" w:themeShade="BF"/>
    </w:rPr>
  </w:style>
  <w:style w:type="paragraph" w:styleId="Citazioneintensa">
    <w:name w:val="Intense Quote"/>
    <w:basedOn w:val="Normale"/>
    <w:next w:val="Normale"/>
    <w:link w:val="CitazioneintensaCarattere"/>
    <w:uiPriority w:val="30"/>
    <w:qFormat/>
    <w:rsid w:val="00404D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04D97"/>
    <w:rPr>
      <w:i/>
      <w:iCs/>
      <w:color w:val="0F4761" w:themeColor="accent1" w:themeShade="BF"/>
    </w:rPr>
  </w:style>
  <w:style w:type="character" w:styleId="Riferimentointenso">
    <w:name w:val="Intense Reference"/>
    <w:basedOn w:val="Carpredefinitoparagrafo"/>
    <w:uiPriority w:val="32"/>
    <w:qFormat/>
    <w:rsid w:val="00404D97"/>
    <w:rPr>
      <w:b/>
      <w:bCs/>
      <w:smallCaps/>
      <w:color w:val="0F4761" w:themeColor="accent1" w:themeShade="BF"/>
      <w:spacing w:val="5"/>
    </w:rPr>
  </w:style>
  <w:style w:type="character" w:styleId="Enfasigrassetto">
    <w:name w:val="Strong"/>
    <w:basedOn w:val="Carpredefinitoparagrafo"/>
    <w:uiPriority w:val="22"/>
    <w:qFormat/>
    <w:rsid w:val="00C02A1A"/>
    <w:rPr>
      <w:b/>
      <w:bCs/>
    </w:rPr>
  </w:style>
  <w:style w:type="character" w:styleId="Collegamentoipertestuale">
    <w:name w:val="Hyperlink"/>
    <w:basedOn w:val="Carpredefinitoparagrafo"/>
    <w:uiPriority w:val="99"/>
    <w:unhideWhenUsed/>
    <w:rsid w:val="0070492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tocollo@pec.comune.castrovillari.cs.it"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4</cp:revision>
  <dcterms:created xsi:type="dcterms:W3CDTF">2026-09-02T13:06:00Z</dcterms:created>
  <dcterms:modified xsi:type="dcterms:W3CDTF">2026-09-02T13:51:00Z</dcterms:modified>
</cp:coreProperties>
</file>