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194B" w14:textId="1C536D78" w:rsidR="00774AAD" w:rsidRPr="00774AAD" w:rsidRDefault="00774AAD" w:rsidP="00774AAD">
      <w:pPr>
        <w:rPr>
          <w:b/>
          <w:bCs/>
          <w:lang w:val="it-IT"/>
        </w:rPr>
      </w:pPr>
      <w:r>
        <w:rPr>
          <w:b/>
          <w:bCs/>
          <w:lang w:val="it-IT"/>
        </w:rPr>
        <w:t xml:space="preserve">Todi: </w:t>
      </w:r>
      <w:r w:rsidRPr="00774AAD">
        <w:rPr>
          <w:b/>
          <w:bCs/>
          <w:lang w:val="it-IT"/>
        </w:rPr>
        <w:t>conclusa con successo l’asta pubblica per la locazione degli spazi di Palazzo dei Priori. Un percorso di valorizzazione patrimoniale e sostegno alla comunità</w:t>
      </w:r>
      <w:r>
        <w:rPr>
          <w:b/>
          <w:bCs/>
          <w:lang w:val="it-IT"/>
        </w:rPr>
        <w:t xml:space="preserve"> portato avanti dall’IPAB </w:t>
      </w:r>
      <w:r w:rsidRPr="00774AAD">
        <w:rPr>
          <w:b/>
          <w:bCs/>
          <w:lang w:val="it-IT"/>
        </w:rPr>
        <w:t>La Consolazione ETAB</w:t>
      </w:r>
      <w:r>
        <w:rPr>
          <w:b/>
          <w:bCs/>
          <w:lang w:val="it-IT"/>
        </w:rPr>
        <w:t>.</w:t>
      </w:r>
    </w:p>
    <w:p w14:paraId="01810DE8" w14:textId="77777777" w:rsidR="00774AAD" w:rsidRDefault="00774AAD" w:rsidP="00774AAD">
      <w:pPr>
        <w:rPr>
          <w:b/>
          <w:bCs/>
          <w:lang w:val="it-IT"/>
        </w:rPr>
      </w:pPr>
    </w:p>
    <w:p w14:paraId="43E4FF47" w14:textId="37EBFC21" w:rsidR="00774AAD" w:rsidRPr="00774AAD" w:rsidRDefault="00774AAD" w:rsidP="00774AAD">
      <w:pPr>
        <w:jc w:val="both"/>
        <w:rPr>
          <w:lang w:val="it-IT"/>
        </w:rPr>
      </w:pPr>
      <w:r w:rsidRPr="00774AAD">
        <w:rPr>
          <w:b/>
          <w:bCs/>
          <w:lang w:val="it-IT"/>
        </w:rPr>
        <w:t>TODI</w:t>
      </w:r>
      <w:r w:rsidRPr="00774AAD">
        <w:rPr>
          <w:lang w:val="it-IT"/>
        </w:rPr>
        <w:t xml:space="preserve"> – Si è conclusa positivamente la procedura di asta pubblica indetta da La Consolazione ETAB per l’affidamento in locazione della prestigiosa porzione immobiliare situata all’interno di Palazzo dei Priori (affacciata su Piazza del Popolo e Corso Cavour) e già storicamente legata alle attività </w:t>
      </w:r>
      <w:r>
        <w:rPr>
          <w:lang w:val="it-IT"/>
        </w:rPr>
        <w:t xml:space="preserve">commerciali e (dal 1952) </w:t>
      </w:r>
      <w:r w:rsidRPr="00774AAD">
        <w:rPr>
          <w:lang w:val="it-IT"/>
        </w:rPr>
        <w:t>bancarie della città.</w:t>
      </w:r>
    </w:p>
    <w:p w14:paraId="43222700" w14:textId="5AEEBE37" w:rsidR="00774AAD" w:rsidRDefault="00774AAD" w:rsidP="00774AAD">
      <w:pPr>
        <w:jc w:val="both"/>
        <w:rPr>
          <w:lang w:val="it-IT"/>
        </w:rPr>
      </w:pPr>
      <w:r w:rsidRPr="00774AAD">
        <w:rPr>
          <w:lang w:val="it-IT"/>
        </w:rPr>
        <w:t xml:space="preserve">L’incanto, svoltosi nella mattinata del 27 ottobre 2026 nei termini previsti dalla delibera del Consiglio di Amministrazione n. 82 del 12 agosto 2026, ha registrato l’aggiudicazione formale in favore della società </w:t>
      </w:r>
      <w:r w:rsidRPr="00774AAD">
        <w:rPr>
          <w:i/>
          <w:iCs/>
          <w:lang w:val="it-IT"/>
        </w:rPr>
        <w:t>Alchimia Umbria S.r.l.</w:t>
      </w:r>
      <w:r>
        <w:rPr>
          <w:i/>
          <w:iCs/>
          <w:lang w:val="it-IT"/>
        </w:rPr>
        <w:t xml:space="preserve"> </w:t>
      </w:r>
      <w:r w:rsidRPr="00774AAD">
        <w:rPr>
          <w:lang w:val="it-IT"/>
        </w:rPr>
        <w:t>con sede a Todi</w:t>
      </w:r>
      <w:r w:rsidRPr="00774AAD">
        <w:rPr>
          <w:lang w:val="it-IT"/>
        </w:rPr>
        <w:t>, che ha formulato un’offerta economica in aumento rispetto alla base d’asta stabilita. Il contratto, della durata complessiva di nove anni rinnovabili, avrà decorrenza ufficiale dal 1° aprile 2027, consentendo così all’operatore di pianificare con la dovuta cura gli interventi di allestimento, l’avvio degli impianti e i necessari adempimenti tecnici e catastali.</w:t>
      </w:r>
    </w:p>
    <w:p w14:paraId="086BEA78" w14:textId="6010717E" w:rsidR="00774AAD" w:rsidRDefault="00774AAD" w:rsidP="00774AAD">
      <w:pPr>
        <w:jc w:val="both"/>
        <w:rPr>
          <w:lang w:val="it-IT"/>
        </w:rPr>
      </w:pPr>
      <w:r>
        <w:rPr>
          <w:lang w:val="it-IT"/>
        </w:rPr>
        <w:t>I locali sono stati consegnati per i primi rilievi già in data 29.10.2026.</w:t>
      </w:r>
    </w:p>
    <w:p w14:paraId="0F7A4A65" w14:textId="2395DFC3" w:rsidR="00774AAD" w:rsidRPr="00774AAD" w:rsidRDefault="00774AAD" w:rsidP="00774AAD">
      <w:pPr>
        <w:jc w:val="both"/>
        <w:rPr>
          <w:lang w:val="it-IT"/>
        </w:rPr>
      </w:pPr>
      <w:r>
        <w:rPr>
          <w:lang w:val="it-IT"/>
        </w:rPr>
        <w:t>L’affidamento in locazione di locali al centro storico, fatto non scontato, contribuisce al contrasto della desertificazione commerciale del centro storico, situazione  che affligge tutte le principali città in Umbria come in altre regioni d’Italia.</w:t>
      </w:r>
    </w:p>
    <w:p w14:paraId="6023A6C5" w14:textId="77777777" w:rsidR="00774AAD" w:rsidRDefault="00774AAD" w:rsidP="00774AAD">
      <w:pPr>
        <w:jc w:val="both"/>
        <w:rPr>
          <w:lang w:val="it-IT"/>
        </w:rPr>
      </w:pPr>
      <w:r>
        <w:rPr>
          <w:lang w:val="it-IT"/>
        </w:rPr>
        <w:t>Nelle more di espletare le procedure di gara e dopo la conclusione dell’iter di acquisto,</w:t>
      </w:r>
      <w:r w:rsidRPr="00774AAD">
        <w:rPr>
          <w:lang w:val="it-IT"/>
        </w:rPr>
        <w:t xml:space="preserve"> gli spazi in questione sono stati temporaneamente concessi a titolo gratuito a diverse associazioni del territorio e realtà </w:t>
      </w:r>
      <w:r w:rsidRPr="00774AAD">
        <w:rPr>
          <w:i/>
          <w:iCs/>
          <w:lang w:val="it-IT"/>
        </w:rPr>
        <w:t>no profit</w:t>
      </w:r>
      <w:r w:rsidRPr="00774AAD">
        <w:rPr>
          <w:lang w:val="it-IT"/>
        </w:rPr>
        <w:t xml:space="preserve">. </w:t>
      </w:r>
    </w:p>
    <w:p w14:paraId="2E8D2FD8" w14:textId="1EDD235A" w:rsidR="00774AAD" w:rsidRDefault="00774AAD" w:rsidP="00774AAD">
      <w:pPr>
        <w:jc w:val="both"/>
        <w:rPr>
          <w:lang w:val="it-IT"/>
        </w:rPr>
      </w:pPr>
      <w:r>
        <w:rPr>
          <w:lang w:val="it-IT"/>
        </w:rPr>
        <w:t>Ricordiamo a tal fine i mercatini di Natale con il Gruppo Famiglia Talia De Angelis, il supporto all’Arcus Tuder per le proprie iniziative, la Pesca Parrocchiale, Il Todi Festival, le originali iniziative Umbria Vintage e Mattoncini a Todi e tante altre numerose manifestazioni e mostre d’arte.</w:t>
      </w:r>
    </w:p>
    <w:p w14:paraId="65330FFF" w14:textId="14BADFAD" w:rsidR="00774AAD" w:rsidRPr="00774AAD" w:rsidRDefault="00774AAD" w:rsidP="00774AAD">
      <w:pPr>
        <w:jc w:val="both"/>
        <w:rPr>
          <w:lang w:val="it-IT"/>
        </w:rPr>
      </w:pPr>
      <w:r w:rsidRPr="00774AAD">
        <w:rPr>
          <w:lang w:val="it-IT"/>
        </w:rPr>
        <w:t>Questa scelta di civica generosità ha permesso di promuovere iniziative culturali, eventi di grande rilievo e percorsi artistici che hanno arricchito in maniera significativa l’offerta e l’industria culturale della città, coniugando la fruizione temporanea dei luoghi con finalità solidali e di coesione sociale.</w:t>
      </w:r>
    </w:p>
    <w:p w14:paraId="6BF81703" w14:textId="77777777" w:rsidR="00774AAD" w:rsidRDefault="00774AAD" w:rsidP="00774AAD">
      <w:pPr>
        <w:jc w:val="both"/>
        <w:rPr>
          <w:lang w:val="it-IT"/>
        </w:rPr>
      </w:pPr>
      <w:r w:rsidRPr="00774AAD">
        <w:rPr>
          <w:lang w:val="it-IT"/>
        </w:rPr>
        <w:t xml:space="preserve">Questa operazione si inserisce in una più ampia e virtuosa strategia di valorizzazione e ricomposizione patrimoniale portata avanti da ETAB. </w:t>
      </w:r>
    </w:p>
    <w:p w14:paraId="6DFB5A07" w14:textId="3D6FAD83" w:rsidR="00774AAD" w:rsidRPr="00774AAD" w:rsidRDefault="00774AAD" w:rsidP="00774AAD">
      <w:pPr>
        <w:jc w:val="both"/>
        <w:rPr>
          <w:lang w:val="it-IT"/>
        </w:rPr>
      </w:pPr>
      <w:r>
        <w:rPr>
          <w:lang w:val="it-IT"/>
        </w:rPr>
        <w:t xml:space="preserve">L’azione è stata resa possibile </w:t>
      </w:r>
      <w:r w:rsidRPr="00774AAD">
        <w:rPr>
          <w:lang w:val="it-IT"/>
        </w:rPr>
        <w:t>dal recente e storico riacquisto della proprietà di una porzione dei locali direttamente dalla Banca Monte dei Paschi di Siena — operazione condotta senza ricorrere all’accensione di mutui, a dimostrazione della solidità e dell’attenta gestione finanziaria dell’Ente.</w:t>
      </w:r>
    </w:p>
    <w:p w14:paraId="5EB9A545" w14:textId="77777777" w:rsidR="00774AAD" w:rsidRPr="00774AAD" w:rsidRDefault="00774AAD" w:rsidP="00774AAD">
      <w:pPr>
        <w:jc w:val="both"/>
        <w:rPr>
          <w:lang w:val="it-IT"/>
        </w:rPr>
      </w:pPr>
      <w:r w:rsidRPr="00774AAD">
        <w:rPr>
          <w:lang w:val="it-IT"/>
        </w:rPr>
        <w:t>Tale acquisizione ha permesso di riunire idealmente gli spazi originariamente appartenuti all’antica opera pia del Monte dell’Onestà nel cuore di Palazzo dei Priori, restituendo alla collettività un complesso immobiliare continuo e di inestimabile valore storico, architettonico e funzionale.</w:t>
      </w:r>
    </w:p>
    <w:p w14:paraId="1306231B" w14:textId="77777777" w:rsidR="00774AAD" w:rsidRPr="00774AAD" w:rsidRDefault="00774AAD" w:rsidP="00774AAD">
      <w:pPr>
        <w:jc w:val="both"/>
        <w:rPr>
          <w:lang w:val="it-IT"/>
        </w:rPr>
      </w:pPr>
      <w:r w:rsidRPr="00774AAD">
        <w:rPr>
          <w:lang w:val="it-IT"/>
        </w:rPr>
        <w:t>Con questo atto, La Consolazione ETAB conferma il proprio impegno quotidiano non solo nella tutela e nella valorizzazione del patrimonio storico tuderte, ma anche nel sostegno attivo allo sviluppo economico, sociale e culturale della comunità cittadina.</w:t>
      </w:r>
    </w:p>
    <w:p w14:paraId="6D7D90E2" w14:textId="3DB51F33" w:rsidR="00774AAD" w:rsidRPr="00774AAD" w:rsidRDefault="00774AAD" w:rsidP="00774AAD">
      <w:pPr>
        <w:jc w:val="both"/>
        <w:rPr>
          <w:lang w:val="it-IT"/>
        </w:rPr>
      </w:pPr>
      <w:r w:rsidRPr="00774AAD">
        <w:rPr>
          <w:i/>
          <w:iCs/>
          <w:lang w:val="it-IT"/>
        </w:rPr>
        <w:t>Todi, 2</w:t>
      </w:r>
      <w:r>
        <w:rPr>
          <w:i/>
          <w:iCs/>
          <w:lang w:val="it-IT"/>
        </w:rPr>
        <w:t>9</w:t>
      </w:r>
      <w:r w:rsidRPr="00774AAD">
        <w:rPr>
          <w:i/>
          <w:iCs/>
          <w:lang w:val="it-IT"/>
        </w:rPr>
        <w:t xml:space="preserve"> ottobre 2026</w:t>
      </w:r>
    </w:p>
    <w:p w14:paraId="68E89E31" w14:textId="77777777" w:rsidR="004A4E1E" w:rsidRDefault="004A4E1E"/>
    <w:p w14:paraId="71B2BA37" w14:textId="061FEF55" w:rsidR="00774AAD" w:rsidRDefault="00774AAD" w:rsidP="00774AAD">
      <w:pPr>
        <w:jc w:val="center"/>
      </w:pPr>
      <w:r>
        <w:t>Il Presidente</w:t>
      </w:r>
    </w:p>
    <w:p w14:paraId="6D866B57" w14:textId="33D14020" w:rsidR="00774AAD" w:rsidRDefault="00774AAD" w:rsidP="00774AAD">
      <w:pPr>
        <w:jc w:val="center"/>
      </w:pPr>
      <w:r>
        <w:t>Dr. Leonardo Mallozzi</w:t>
      </w:r>
    </w:p>
    <w:sectPr w:rsidR="00774AAD" w:rsidSect="00976305">
      <w:pgSz w:w="11906" w:h="16838" w:code="9"/>
      <w:pgMar w:top="1079" w:right="1134" w:bottom="1134" w:left="1134"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EDF"/>
    <w:rsid w:val="00096EDF"/>
    <w:rsid w:val="001560AE"/>
    <w:rsid w:val="00421BF1"/>
    <w:rsid w:val="004A4E1E"/>
    <w:rsid w:val="00774AAD"/>
    <w:rsid w:val="008C68B8"/>
    <w:rsid w:val="00976305"/>
    <w:rsid w:val="00AF589B"/>
    <w:rsid w:val="00D03690"/>
    <w:rsid w:val="00DA5F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5AE2"/>
  <w15:chartTrackingRefBased/>
  <w15:docId w15:val="{C42BDCAC-1C22-4B1F-B5D4-89021229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60AE"/>
    <w:pPr>
      <w:widowControl w:val="0"/>
      <w:suppressAutoHyphens/>
    </w:pPr>
    <w:rPr>
      <w:sz w:val="24"/>
      <w:lang w:val="de-DE" w:eastAsia="it-IT"/>
    </w:rPr>
  </w:style>
  <w:style w:type="paragraph" w:styleId="Titolo1">
    <w:name w:val="heading 1"/>
    <w:basedOn w:val="Normale"/>
    <w:next w:val="Normale"/>
    <w:link w:val="Titolo1Carattere"/>
    <w:qFormat/>
    <w:rsid w:val="001560AE"/>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1560AE"/>
    <w:pPr>
      <w:keepNext/>
      <w:outlineLvl w:val="1"/>
    </w:pPr>
    <w:rPr>
      <w:i/>
      <w:iCs/>
      <w:sz w:val="20"/>
      <w:szCs w:val="18"/>
      <w:lang w:val="fr-FR"/>
    </w:rPr>
  </w:style>
  <w:style w:type="paragraph" w:styleId="Titolo3">
    <w:name w:val="heading 3"/>
    <w:basedOn w:val="Normale"/>
    <w:next w:val="Normale"/>
    <w:link w:val="Titolo3Carattere"/>
    <w:qFormat/>
    <w:rsid w:val="001560AE"/>
    <w:pPr>
      <w:keepNext/>
      <w:spacing w:line="360" w:lineRule="auto"/>
      <w:outlineLvl w:val="2"/>
    </w:pPr>
    <w:rPr>
      <w:i/>
      <w:shadow/>
      <w:sz w:val="32"/>
      <w:szCs w:val="32"/>
    </w:rPr>
  </w:style>
  <w:style w:type="paragraph" w:styleId="Titolo4">
    <w:name w:val="heading 4"/>
    <w:basedOn w:val="Normale"/>
    <w:next w:val="Normale"/>
    <w:link w:val="Titolo4Carattere"/>
    <w:qFormat/>
    <w:rsid w:val="001560AE"/>
    <w:pPr>
      <w:keepNext/>
      <w:jc w:val="right"/>
      <w:outlineLvl w:val="3"/>
    </w:pPr>
    <w:rPr>
      <w:i/>
      <w:iCs/>
      <w:sz w:val="20"/>
      <w:szCs w:val="18"/>
    </w:rPr>
  </w:style>
  <w:style w:type="paragraph" w:styleId="Titolo5">
    <w:name w:val="heading 5"/>
    <w:basedOn w:val="Normale"/>
    <w:next w:val="Normale"/>
    <w:link w:val="Titolo5Carattere"/>
    <w:semiHidden/>
    <w:unhideWhenUsed/>
    <w:qFormat/>
    <w:rsid w:val="00096EDF"/>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semiHidden/>
    <w:unhideWhenUsed/>
    <w:qFormat/>
    <w:rsid w:val="00096EDF"/>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semiHidden/>
    <w:unhideWhenUsed/>
    <w:qFormat/>
    <w:rsid w:val="00096EDF"/>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semiHidden/>
    <w:unhideWhenUsed/>
    <w:qFormat/>
    <w:rsid w:val="00096EDF"/>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semiHidden/>
    <w:unhideWhenUsed/>
    <w:qFormat/>
    <w:rsid w:val="00096EDF"/>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560AE"/>
    <w:rPr>
      <w:rFonts w:ascii="Arial" w:hAnsi="Arial" w:cs="Arial"/>
      <w:b/>
      <w:bCs/>
      <w:kern w:val="32"/>
      <w:sz w:val="32"/>
      <w:szCs w:val="32"/>
      <w:lang w:val="de-DE" w:eastAsia="it-IT"/>
    </w:rPr>
  </w:style>
  <w:style w:type="character" w:customStyle="1" w:styleId="Titolo2Carattere">
    <w:name w:val="Titolo 2 Carattere"/>
    <w:basedOn w:val="Carpredefinitoparagrafo"/>
    <w:link w:val="Titolo2"/>
    <w:rsid w:val="001560AE"/>
    <w:rPr>
      <w:i/>
      <w:iCs/>
      <w:szCs w:val="18"/>
      <w:lang w:val="fr-FR" w:eastAsia="it-IT"/>
    </w:rPr>
  </w:style>
  <w:style w:type="character" w:customStyle="1" w:styleId="Titolo3Carattere">
    <w:name w:val="Titolo 3 Carattere"/>
    <w:basedOn w:val="Carpredefinitoparagrafo"/>
    <w:link w:val="Titolo3"/>
    <w:rsid w:val="001560AE"/>
    <w:rPr>
      <w:i/>
      <w:shadow/>
      <w:sz w:val="32"/>
      <w:szCs w:val="32"/>
      <w:lang w:val="de-DE" w:eastAsia="it-IT"/>
    </w:rPr>
  </w:style>
  <w:style w:type="character" w:customStyle="1" w:styleId="Titolo4Carattere">
    <w:name w:val="Titolo 4 Carattere"/>
    <w:basedOn w:val="Carpredefinitoparagrafo"/>
    <w:link w:val="Titolo4"/>
    <w:rsid w:val="001560AE"/>
    <w:rPr>
      <w:i/>
      <w:iCs/>
      <w:szCs w:val="18"/>
      <w:lang w:val="de-DE" w:eastAsia="it-IT"/>
    </w:rPr>
  </w:style>
  <w:style w:type="character" w:customStyle="1" w:styleId="Titolo5Carattere">
    <w:name w:val="Titolo 5 Carattere"/>
    <w:basedOn w:val="Carpredefinitoparagrafo"/>
    <w:link w:val="Titolo5"/>
    <w:semiHidden/>
    <w:rsid w:val="00096EDF"/>
    <w:rPr>
      <w:rFonts w:asciiTheme="minorHAnsi" w:eastAsiaTheme="majorEastAsia" w:hAnsiTheme="minorHAnsi" w:cstheme="majorBidi"/>
      <w:color w:val="2F5496" w:themeColor="accent1" w:themeShade="BF"/>
      <w:sz w:val="24"/>
      <w:lang w:val="de-DE" w:eastAsia="it-IT"/>
    </w:rPr>
  </w:style>
  <w:style w:type="character" w:customStyle="1" w:styleId="Titolo6Carattere">
    <w:name w:val="Titolo 6 Carattere"/>
    <w:basedOn w:val="Carpredefinitoparagrafo"/>
    <w:link w:val="Titolo6"/>
    <w:semiHidden/>
    <w:rsid w:val="00096EDF"/>
    <w:rPr>
      <w:rFonts w:asciiTheme="minorHAnsi" w:eastAsiaTheme="majorEastAsia" w:hAnsiTheme="minorHAnsi" w:cstheme="majorBidi"/>
      <w:i/>
      <w:iCs/>
      <w:color w:val="595959" w:themeColor="text1" w:themeTint="A6"/>
      <w:sz w:val="24"/>
      <w:lang w:val="de-DE" w:eastAsia="it-IT"/>
    </w:rPr>
  </w:style>
  <w:style w:type="character" w:customStyle="1" w:styleId="Titolo7Carattere">
    <w:name w:val="Titolo 7 Carattere"/>
    <w:basedOn w:val="Carpredefinitoparagrafo"/>
    <w:link w:val="Titolo7"/>
    <w:semiHidden/>
    <w:rsid w:val="00096EDF"/>
    <w:rPr>
      <w:rFonts w:asciiTheme="minorHAnsi" w:eastAsiaTheme="majorEastAsia" w:hAnsiTheme="minorHAnsi" w:cstheme="majorBidi"/>
      <w:color w:val="595959" w:themeColor="text1" w:themeTint="A6"/>
      <w:sz w:val="24"/>
      <w:lang w:val="de-DE" w:eastAsia="it-IT"/>
    </w:rPr>
  </w:style>
  <w:style w:type="character" w:customStyle="1" w:styleId="Titolo8Carattere">
    <w:name w:val="Titolo 8 Carattere"/>
    <w:basedOn w:val="Carpredefinitoparagrafo"/>
    <w:link w:val="Titolo8"/>
    <w:semiHidden/>
    <w:rsid w:val="00096EDF"/>
    <w:rPr>
      <w:rFonts w:asciiTheme="minorHAnsi" w:eastAsiaTheme="majorEastAsia" w:hAnsiTheme="minorHAnsi" w:cstheme="majorBidi"/>
      <w:i/>
      <w:iCs/>
      <w:color w:val="272727" w:themeColor="text1" w:themeTint="D8"/>
      <w:sz w:val="24"/>
      <w:lang w:val="de-DE" w:eastAsia="it-IT"/>
    </w:rPr>
  </w:style>
  <w:style w:type="character" w:customStyle="1" w:styleId="Titolo9Carattere">
    <w:name w:val="Titolo 9 Carattere"/>
    <w:basedOn w:val="Carpredefinitoparagrafo"/>
    <w:link w:val="Titolo9"/>
    <w:semiHidden/>
    <w:rsid w:val="00096EDF"/>
    <w:rPr>
      <w:rFonts w:asciiTheme="minorHAnsi" w:eastAsiaTheme="majorEastAsia" w:hAnsiTheme="minorHAnsi" w:cstheme="majorBidi"/>
      <w:color w:val="272727" w:themeColor="text1" w:themeTint="D8"/>
      <w:sz w:val="24"/>
      <w:lang w:val="de-DE" w:eastAsia="it-IT"/>
    </w:rPr>
  </w:style>
  <w:style w:type="paragraph" w:styleId="Titolo">
    <w:name w:val="Title"/>
    <w:basedOn w:val="Normale"/>
    <w:next w:val="Normale"/>
    <w:link w:val="TitoloCarattere"/>
    <w:qFormat/>
    <w:rsid w:val="00096ED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96EDF"/>
    <w:rPr>
      <w:rFonts w:asciiTheme="majorHAnsi" w:eastAsiaTheme="majorEastAsia" w:hAnsiTheme="majorHAnsi" w:cstheme="majorBidi"/>
      <w:spacing w:val="-10"/>
      <w:kern w:val="28"/>
      <w:sz w:val="56"/>
      <w:szCs w:val="56"/>
      <w:lang w:val="de-DE" w:eastAsia="it-IT"/>
    </w:rPr>
  </w:style>
  <w:style w:type="paragraph" w:styleId="Sottotitolo">
    <w:name w:val="Subtitle"/>
    <w:basedOn w:val="Normale"/>
    <w:next w:val="Normale"/>
    <w:link w:val="SottotitoloCarattere"/>
    <w:qFormat/>
    <w:rsid w:val="00096ED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rsid w:val="00096EDF"/>
    <w:rPr>
      <w:rFonts w:asciiTheme="minorHAnsi" w:eastAsiaTheme="majorEastAsia" w:hAnsiTheme="minorHAnsi" w:cstheme="majorBidi"/>
      <w:color w:val="595959" w:themeColor="text1" w:themeTint="A6"/>
      <w:spacing w:val="15"/>
      <w:sz w:val="28"/>
      <w:szCs w:val="28"/>
      <w:lang w:val="de-DE" w:eastAsia="it-IT"/>
    </w:rPr>
  </w:style>
  <w:style w:type="paragraph" w:styleId="Citazione">
    <w:name w:val="Quote"/>
    <w:basedOn w:val="Normale"/>
    <w:next w:val="Normale"/>
    <w:link w:val="CitazioneCarattere"/>
    <w:uiPriority w:val="29"/>
    <w:qFormat/>
    <w:rsid w:val="00096ED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96EDF"/>
    <w:rPr>
      <w:i/>
      <w:iCs/>
      <w:color w:val="404040" w:themeColor="text1" w:themeTint="BF"/>
      <w:sz w:val="24"/>
      <w:lang w:val="de-DE" w:eastAsia="it-IT"/>
    </w:rPr>
  </w:style>
  <w:style w:type="paragraph" w:styleId="Paragrafoelenco">
    <w:name w:val="List Paragraph"/>
    <w:basedOn w:val="Normale"/>
    <w:uiPriority w:val="34"/>
    <w:qFormat/>
    <w:rsid w:val="00096EDF"/>
    <w:pPr>
      <w:ind w:left="720"/>
      <w:contextualSpacing/>
    </w:pPr>
  </w:style>
  <w:style w:type="character" w:styleId="Enfasiintensa">
    <w:name w:val="Intense Emphasis"/>
    <w:basedOn w:val="Carpredefinitoparagrafo"/>
    <w:uiPriority w:val="21"/>
    <w:qFormat/>
    <w:rsid w:val="00096EDF"/>
    <w:rPr>
      <w:i/>
      <w:iCs/>
      <w:color w:val="2F5496" w:themeColor="accent1" w:themeShade="BF"/>
    </w:rPr>
  </w:style>
  <w:style w:type="paragraph" w:styleId="Citazioneintensa">
    <w:name w:val="Intense Quote"/>
    <w:basedOn w:val="Normale"/>
    <w:next w:val="Normale"/>
    <w:link w:val="CitazioneintensaCarattere"/>
    <w:uiPriority w:val="30"/>
    <w:qFormat/>
    <w:rsid w:val="00096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96EDF"/>
    <w:rPr>
      <w:i/>
      <w:iCs/>
      <w:color w:val="2F5496" w:themeColor="accent1" w:themeShade="BF"/>
      <w:sz w:val="24"/>
      <w:lang w:val="de-DE" w:eastAsia="it-IT"/>
    </w:rPr>
  </w:style>
  <w:style w:type="character" w:styleId="Riferimentointenso">
    <w:name w:val="Intense Reference"/>
    <w:basedOn w:val="Carpredefinitoparagrafo"/>
    <w:uiPriority w:val="32"/>
    <w:qFormat/>
    <w:rsid w:val="00096E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2878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CONSOLAZIONE ETAB</dc:creator>
  <cp:keywords/>
  <dc:description/>
  <cp:lastModifiedBy>CONSOLAZIONE ETAB</cp:lastModifiedBy>
  <cp:revision>2</cp:revision>
  <cp:lastPrinted>2026-10-30T07:20:00Z</cp:lastPrinted>
  <dcterms:created xsi:type="dcterms:W3CDTF">2026-10-30T07:08:00Z</dcterms:created>
  <dcterms:modified xsi:type="dcterms:W3CDTF">2026-10-30T07:20:00Z</dcterms:modified>
</cp:coreProperties>
</file>